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30,576,515.90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24,896,163.04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5,680,352.86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56,114.71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-240,018.00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-232,183.27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-143,754.05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25,051,789.00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5,688,179.55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1.001</w:t>
            </w:r>
          </w:p>
        </w:tc>
      </w:tr>
    </w:tbl>
    <w:p w:rsidR="0077573A" w:rsidRDefault="001633E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77573A" w:rsidRDefault="001633E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7573A">
        <w:trPr>
          <w:jc w:val="center"/>
        </w:trPr>
        <w:tc>
          <w:tcPr>
            <w:tcW w:w="1266" w:type="dxa"/>
            <w:vAlign w:val="center"/>
          </w:tcPr>
          <w:p w:rsidR="0077573A" w:rsidRDefault="001633E3">
            <w:pPr>
              <w:jc w:val="left"/>
            </w:pPr>
            <w:r>
              <w:rPr>
                <w:color w:val="000000"/>
                <w:sz w:val="24"/>
              </w:rPr>
              <w:t>过去三个月</w:t>
            </w:r>
          </w:p>
        </w:tc>
        <w:tc>
          <w:tcPr>
            <w:tcW w:w="1267" w:type="dxa"/>
            <w:vAlign w:val="center"/>
          </w:tcPr>
          <w:p w:rsidR="0077573A" w:rsidRDefault="001633E3">
            <w:pPr>
              <w:jc w:val="center"/>
            </w:pPr>
            <w:r>
              <w:rPr>
                <w:color w:val="000000"/>
                <w:sz w:val="24"/>
              </w:rPr>
              <w:t>-0.20%</w:t>
            </w:r>
          </w:p>
        </w:tc>
        <w:tc>
          <w:tcPr>
            <w:tcW w:w="1267" w:type="dxa"/>
            <w:vAlign w:val="center"/>
          </w:tcPr>
          <w:p w:rsidR="0077573A" w:rsidRDefault="001633E3">
            <w:pPr>
              <w:jc w:val="center"/>
            </w:pPr>
            <w:r>
              <w:rPr>
                <w:color w:val="000000"/>
                <w:sz w:val="24"/>
              </w:rPr>
              <w:t>0.31%</w:t>
            </w:r>
          </w:p>
        </w:tc>
        <w:tc>
          <w:tcPr>
            <w:tcW w:w="1267" w:type="dxa"/>
            <w:vAlign w:val="center"/>
          </w:tcPr>
          <w:p w:rsidR="0077573A" w:rsidRDefault="001633E3">
            <w:pPr>
              <w:jc w:val="center"/>
            </w:pPr>
            <w:r>
              <w:rPr>
                <w:color w:val="000000"/>
                <w:sz w:val="24"/>
              </w:rPr>
              <w:t>-0.16%</w:t>
            </w:r>
          </w:p>
        </w:tc>
        <w:tc>
          <w:tcPr>
            <w:tcW w:w="1267" w:type="dxa"/>
            <w:vAlign w:val="center"/>
          </w:tcPr>
          <w:p w:rsidR="0077573A" w:rsidRDefault="001633E3">
            <w:pPr>
              <w:jc w:val="center"/>
            </w:pPr>
            <w:r>
              <w:rPr>
                <w:color w:val="000000"/>
                <w:sz w:val="24"/>
              </w:rPr>
              <w:t>0.04%</w:t>
            </w:r>
          </w:p>
        </w:tc>
        <w:tc>
          <w:tcPr>
            <w:tcW w:w="1267" w:type="dxa"/>
            <w:vAlign w:val="center"/>
          </w:tcPr>
          <w:p w:rsidR="0077573A" w:rsidRDefault="001633E3">
            <w:pPr>
              <w:jc w:val="center"/>
            </w:pPr>
            <w:r>
              <w:rPr>
                <w:color w:val="000000"/>
                <w:sz w:val="24"/>
              </w:rPr>
              <w:t>-0.04%</w:t>
            </w:r>
          </w:p>
        </w:tc>
        <w:tc>
          <w:tcPr>
            <w:tcW w:w="1267" w:type="dxa"/>
            <w:vAlign w:val="center"/>
          </w:tcPr>
          <w:p w:rsidR="0077573A" w:rsidRDefault="001633E3">
            <w:pPr>
              <w:jc w:val="center"/>
            </w:pPr>
            <w:r>
              <w:rPr>
                <w:color w:val="000000"/>
                <w:sz w:val="24"/>
              </w:rPr>
              <w:t>0.27%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7573A">
        <w:trPr>
          <w:jc w:val="center"/>
        </w:trPr>
        <w:tc>
          <w:tcPr>
            <w:tcW w:w="1266" w:type="dxa"/>
            <w:vAlign w:val="center"/>
          </w:tcPr>
          <w:p w:rsidR="0077573A" w:rsidRDefault="001633E3">
            <w:pPr>
              <w:jc w:val="left"/>
            </w:pPr>
            <w:r>
              <w:rPr>
                <w:color w:val="000000"/>
                <w:sz w:val="24"/>
              </w:rPr>
              <w:t>过去三个月</w:t>
            </w:r>
          </w:p>
        </w:tc>
        <w:tc>
          <w:tcPr>
            <w:tcW w:w="1267" w:type="dxa"/>
            <w:vAlign w:val="center"/>
          </w:tcPr>
          <w:p w:rsidR="0077573A" w:rsidRDefault="001633E3">
            <w:pPr>
              <w:jc w:val="center"/>
            </w:pPr>
            <w:r>
              <w:rPr>
                <w:color w:val="000000"/>
                <w:sz w:val="24"/>
              </w:rPr>
              <w:t>-0.30%</w:t>
            </w:r>
          </w:p>
        </w:tc>
        <w:tc>
          <w:tcPr>
            <w:tcW w:w="1267" w:type="dxa"/>
            <w:vAlign w:val="center"/>
          </w:tcPr>
          <w:p w:rsidR="0077573A" w:rsidRDefault="001633E3">
            <w:pPr>
              <w:jc w:val="center"/>
            </w:pPr>
            <w:r>
              <w:rPr>
                <w:color w:val="000000"/>
                <w:sz w:val="24"/>
              </w:rPr>
              <w:t>0.32%</w:t>
            </w:r>
          </w:p>
        </w:tc>
        <w:tc>
          <w:tcPr>
            <w:tcW w:w="1267" w:type="dxa"/>
            <w:vAlign w:val="center"/>
          </w:tcPr>
          <w:p w:rsidR="0077573A" w:rsidRDefault="001633E3">
            <w:pPr>
              <w:jc w:val="center"/>
            </w:pPr>
            <w:r>
              <w:rPr>
                <w:color w:val="000000"/>
                <w:sz w:val="24"/>
              </w:rPr>
              <w:t>-0.16%</w:t>
            </w:r>
          </w:p>
        </w:tc>
        <w:tc>
          <w:tcPr>
            <w:tcW w:w="1267" w:type="dxa"/>
            <w:vAlign w:val="center"/>
          </w:tcPr>
          <w:p w:rsidR="0077573A" w:rsidRDefault="001633E3">
            <w:pPr>
              <w:jc w:val="center"/>
            </w:pPr>
            <w:r>
              <w:rPr>
                <w:color w:val="000000"/>
                <w:sz w:val="24"/>
              </w:rPr>
              <w:t>0.04%</w:t>
            </w:r>
          </w:p>
        </w:tc>
        <w:tc>
          <w:tcPr>
            <w:tcW w:w="1267" w:type="dxa"/>
            <w:vAlign w:val="center"/>
          </w:tcPr>
          <w:p w:rsidR="0077573A" w:rsidRDefault="001633E3">
            <w:pPr>
              <w:jc w:val="center"/>
            </w:pPr>
            <w:r>
              <w:rPr>
                <w:color w:val="000000"/>
                <w:sz w:val="24"/>
              </w:rPr>
              <w:t>-0.14%</w:t>
            </w:r>
          </w:p>
        </w:tc>
        <w:tc>
          <w:tcPr>
            <w:tcW w:w="1267" w:type="dxa"/>
            <w:vAlign w:val="center"/>
          </w:tcPr>
          <w:p w:rsidR="0077573A" w:rsidRDefault="001633E3">
            <w:pPr>
              <w:jc w:val="center"/>
            </w:pPr>
            <w:r>
              <w:rPr>
                <w:color w:val="000000"/>
                <w:sz w:val="24"/>
              </w:rPr>
              <w:t>0.28%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7573A">
        <w:trPr>
          <w:jc w:val="center"/>
        </w:trPr>
        <w:tc>
          <w:tcPr>
            <w:tcW w:w="946" w:type="dxa"/>
            <w:vAlign w:val="center"/>
          </w:tcPr>
          <w:p w:rsidR="0077573A" w:rsidRDefault="001633E3">
            <w:pPr>
              <w:jc w:val="center"/>
            </w:pPr>
            <w:r>
              <w:rPr>
                <w:color w:val="000000"/>
                <w:sz w:val="24"/>
              </w:rPr>
              <w:t>于海颖</w:t>
            </w:r>
          </w:p>
        </w:tc>
        <w:tc>
          <w:tcPr>
            <w:tcW w:w="924" w:type="dxa"/>
            <w:vAlign w:val="center"/>
          </w:tcPr>
          <w:p w:rsidR="0077573A" w:rsidRDefault="001633E3">
            <w:pPr>
              <w:jc w:val="center"/>
            </w:pPr>
            <w:r>
              <w:rPr>
                <w:color w:val="000000"/>
                <w:sz w:val="24"/>
              </w:rPr>
              <w:t>交银增利债券、交银纯债债券发起、交银荣祥保本混合、交银定期支付月月丰债券、交银增强收益债券、交银强化回报债券、交银丰盈收益债券、交银丰硕收益债券、交银荣</w:t>
            </w:r>
            <w:r>
              <w:rPr>
                <w:color w:val="000000"/>
                <w:sz w:val="24"/>
              </w:rPr>
              <w:lastRenderedPageBreak/>
              <w:t>鑫保本混合、交银增利增强债券的基金经理，公司固定收益（公募）投资总监</w:t>
            </w:r>
          </w:p>
        </w:tc>
        <w:tc>
          <w:tcPr>
            <w:tcW w:w="1202" w:type="dxa"/>
            <w:vAlign w:val="center"/>
          </w:tcPr>
          <w:p w:rsidR="0077573A" w:rsidRDefault="001633E3">
            <w:pPr>
              <w:jc w:val="center"/>
            </w:pPr>
            <w:r>
              <w:rPr>
                <w:color w:val="000000"/>
                <w:sz w:val="24"/>
              </w:rPr>
              <w:lastRenderedPageBreak/>
              <w:t>2017-06-10</w:t>
            </w:r>
          </w:p>
        </w:tc>
        <w:tc>
          <w:tcPr>
            <w:tcW w:w="1300" w:type="dxa"/>
            <w:vAlign w:val="center"/>
          </w:tcPr>
          <w:p w:rsidR="0077573A" w:rsidRDefault="001633E3">
            <w:pPr>
              <w:jc w:val="center"/>
            </w:pPr>
            <w:r>
              <w:rPr>
                <w:color w:val="000000"/>
                <w:sz w:val="24"/>
              </w:rPr>
              <w:t>-</w:t>
            </w:r>
          </w:p>
        </w:tc>
        <w:tc>
          <w:tcPr>
            <w:tcW w:w="1245" w:type="dxa"/>
            <w:vAlign w:val="center"/>
          </w:tcPr>
          <w:p w:rsidR="0077573A" w:rsidRDefault="001633E3">
            <w:pPr>
              <w:jc w:val="center"/>
            </w:pPr>
            <w:r>
              <w:rPr>
                <w:color w:val="000000"/>
                <w:sz w:val="24"/>
              </w:rPr>
              <w:t>11</w:t>
            </w:r>
            <w:r>
              <w:rPr>
                <w:color w:val="000000"/>
                <w:sz w:val="24"/>
              </w:rPr>
              <w:t>年</w:t>
            </w:r>
          </w:p>
        </w:tc>
        <w:tc>
          <w:tcPr>
            <w:tcW w:w="3251" w:type="dxa"/>
            <w:vAlign w:val="center"/>
          </w:tcPr>
          <w:p w:rsidR="0077573A" w:rsidRDefault="001633E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lastRenderedPageBreak/>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77573A" w:rsidRDefault="001633E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7573A" w:rsidRDefault="001633E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77573A" w:rsidRDefault="001633E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77573A" w:rsidRDefault="001633E3">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77573A" w:rsidRDefault="0077573A">
      <w:pPr>
        <w:spacing w:before="29" w:line="288" w:lineRule="auto"/>
        <w:ind w:firstLineChars="200" w:firstLine="480"/>
        <w:rPr>
          <w:color w:val="000000"/>
          <w:sz w:val="24"/>
        </w:rPr>
      </w:pPr>
    </w:p>
    <w:p w:rsidR="00D15733" w:rsidRPr="007F52FA" w:rsidRDefault="00D15733" w:rsidP="007C14DF">
      <w:pPr>
        <w:spacing w:before="29" w:line="288" w:lineRule="auto"/>
        <w:ind w:firstLineChars="200" w:firstLine="480"/>
        <w:rPr>
          <w:color w:val="000000"/>
          <w:sz w:val="24"/>
        </w:rPr>
      </w:pP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7573A" w:rsidRDefault="001633E3">
      <w:pPr>
        <w:spacing w:before="29" w:line="288" w:lineRule="auto"/>
        <w:ind w:firstLineChars="200" w:firstLine="480"/>
        <w:rPr>
          <w:color w:val="000000"/>
          <w:sz w:val="24"/>
        </w:rPr>
      </w:pPr>
      <w:r>
        <w:rPr>
          <w:color w:val="000000"/>
          <w:sz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77573A" w:rsidRDefault="001633E3">
      <w:pPr>
        <w:spacing w:before="29" w:line="288" w:lineRule="auto"/>
        <w:ind w:firstLineChars="200" w:firstLine="480"/>
        <w:rPr>
          <w:color w:val="000000"/>
          <w:sz w:val="24"/>
        </w:rPr>
      </w:pPr>
      <w:r>
        <w:rPr>
          <w:color w:val="000000"/>
          <w:sz w:val="24"/>
        </w:rPr>
        <w:t>报告期内，由于本组合的规模波动较大，因此操作层面主要是减持了部分信用品种，同时置换为中等久期的利率品种，以保证组合的流动性和收益水平。</w:t>
      </w:r>
      <w:r>
        <w:rPr>
          <w:color w:val="000000"/>
          <w:sz w:val="24"/>
        </w:rPr>
        <w:t xml:space="preserve"> </w:t>
      </w:r>
    </w:p>
    <w:p w:rsidR="0077573A" w:rsidRDefault="001633E3">
      <w:pPr>
        <w:spacing w:before="29" w:line="288" w:lineRule="auto"/>
        <w:ind w:firstLineChars="200" w:firstLine="480"/>
        <w:rPr>
          <w:color w:val="000000"/>
          <w:sz w:val="24"/>
        </w:rPr>
      </w:pPr>
      <w:r>
        <w:rPr>
          <w:color w:val="000000"/>
          <w:sz w:val="24"/>
        </w:rPr>
        <w:t>权益市场方面，尽管监管层对</w:t>
      </w:r>
      <w:r>
        <w:rPr>
          <w:color w:val="000000"/>
          <w:sz w:val="24"/>
        </w:rPr>
        <w:t>流动性态度由支持转为中性，但经济超预期，叠加政策对创业板缓和带来的市场风险偏好提升，导致</w:t>
      </w:r>
      <w:r>
        <w:rPr>
          <w:color w:val="000000"/>
          <w:sz w:val="24"/>
        </w:rPr>
        <w:t>A</w:t>
      </w:r>
      <w:r>
        <w:rPr>
          <w:color w:val="000000"/>
          <w:sz w:val="24"/>
        </w:rPr>
        <w:t>股市场持续走强。板块方面，经济基本面及供给侧改革引领钢铁、有色及煤炭板块成为七月带动市场的龙头。证金公司对创业板的增持提升市场的风险偏好，令以计算机代表的创业板八月领涨市场。九月指数延续上行，强周期叠加板块轮动成为市场上行的驱动力。主题层面，新能源汽车、苹果、半导体、人工智能等主题表现亮眼。本报告期内，本组合结合权益市场的估值变动情况，动态调整组合仓位，优选个股。</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收益率或将震荡下行。我们将密切关注组合的规模变动情况，动态调整整体仓位。久期方面，在密切关注基本面因素变动的情况下，我们将根据宏观及监管政策的变化动态优化资产配置，并动态进行组合久期调整。权益方面，四季度是供给侧改革成效落地的关键时段，也是需求旺季，仍然会重点关注部分受益行业的投资机会。</w:t>
      </w:r>
      <w:r w:rsidRPr="007F52FA">
        <w:rPr>
          <w:color w:val="000000"/>
          <w:sz w:val="24"/>
        </w:rPr>
        <w:t>2017</w:t>
      </w:r>
      <w:r w:rsidRPr="007F52FA">
        <w:rPr>
          <w:color w:val="000000"/>
          <w:sz w:val="24"/>
        </w:rPr>
        <w:t>年四季度我们还将重点关注代表着未来新兴产业升级与发展方向的成长股，并结合组合规模的变动情况动态进行权益资产的配置。</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lastRenderedPageBreak/>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1.006</w:t>
      </w:r>
      <w:r w:rsidRPr="007F52FA">
        <w:rPr>
          <w:color w:val="000000"/>
          <w:sz w:val="24"/>
        </w:rPr>
        <w:t>元，本报告期份额净值增长率为</w:t>
      </w:r>
      <w:r w:rsidRPr="007F52FA">
        <w:rPr>
          <w:color w:val="000000"/>
          <w:sz w:val="24"/>
        </w:rPr>
        <w:t>-0.20%</w:t>
      </w:r>
      <w:r w:rsidRPr="007F52FA">
        <w:rPr>
          <w:color w:val="000000"/>
          <w:sz w:val="24"/>
        </w:rPr>
        <w:t>，同期业绩比较基准增长率为</w:t>
      </w:r>
      <w:r w:rsidRPr="007F52FA">
        <w:rPr>
          <w:color w:val="000000"/>
          <w:sz w:val="24"/>
        </w:rPr>
        <w:t>-0.16%</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1.001</w:t>
      </w:r>
      <w:r w:rsidRPr="007F52FA">
        <w:rPr>
          <w:color w:val="000000"/>
          <w:sz w:val="24"/>
        </w:rPr>
        <w:t>元，本报告期份额净值增长率为</w:t>
      </w:r>
      <w:r w:rsidRPr="007F52FA">
        <w:rPr>
          <w:color w:val="000000"/>
          <w:sz w:val="24"/>
        </w:rPr>
        <w:t>-0.30%</w:t>
      </w:r>
      <w:r w:rsidRPr="007F52FA">
        <w:rPr>
          <w:color w:val="000000"/>
          <w:sz w:val="24"/>
        </w:rPr>
        <w:t>，同期业绩比较基准增长率为</w:t>
      </w:r>
      <w:r w:rsidRPr="007F52FA">
        <w:rPr>
          <w:color w:val="000000"/>
          <w:sz w:val="24"/>
        </w:rPr>
        <w:t>-0.16%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4,220,759.00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4,220,759.00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25,011,167.60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79.33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25,011,167.60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79.33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683,426.32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414,292.53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31,529,645.45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4,220,759.00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13.73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4,220,759.00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13.73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77573A">
        <w:trPr>
          <w:jc w:val="center"/>
        </w:trPr>
        <w:tc>
          <w:tcPr>
            <w:tcW w:w="850" w:type="dxa"/>
            <w:vAlign w:val="center"/>
          </w:tcPr>
          <w:p w:rsidR="0077573A" w:rsidRDefault="001633E3">
            <w:pPr>
              <w:jc w:val="center"/>
            </w:pPr>
            <w:r>
              <w:rPr>
                <w:color w:val="000000"/>
                <w:sz w:val="24"/>
              </w:rPr>
              <w:t>1</w:t>
            </w:r>
          </w:p>
        </w:tc>
        <w:tc>
          <w:tcPr>
            <w:tcW w:w="1327" w:type="dxa"/>
            <w:vAlign w:val="center"/>
          </w:tcPr>
          <w:p w:rsidR="0077573A" w:rsidRDefault="001633E3">
            <w:pPr>
              <w:jc w:val="center"/>
            </w:pPr>
            <w:r>
              <w:rPr>
                <w:color w:val="000000"/>
                <w:sz w:val="24"/>
              </w:rPr>
              <w:t>000807</w:t>
            </w:r>
          </w:p>
        </w:tc>
        <w:tc>
          <w:tcPr>
            <w:tcW w:w="1769" w:type="dxa"/>
            <w:vAlign w:val="center"/>
          </w:tcPr>
          <w:p w:rsidR="0077573A" w:rsidRDefault="001633E3">
            <w:pPr>
              <w:jc w:val="center"/>
            </w:pPr>
            <w:r>
              <w:rPr>
                <w:color w:val="000000"/>
                <w:sz w:val="24"/>
              </w:rPr>
              <w:t>云铝股份</w:t>
            </w:r>
          </w:p>
        </w:tc>
        <w:tc>
          <w:tcPr>
            <w:tcW w:w="1327" w:type="dxa"/>
            <w:vAlign w:val="center"/>
          </w:tcPr>
          <w:p w:rsidR="0077573A" w:rsidRDefault="001633E3">
            <w:pPr>
              <w:jc w:val="right"/>
            </w:pPr>
            <w:r>
              <w:rPr>
                <w:color w:val="000000"/>
                <w:sz w:val="24"/>
              </w:rPr>
              <w:t>175,600</w:t>
            </w:r>
          </w:p>
        </w:tc>
        <w:tc>
          <w:tcPr>
            <w:tcW w:w="1915" w:type="dxa"/>
            <w:vAlign w:val="center"/>
          </w:tcPr>
          <w:p w:rsidR="0077573A" w:rsidRDefault="001633E3">
            <w:pPr>
              <w:jc w:val="right"/>
            </w:pPr>
            <w:r>
              <w:rPr>
                <w:color w:val="000000"/>
                <w:sz w:val="24"/>
              </w:rPr>
              <w:t>2,435,572.00</w:t>
            </w:r>
          </w:p>
        </w:tc>
        <w:tc>
          <w:tcPr>
            <w:tcW w:w="1680" w:type="dxa"/>
            <w:vAlign w:val="center"/>
          </w:tcPr>
          <w:p w:rsidR="0077573A" w:rsidRDefault="001633E3">
            <w:pPr>
              <w:jc w:val="right"/>
            </w:pPr>
            <w:r>
              <w:rPr>
                <w:color w:val="000000"/>
                <w:sz w:val="24"/>
              </w:rPr>
              <w:t>7.92</w:t>
            </w:r>
          </w:p>
        </w:tc>
      </w:tr>
      <w:tr w:rsidR="0077573A">
        <w:trPr>
          <w:jc w:val="center"/>
        </w:trPr>
        <w:tc>
          <w:tcPr>
            <w:tcW w:w="850" w:type="dxa"/>
            <w:vAlign w:val="center"/>
          </w:tcPr>
          <w:p w:rsidR="0077573A" w:rsidRDefault="001633E3">
            <w:pPr>
              <w:jc w:val="center"/>
            </w:pPr>
            <w:r>
              <w:rPr>
                <w:color w:val="000000"/>
                <w:sz w:val="24"/>
              </w:rPr>
              <w:t>2</w:t>
            </w:r>
          </w:p>
        </w:tc>
        <w:tc>
          <w:tcPr>
            <w:tcW w:w="1327" w:type="dxa"/>
            <w:vAlign w:val="center"/>
          </w:tcPr>
          <w:p w:rsidR="0077573A" w:rsidRDefault="001633E3">
            <w:pPr>
              <w:jc w:val="center"/>
            </w:pPr>
            <w:r>
              <w:rPr>
                <w:color w:val="000000"/>
                <w:sz w:val="24"/>
              </w:rPr>
              <w:t>000933</w:t>
            </w:r>
          </w:p>
        </w:tc>
        <w:tc>
          <w:tcPr>
            <w:tcW w:w="1769" w:type="dxa"/>
            <w:vAlign w:val="center"/>
          </w:tcPr>
          <w:p w:rsidR="0077573A" w:rsidRDefault="001633E3">
            <w:pPr>
              <w:jc w:val="center"/>
            </w:pPr>
            <w:r>
              <w:rPr>
                <w:color w:val="000000"/>
                <w:sz w:val="24"/>
              </w:rPr>
              <w:t>神火股份</w:t>
            </w:r>
          </w:p>
        </w:tc>
        <w:tc>
          <w:tcPr>
            <w:tcW w:w="1327" w:type="dxa"/>
            <w:vAlign w:val="center"/>
          </w:tcPr>
          <w:p w:rsidR="0077573A" w:rsidRDefault="001633E3">
            <w:pPr>
              <w:jc w:val="right"/>
            </w:pPr>
            <w:r>
              <w:rPr>
                <w:color w:val="000000"/>
                <w:sz w:val="24"/>
              </w:rPr>
              <w:t>128,500</w:t>
            </w:r>
          </w:p>
        </w:tc>
        <w:tc>
          <w:tcPr>
            <w:tcW w:w="1915" w:type="dxa"/>
            <w:vAlign w:val="center"/>
          </w:tcPr>
          <w:p w:rsidR="0077573A" w:rsidRDefault="001633E3">
            <w:pPr>
              <w:jc w:val="right"/>
            </w:pPr>
            <w:r>
              <w:rPr>
                <w:color w:val="000000"/>
                <w:sz w:val="24"/>
              </w:rPr>
              <w:t>1,461,045.00</w:t>
            </w:r>
          </w:p>
        </w:tc>
        <w:tc>
          <w:tcPr>
            <w:tcW w:w="1680" w:type="dxa"/>
            <w:vAlign w:val="center"/>
          </w:tcPr>
          <w:p w:rsidR="0077573A" w:rsidRDefault="001633E3">
            <w:pPr>
              <w:jc w:val="right"/>
            </w:pPr>
            <w:r>
              <w:rPr>
                <w:color w:val="000000"/>
                <w:sz w:val="24"/>
              </w:rPr>
              <w:t>4.75</w:t>
            </w:r>
          </w:p>
        </w:tc>
      </w:tr>
      <w:tr w:rsidR="0077573A">
        <w:trPr>
          <w:jc w:val="center"/>
        </w:trPr>
        <w:tc>
          <w:tcPr>
            <w:tcW w:w="850" w:type="dxa"/>
            <w:vAlign w:val="center"/>
          </w:tcPr>
          <w:p w:rsidR="0077573A" w:rsidRDefault="001633E3">
            <w:pPr>
              <w:jc w:val="center"/>
            </w:pPr>
            <w:r>
              <w:rPr>
                <w:color w:val="000000"/>
                <w:sz w:val="24"/>
              </w:rPr>
              <w:t>3</w:t>
            </w:r>
          </w:p>
        </w:tc>
        <w:tc>
          <w:tcPr>
            <w:tcW w:w="1327" w:type="dxa"/>
            <w:vAlign w:val="center"/>
          </w:tcPr>
          <w:p w:rsidR="0077573A" w:rsidRDefault="001633E3">
            <w:pPr>
              <w:jc w:val="center"/>
            </w:pPr>
            <w:r>
              <w:rPr>
                <w:color w:val="000000"/>
                <w:sz w:val="24"/>
              </w:rPr>
              <w:t>002430</w:t>
            </w:r>
          </w:p>
        </w:tc>
        <w:tc>
          <w:tcPr>
            <w:tcW w:w="1769" w:type="dxa"/>
            <w:vAlign w:val="center"/>
          </w:tcPr>
          <w:p w:rsidR="0077573A" w:rsidRDefault="001633E3">
            <w:pPr>
              <w:jc w:val="center"/>
            </w:pPr>
            <w:r>
              <w:rPr>
                <w:color w:val="000000"/>
                <w:sz w:val="24"/>
              </w:rPr>
              <w:t>杭氧股份</w:t>
            </w:r>
          </w:p>
        </w:tc>
        <w:tc>
          <w:tcPr>
            <w:tcW w:w="1327" w:type="dxa"/>
            <w:vAlign w:val="center"/>
          </w:tcPr>
          <w:p w:rsidR="0077573A" w:rsidRDefault="001633E3">
            <w:pPr>
              <w:jc w:val="right"/>
            </w:pPr>
            <w:r>
              <w:rPr>
                <w:color w:val="000000"/>
                <w:sz w:val="24"/>
              </w:rPr>
              <w:t>27,400</w:t>
            </w:r>
          </w:p>
        </w:tc>
        <w:tc>
          <w:tcPr>
            <w:tcW w:w="1915" w:type="dxa"/>
            <w:vAlign w:val="center"/>
          </w:tcPr>
          <w:p w:rsidR="0077573A" w:rsidRDefault="001633E3">
            <w:pPr>
              <w:jc w:val="right"/>
            </w:pPr>
            <w:r>
              <w:rPr>
                <w:color w:val="000000"/>
                <w:sz w:val="24"/>
              </w:rPr>
              <w:t>324,142.00</w:t>
            </w:r>
          </w:p>
        </w:tc>
        <w:tc>
          <w:tcPr>
            <w:tcW w:w="1680" w:type="dxa"/>
            <w:vAlign w:val="center"/>
          </w:tcPr>
          <w:p w:rsidR="0077573A" w:rsidRDefault="001633E3">
            <w:pPr>
              <w:jc w:val="right"/>
            </w:pPr>
            <w:r>
              <w:rPr>
                <w:color w:val="000000"/>
                <w:sz w:val="24"/>
              </w:rPr>
              <w:t>1.05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11,109,717.60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36.14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10,379,200.00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10,379,200.00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33.76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3,522,250.00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25,011,167.60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7573A">
        <w:trPr>
          <w:jc w:val="center"/>
        </w:trPr>
        <w:tc>
          <w:tcPr>
            <w:tcW w:w="1075" w:type="dxa"/>
            <w:vAlign w:val="center"/>
          </w:tcPr>
          <w:p w:rsidR="0077573A" w:rsidRDefault="001633E3">
            <w:pPr>
              <w:jc w:val="center"/>
            </w:pPr>
            <w:r>
              <w:rPr>
                <w:color w:val="000000"/>
                <w:sz w:val="24"/>
              </w:rPr>
              <w:t>1</w:t>
            </w:r>
          </w:p>
        </w:tc>
        <w:tc>
          <w:tcPr>
            <w:tcW w:w="1533" w:type="dxa"/>
            <w:vAlign w:val="center"/>
          </w:tcPr>
          <w:p w:rsidR="0077573A" w:rsidRDefault="001633E3">
            <w:pPr>
              <w:jc w:val="center"/>
            </w:pPr>
            <w:r>
              <w:rPr>
                <w:color w:val="000000"/>
                <w:sz w:val="24"/>
              </w:rPr>
              <w:t>108601</w:t>
            </w:r>
          </w:p>
        </w:tc>
        <w:tc>
          <w:tcPr>
            <w:tcW w:w="1533" w:type="dxa"/>
            <w:vAlign w:val="center"/>
          </w:tcPr>
          <w:p w:rsidR="0077573A" w:rsidRDefault="001633E3">
            <w:pPr>
              <w:jc w:val="center"/>
            </w:pPr>
            <w:r>
              <w:rPr>
                <w:color w:val="000000"/>
                <w:sz w:val="24"/>
              </w:rPr>
              <w:t>国开</w:t>
            </w:r>
            <w:r>
              <w:rPr>
                <w:color w:val="000000"/>
                <w:sz w:val="24"/>
              </w:rPr>
              <w:t>1703</w:t>
            </w:r>
          </w:p>
        </w:tc>
        <w:tc>
          <w:tcPr>
            <w:tcW w:w="1394" w:type="dxa"/>
            <w:vAlign w:val="center"/>
          </w:tcPr>
          <w:p w:rsidR="0077573A" w:rsidRDefault="001633E3">
            <w:pPr>
              <w:jc w:val="right"/>
            </w:pPr>
            <w:r>
              <w:rPr>
                <w:color w:val="000000"/>
                <w:sz w:val="24"/>
              </w:rPr>
              <w:t>104,000</w:t>
            </w:r>
          </w:p>
        </w:tc>
        <w:tc>
          <w:tcPr>
            <w:tcW w:w="1944" w:type="dxa"/>
            <w:vAlign w:val="center"/>
          </w:tcPr>
          <w:p w:rsidR="0077573A" w:rsidRDefault="001633E3">
            <w:pPr>
              <w:jc w:val="right"/>
            </w:pPr>
            <w:r>
              <w:rPr>
                <w:color w:val="000000"/>
                <w:sz w:val="24"/>
              </w:rPr>
              <w:t>10,379,200.00</w:t>
            </w:r>
          </w:p>
        </w:tc>
        <w:tc>
          <w:tcPr>
            <w:tcW w:w="1389" w:type="dxa"/>
            <w:vAlign w:val="center"/>
          </w:tcPr>
          <w:p w:rsidR="0077573A" w:rsidRDefault="001633E3">
            <w:pPr>
              <w:jc w:val="right"/>
            </w:pPr>
            <w:r>
              <w:rPr>
                <w:color w:val="000000"/>
                <w:sz w:val="24"/>
              </w:rPr>
              <w:t>33.76</w:t>
            </w:r>
          </w:p>
        </w:tc>
      </w:tr>
      <w:tr w:rsidR="0077573A">
        <w:trPr>
          <w:jc w:val="center"/>
        </w:trPr>
        <w:tc>
          <w:tcPr>
            <w:tcW w:w="1075" w:type="dxa"/>
            <w:vAlign w:val="center"/>
          </w:tcPr>
          <w:p w:rsidR="0077573A" w:rsidRDefault="001633E3">
            <w:pPr>
              <w:jc w:val="center"/>
            </w:pPr>
            <w:r>
              <w:rPr>
                <w:color w:val="000000"/>
                <w:sz w:val="24"/>
              </w:rPr>
              <w:t>2</w:t>
            </w:r>
          </w:p>
        </w:tc>
        <w:tc>
          <w:tcPr>
            <w:tcW w:w="1533" w:type="dxa"/>
            <w:vAlign w:val="center"/>
          </w:tcPr>
          <w:p w:rsidR="0077573A" w:rsidRDefault="001633E3">
            <w:pPr>
              <w:jc w:val="center"/>
            </w:pPr>
            <w:r>
              <w:rPr>
                <w:color w:val="000000"/>
                <w:sz w:val="24"/>
              </w:rPr>
              <w:t>179934</w:t>
            </w:r>
          </w:p>
        </w:tc>
        <w:tc>
          <w:tcPr>
            <w:tcW w:w="1533" w:type="dxa"/>
            <w:vAlign w:val="center"/>
          </w:tcPr>
          <w:p w:rsidR="0077573A" w:rsidRDefault="001633E3">
            <w:pPr>
              <w:jc w:val="center"/>
            </w:pPr>
            <w:r>
              <w:rPr>
                <w:color w:val="000000"/>
                <w:sz w:val="24"/>
              </w:rPr>
              <w:t>17</w:t>
            </w:r>
            <w:r>
              <w:rPr>
                <w:color w:val="000000"/>
                <w:sz w:val="24"/>
              </w:rPr>
              <w:t>贴现国债</w:t>
            </w:r>
            <w:r>
              <w:rPr>
                <w:color w:val="000000"/>
                <w:sz w:val="24"/>
              </w:rPr>
              <w:t>34</w:t>
            </w:r>
          </w:p>
        </w:tc>
        <w:tc>
          <w:tcPr>
            <w:tcW w:w="1394" w:type="dxa"/>
            <w:vAlign w:val="center"/>
          </w:tcPr>
          <w:p w:rsidR="0077573A" w:rsidRDefault="001633E3">
            <w:pPr>
              <w:jc w:val="right"/>
            </w:pPr>
            <w:r>
              <w:rPr>
                <w:color w:val="000000"/>
                <w:sz w:val="24"/>
              </w:rPr>
              <w:t>100,000</w:t>
            </w:r>
          </w:p>
        </w:tc>
        <w:tc>
          <w:tcPr>
            <w:tcW w:w="1944" w:type="dxa"/>
            <w:vAlign w:val="center"/>
          </w:tcPr>
          <w:p w:rsidR="0077573A" w:rsidRDefault="001633E3">
            <w:pPr>
              <w:jc w:val="right"/>
            </w:pPr>
            <w:r>
              <w:rPr>
                <w:color w:val="000000"/>
                <w:sz w:val="24"/>
              </w:rPr>
              <w:t>9,840,000.00</w:t>
            </w:r>
          </w:p>
        </w:tc>
        <w:tc>
          <w:tcPr>
            <w:tcW w:w="1389" w:type="dxa"/>
            <w:vAlign w:val="center"/>
          </w:tcPr>
          <w:p w:rsidR="0077573A" w:rsidRDefault="001633E3">
            <w:pPr>
              <w:jc w:val="right"/>
            </w:pPr>
            <w:r>
              <w:rPr>
                <w:color w:val="000000"/>
                <w:sz w:val="24"/>
              </w:rPr>
              <w:t>32.01</w:t>
            </w:r>
          </w:p>
        </w:tc>
      </w:tr>
      <w:tr w:rsidR="0077573A">
        <w:trPr>
          <w:jc w:val="center"/>
        </w:trPr>
        <w:tc>
          <w:tcPr>
            <w:tcW w:w="1075" w:type="dxa"/>
            <w:vAlign w:val="center"/>
          </w:tcPr>
          <w:p w:rsidR="0077573A" w:rsidRDefault="001633E3">
            <w:pPr>
              <w:jc w:val="center"/>
            </w:pPr>
            <w:r>
              <w:rPr>
                <w:color w:val="000000"/>
                <w:sz w:val="24"/>
              </w:rPr>
              <w:t>3</w:t>
            </w:r>
          </w:p>
        </w:tc>
        <w:tc>
          <w:tcPr>
            <w:tcW w:w="1533" w:type="dxa"/>
            <w:vAlign w:val="center"/>
          </w:tcPr>
          <w:p w:rsidR="0077573A" w:rsidRDefault="001633E3">
            <w:pPr>
              <w:jc w:val="center"/>
            </w:pPr>
            <w:r>
              <w:rPr>
                <w:color w:val="000000"/>
                <w:sz w:val="24"/>
              </w:rPr>
              <w:t>124393</w:t>
            </w:r>
          </w:p>
        </w:tc>
        <w:tc>
          <w:tcPr>
            <w:tcW w:w="1533" w:type="dxa"/>
            <w:vAlign w:val="center"/>
          </w:tcPr>
          <w:p w:rsidR="0077573A" w:rsidRDefault="001633E3">
            <w:pPr>
              <w:jc w:val="center"/>
            </w:pPr>
            <w:r>
              <w:rPr>
                <w:color w:val="000000"/>
                <w:sz w:val="24"/>
              </w:rPr>
              <w:t>PR</w:t>
            </w:r>
            <w:r>
              <w:rPr>
                <w:color w:val="000000"/>
                <w:sz w:val="24"/>
              </w:rPr>
              <w:t>连顺兴</w:t>
            </w:r>
          </w:p>
        </w:tc>
        <w:tc>
          <w:tcPr>
            <w:tcW w:w="1394" w:type="dxa"/>
            <w:vAlign w:val="center"/>
          </w:tcPr>
          <w:p w:rsidR="0077573A" w:rsidRDefault="001633E3">
            <w:pPr>
              <w:jc w:val="right"/>
            </w:pPr>
            <w:r>
              <w:rPr>
                <w:color w:val="000000"/>
                <w:sz w:val="24"/>
              </w:rPr>
              <w:t>18,750</w:t>
            </w:r>
          </w:p>
        </w:tc>
        <w:tc>
          <w:tcPr>
            <w:tcW w:w="1944" w:type="dxa"/>
            <w:vAlign w:val="center"/>
          </w:tcPr>
          <w:p w:rsidR="0077573A" w:rsidRDefault="001633E3">
            <w:pPr>
              <w:jc w:val="right"/>
            </w:pPr>
            <w:r>
              <w:rPr>
                <w:color w:val="000000"/>
                <w:sz w:val="24"/>
              </w:rPr>
              <w:t>1,542,750.00</w:t>
            </w:r>
          </w:p>
        </w:tc>
        <w:tc>
          <w:tcPr>
            <w:tcW w:w="1389" w:type="dxa"/>
            <w:vAlign w:val="center"/>
          </w:tcPr>
          <w:p w:rsidR="0077573A" w:rsidRDefault="001633E3">
            <w:pPr>
              <w:jc w:val="right"/>
            </w:pPr>
            <w:r>
              <w:rPr>
                <w:color w:val="000000"/>
                <w:sz w:val="24"/>
              </w:rPr>
              <w:t>5.02</w:t>
            </w:r>
          </w:p>
        </w:tc>
      </w:tr>
      <w:tr w:rsidR="0077573A">
        <w:trPr>
          <w:jc w:val="center"/>
        </w:trPr>
        <w:tc>
          <w:tcPr>
            <w:tcW w:w="1075" w:type="dxa"/>
            <w:vAlign w:val="center"/>
          </w:tcPr>
          <w:p w:rsidR="0077573A" w:rsidRDefault="001633E3">
            <w:pPr>
              <w:jc w:val="center"/>
            </w:pPr>
            <w:r>
              <w:rPr>
                <w:color w:val="000000"/>
                <w:sz w:val="24"/>
              </w:rPr>
              <w:t>4</w:t>
            </w:r>
          </w:p>
        </w:tc>
        <w:tc>
          <w:tcPr>
            <w:tcW w:w="1533" w:type="dxa"/>
            <w:vAlign w:val="center"/>
          </w:tcPr>
          <w:p w:rsidR="0077573A" w:rsidRDefault="001633E3">
            <w:pPr>
              <w:jc w:val="center"/>
            </w:pPr>
            <w:r>
              <w:rPr>
                <w:color w:val="000000"/>
                <w:sz w:val="24"/>
              </w:rPr>
              <w:t>122357</w:t>
            </w:r>
          </w:p>
        </w:tc>
        <w:tc>
          <w:tcPr>
            <w:tcW w:w="1533" w:type="dxa"/>
            <w:vAlign w:val="center"/>
          </w:tcPr>
          <w:p w:rsidR="0077573A" w:rsidRDefault="001633E3">
            <w:pPr>
              <w:jc w:val="center"/>
            </w:pPr>
            <w:r>
              <w:rPr>
                <w:color w:val="000000"/>
                <w:sz w:val="24"/>
              </w:rPr>
              <w:t>14</w:t>
            </w:r>
            <w:r>
              <w:rPr>
                <w:color w:val="000000"/>
                <w:sz w:val="24"/>
              </w:rPr>
              <w:t>浙证债</w:t>
            </w:r>
          </w:p>
        </w:tc>
        <w:tc>
          <w:tcPr>
            <w:tcW w:w="1394" w:type="dxa"/>
            <w:vAlign w:val="center"/>
          </w:tcPr>
          <w:p w:rsidR="0077573A" w:rsidRDefault="001633E3">
            <w:pPr>
              <w:jc w:val="right"/>
            </w:pPr>
            <w:r>
              <w:rPr>
                <w:color w:val="000000"/>
                <w:sz w:val="24"/>
              </w:rPr>
              <w:t>10,000</w:t>
            </w:r>
          </w:p>
        </w:tc>
        <w:tc>
          <w:tcPr>
            <w:tcW w:w="1944" w:type="dxa"/>
            <w:vAlign w:val="center"/>
          </w:tcPr>
          <w:p w:rsidR="0077573A" w:rsidRDefault="001633E3">
            <w:pPr>
              <w:jc w:val="right"/>
            </w:pPr>
            <w:r>
              <w:rPr>
                <w:color w:val="000000"/>
                <w:sz w:val="24"/>
              </w:rPr>
              <w:t>998,700.00</w:t>
            </w:r>
          </w:p>
        </w:tc>
        <w:tc>
          <w:tcPr>
            <w:tcW w:w="1389" w:type="dxa"/>
            <w:vAlign w:val="center"/>
          </w:tcPr>
          <w:p w:rsidR="0077573A" w:rsidRDefault="001633E3">
            <w:pPr>
              <w:jc w:val="right"/>
            </w:pPr>
            <w:r>
              <w:rPr>
                <w:color w:val="000000"/>
                <w:sz w:val="24"/>
              </w:rPr>
              <w:t>3.25</w:t>
            </w:r>
          </w:p>
        </w:tc>
      </w:tr>
      <w:tr w:rsidR="0077573A">
        <w:trPr>
          <w:jc w:val="center"/>
        </w:trPr>
        <w:tc>
          <w:tcPr>
            <w:tcW w:w="1075" w:type="dxa"/>
            <w:vAlign w:val="center"/>
          </w:tcPr>
          <w:p w:rsidR="0077573A" w:rsidRDefault="001633E3">
            <w:pPr>
              <w:jc w:val="center"/>
            </w:pPr>
            <w:r>
              <w:rPr>
                <w:color w:val="000000"/>
                <w:sz w:val="24"/>
              </w:rPr>
              <w:t>5</w:t>
            </w:r>
          </w:p>
        </w:tc>
        <w:tc>
          <w:tcPr>
            <w:tcW w:w="1533" w:type="dxa"/>
            <w:vAlign w:val="center"/>
          </w:tcPr>
          <w:p w:rsidR="0077573A" w:rsidRDefault="001633E3">
            <w:pPr>
              <w:jc w:val="center"/>
            </w:pPr>
            <w:r>
              <w:rPr>
                <w:color w:val="000000"/>
                <w:sz w:val="24"/>
              </w:rPr>
              <w:t>112322</w:t>
            </w:r>
          </w:p>
        </w:tc>
        <w:tc>
          <w:tcPr>
            <w:tcW w:w="1533" w:type="dxa"/>
            <w:vAlign w:val="center"/>
          </w:tcPr>
          <w:p w:rsidR="0077573A" w:rsidRDefault="001633E3">
            <w:pPr>
              <w:jc w:val="center"/>
            </w:pPr>
            <w:r>
              <w:rPr>
                <w:color w:val="000000"/>
                <w:sz w:val="24"/>
              </w:rPr>
              <w:t>16</w:t>
            </w:r>
            <w:r>
              <w:rPr>
                <w:color w:val="000000"/>
                <w:sz w:val="24"/>
              </w:rPr>
              <w:t>涪陵</w:t>
            </w:r>
            <w:r>
              <w:rPr>
                <w:color w:val="000000"/>
                <w:sz w:val="24"/>
              </w:rPr>
              <w:t>01</w:t>
            </w:r>
          </w:p>
        </w:tc>
        <w:tc>
          <w:tcPr>
            <w:tcW w:w="1394" w:type="dxa"/>
            <w:vAlign w:val="center"/>
          </w:tcPr>
          <w:p w:rsidR="0077573A" w:rsidRDefault="001633E3">
            <w:pPr>
              <w:jc w:val="right"/>
            </w:pPr>
            <w:r>
              <w:rPr>
                <w:color w:val="000000"/>
                <w:sz w:val="24"/>
              </w:rPr>
              <w:t>10,000</w:t>
            </w:r>
          </w:p>
        </w:tc>
        <w:tc>
          <w:tcPr>
            <w:tcW w:w="1944" w:type="dxa"/>
            <w:vAlign w:val="center"/>
          </w:tcPr>
          <w:p w:rsidR="0077573A" w:rsidRDefault="001633E3">
            <w:pPr>
              <w:jc w:val="right"/>
            </w:pPr>
            <w:r>
              <w:rPr>
                <w:color w:val="000000"/>
                <w:sz w:val="24"/>
              </w:rPr>
              <w:t>980,800.00</w:t>
            </w:r>
          </w:p>
        </w:tc>
        <w:tc>
          <w:tcPr>
            <w:tcW w:w="1389" w:type="dxa"/>
            <w:vAlign w:val="center"/>
          </w:tcPr>
          <w:p w:rsidR="0077573A" w:rsidRDefault="001633E3">
            <w:pPr>
              <w:jc w:val="right"/>
            </w:pPr>
            <w:r>
              <w:rPr>
                <w:color w:val="000000"/>
                <w:sz w:val="24"/>
              </w:rPr>
              <w:t>3.19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lastRenderedPageBreak/>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报告期内本基金投资的前十名证券的发行主体除神火股份（证券代码</w:t>
      </w:r>
      <w:r w:rsidRPr="00384E65">
        <w:rPr>
          <w:kern w:val="0"/>
          <w:sz w:val="24"/>
        </w:rPr>
        <w:t>: 000933</w:t>
      </w:r>
      <w:r w:rsidRPr="00384E65">
        <w:rPr>
          <w:kern w:val="0"/>
          <w:sz w:val="24"/>
        </w:rPr>
        <w:t>）外，未出现被监管部门立案调查，或在报告编制日前一年内受到公开谴责、处罚的情形。</w:t>
      </w:r>
    </w:p>
    <w:p w:rsidR="0077573A" w:rsidRDefault="001633E3">
      <w:pPr>
        <w:autoSpaceDE w:val="0"/>
        <w:autoSpaceDN w:val="0"/>
        <w:adjustRightInd w:val="0"/>
        <w:spacing w:before="29" w:line="288" w:lineRule="auto"/>
        <w:rPr>
          <w:kern w:val="0"/>
          <w:sz w:val="24"/>
        </w:rPr>
      </w:pPr>
      <w:r>
        <w:rPr>
          <w:kern w:val="0"/>
          <w:sz w:val="24"/>
        </w:rPr>
        <w:t>报告期内本基金投资的前十名证券之一神火股份（证券代码</w:t>
      </w:r>
      <w:r>
        <w:rPr>
          <w:kern w:val="0"/>
          <w:sz w:val="24"/>
        </w:rPr>
        <w:t>:000933</w:t>
      </w:r>
      <w:r>
        <w:rPr>
          <w:kern w:val="0"/>
          <w:sz w:val="24"/>
        </w:rPr>
        <w:t>）于</w:t>
      </w:r>
      <w:r>
        <w:rPr>
          <w:kern w:val="0"/>
          <w:sz w:val="24"/>
        </w:rPr>
        <w:t>2017</w:t>
      </w:r>
      <w:r>
        <w:rPr>
          <w:kern w:val="0"/>
          <w:sz w:val="24"/>
        </w:rPr>
        <w:t>年</w:t>
      </w:r>
      <w:r>
        <w:rPr>
          <w:kern w:val="0"/>
          <w:sz w:val="24"/>
        </w:rPr>
        <w:t>8</w:t>
      </w:r>
      <w:r>
        <w:rPr>
          <w:kern w:val="0"/>
          <w:sz w:val="24"/>
        </w:rPr>
        <w:t>月</w:t>
      </w:r>
      <w:r>
        <w:rPr>
          <w:kern w:val="0"/>
          <w:sz w:val="24"/>
        </w:rPr>
        <w:t>30</w:t>
      </w:r>
      <w:r>
        <w:rPr>
          <w:kern w:val="0"/>
          <w:sz w:val="24"/>
        </w:rPr>
        <w:t>日公告，</w:t>
      </w:r>
      <w:r>
        <w:rPr>
          <w:kern w:val="0"/>
          <w:sz w:val="24"/>
        </w:rPr>
        <w:t>2017</w:t>
      </w:r>
      <w:r>
        <w:rPr>
          <w:kern w:val="0"/>
          <w:sz w:val="24"/>
        </w:rPr>
        <w:t>年</w:t>
      </w:r>
      <w:r>
        <w:rPr>
          <w:kern w:val="0"/>
          <w:sz w:val="24"/>
        </w:rPr>
        <w:t>5</w:t>
      </w:r>
      <w:r>
        <w:rPr>
          <w:kern w:val="0"/>
          <w:sz w:val="24"/>
        </w:rPr>
        <w:t>月</w:t>
      </w:r>
      <w:r>
        <w:rPr>
          <w:kern w:val="0"/>
          <w:sz w:val="24"/>
        </w:rPr>
        <w:t>15</w:t>
      </w:r>
      <w:r>
        <w:rPr>
          <w:kern w:val="0"/>
          <w:sz w:val="24"/>
        </w:rPr>
        <w:t>日公司下属薛湖煤矿</w:t>
      </w:r>
      <w:r>
        <w:rPr>
          <w:kern w:val="0"/>
          <w:sz w:val="24"/>
        </w:rPr>
        <w:t>2306</w:t>
      </w:r>
      <w:r>
        <w:rPr>
          <w:kern w:val="0"/>
          <w:sz w:val="24"/>
        </w:rPr>
        <w:t>风巷掘进工作面发生一起煤与瓦斯突出事故，公司于近日收到</w:t>
      </w:r>
      <w:r>
        <w:rPr>
          <w:kern w:val="0"/>
          <w:sz w:val="24"/>
        </w:rPr>
        <w:t>河南煤矿安全监察局出具的《关于河南神火集团有限公司薛湖煤矿</w:t>
      </w:r>
      <w:r>
        <w:rPr>
          <w:kern w:val="0"/>
          <w:sz w:val="24"/>
        </w:rPr>
        <w:t>“5.15”</w:t>
      </w:r>
      <w:r>
        <w:rPr>
          <w:kern w:val="0"/>
          <w:sz w:val="24"/>
        </w:rPr>
        <w:t>较大煤与瓦斯突出事故调查处理的意见》（豫煤安监调查</w:t>
      </w:r>
      <w:r>
        <w:rPr>
          <w:kern w:val="0"/>
          <w:sz w:val="24"/>
        </w:rPr>
        <w:t>[2017]137</w:t>
      </w:r>
      <w:r>
        <w:rPr>
          <w:kern w:val="0"/>
          <w:sz w:val="24"/>
        </w:rPr>
        <w:t>号）及事故调查组出具的《河南神火集团有限公司薛湖煤矿</w:t>
      </w:r>
      <w:r>
        <w:rPr>
          <w:kern w:val="0"/>
          <w:sz w:val="24"/>
        </w:rPr>
        <w:t>“5.15”</w:t>
      </w:r>
      <w:r>
        <w:rPr>
          <w:kern w:val="0"/>
          <w:sz w:val="24"/>
        </w:rPr>
        <w:t>较大煤与瓦斯突出事故调查报告》。据此，河南煤矿安全监察局对薛湖煤矿处</w:t>
      </w:r>
      <w:r>
        <w:rPr>
          <w:kern w:val="0"/>
          <w:sz w:val="24"/>
        </w:rPr>
        <w:t>300</w:t>
      </w:r>
      <w:r>
        <w:rPr>
          <w:kern w:val="0"/>
          <w:sz w:val="24"/>
        </w:rPr>
        <w:t>万元罚款。薛湖煤矿已于</w:t>
      </w:r>
      <w:r>
        <w:rPr>
          <w:kern w:val="0"/>
          <w:sz w:val="24"/>
        </w:rPr>
        <w:t>2017</w:t>
      </w:r>
      <w:r>
        <w:rPr>
          <w:kern w:val="0"/>
          <w:sz w:val="24"/>
        </w:rPr>
        <w:t>年</w:t>
      </w:r>
      <w:r>
        <w:rPr>
          <w:kern w:val="0"/>
          <w:sz w:val="24"/>
        </w:rPr>
        <w:t>8</w:t>
      </w:r>
      <w:r>
        <w:rPr>
          <w:kern w:val="0"/>
          <w:sz w:val="24"/>
        </w:rPr>
        <w:t>月</w:t>
      </w:r>
      <w:r>
        <w:rPr>
          <w:kern w:val="0"/>
          <w:sz w:val="24"/>
        </w:rPr>
        <w:t>28</w:t>
      </w:r>
      <w:r>
        <w:rPr>
          <w:kern w:val="0"/>
          <w:sz w:val="24"/>
        </w:rPr>
        <w:t>日复工复产。</w:t>
      </w:r>
    </w:p>
    <w:p w:rsidR="0077573A" w:rsidRDefault="001633E3">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w:t>
      </w:r>
      <w:r>
        <w:rPr>
          <w:kern w:val="0"/>
          <w:sz w:val="24"/>
        </w:rPr>
        <w:t>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27,191.82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380,190.25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6,290.76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619.70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414,292.53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19,161,982.32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8,949,456.51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10,476,624.11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25,285,587.78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4,742,443.39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28,554,691.43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24,896,163.04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5,680,352.86</w:t>
            </w:r>
          </w:p>
        </w:tc>
      </w:tr>
    </w:tbl>
    <w:p w:rsidR="0077573A" w:rsidRDefault="001633E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7573A">
        <w:tc>
          <w:tcPr>
            <w:tcW w:w="992" w:type="dxa"/>
            <w:vMerge w:val="restart"/>
          </w:tcPr>
          <w:p w:rsidR="0077573A" w:rsidRDefault="0077573A"/>
          <w:p w:rsidR="0077573A" w:rsidRDefault="001633E3">
            <w:r>
              <w:rPr>
                <w:rFonts w:ascii="宋体" w:hAnsi="宋体" w:hint="eastAsia"/>
                <w:bCs/>
                <w:color w:val="000000"/>
                <w:kern w:val="0"/>
                <w:szCs w:val="21"/>
              </w:rPr>
              <w:t>机构</w:t>
            </w:r>
          </w:p>
        </w:tc>
        <w:tc>
          <w:tcPr>
            <w:tcW w:w="991" w:type="dxa"/>
            <w:vAlign w:val="center"/>
          </w:tcPr>
          <w:p w:rsidR="0077573A" w:rsidRDefault="001633E3">
            <w:pPr>
              <w:jc w:val="center"/>
            </w:pPr>
            <w:r>
              <w:rPr>
                <w:rFonts w:ascii="宋体" w:hAnsi="宋体" w:hint="eastAsia"/>
                <w:color w:val="000000"/>
                <w:kern w:val="0"/>
                <w:szCs w:val="21"/>
              </w:rPr>
              <w:t>1</w:t>
            </w:r>
          </w:p>
        </w:tc>
        <w:tc>
          <w:tcPr>
            <w:tcW w:w="1843" w:type="dxa"/>
            <w:vAlign w:val="center"/>
          </w:tcPr>
          <w:p w:rsidR="0077573A" w:rsidRDefault="001633E3">
            <w:pPr>
              <w:jc w:val="center"/>
            </w:pPr>
            <w:r>
              <w:rPr>
                <w:rFonts w:ascii="宋体" w:hAnsi="宋体" w:hint="eastAsia"/>
                <w:color w:val="000000"/>
                <w:kern w:val="0"/>
                <w:szCs w:val="21"/>
              </w:rPr>
              <w:t>2017/7/1-2017/9/30</w:t>
            </w:r>
          </w:p>
        </w:tc>
        <w:tc>
          <w:tcPr>
            <w:tcW w:w="851" w:type="dxa"/>
            <w:vAlign w:val="center"/>
          </w:tcPr>
          <w:p w:rsidR="0077573A" w:rsidRDefault="001633E3">
            <w:pPr>
              <w:jc w:val="center"/>
            </w:pPr>
            <w:r>
              <w:rPr>
                <w:rFonts w:ascii="宋体" w:hAnsi="宋体" w:hint="eastAsia"/>
                <w:color w:val="000000"/>
                <w:kern w:val="0"/>
                <w:szCs w:val="21"/>
              </w:rPr>
              <w:t>-</w:t>
            </w:r>
          </w:p>
        </w:tc>
        <w:tc>
          <w:tcPr>
            <w:tcW w:w="850" w:type="dxa"/>
            <w:vAlign w:val="center"/>
          </w:tcPr>
          <w:p w:rsidR="0077573A" w:rsidRDefault="001633E3">
            <w:pPr>
              <w:jc w:val="center"/>
            </w:pPr>
            <w:r>
              <w:rPr>
                <w:rFonts w:ascii="宋体" w:hAnsi="宋体" w:hint="eastAsia"/>
                <w:color w:val="000000"/>
                <w:kern w:val="0"/>
                <w:szCs w:val="21"/>
              </w:rPr>
              <w:t>24,950,099.80</w:t>
            </w:r>
          </w:p>
        </w:tc>
        <w:tc>
          <w:tcPr>
            <w:tcW w:w="1134" w:type="dxa"/>
            <w:vAlign w:val="center"/>
          </w:tcPr>
          <w:p w:rsidR="0077573A" w:rsidRDefault="001633E3">
            <w:pPr>
              <w:jc w:val="center"/>
            </w:pPr>
            <w:r>
              <w:rPr>
                <w:rFonts w:ascii="宋体" w:hAnsi="宋体" w:hint="eastAsia"/>
                <w:color w:val="000000"/>
                <w:kern w:val="0"/>
                <w:szCs w:val="21"/>
              </w:rPr>
              <w:t>24,950,099.80</w:t>
            </w:r>
          </w:p>
        </w:tc>
        <w:tc>
          <w:tcPr>
            <w:tcW w:w="1419" w:type="dxa"/>
            <w:vAlign w:val="center"/>
          </w:tcPr>
          <w:p w:rsidR="0077573A" w:rsidRDefault="001633E3">
            <w:pPr>
              <w:jc w:val="center"/>
            </w:pPr>
            <w:r>
              <w:rPr>
                <w:rFonts w:ascii="宋体" w:hAnsi="宋体" w:hint="eastAsia"/>
                <w:color w:val="000000"/>
                <w:kern w:val="0"/>
                <w:szCs w:val="21"/>
              </w:rPr>
              <w:t>-</w:t>
            </w:r>
          </w:p>
        </w:tc>
        <w:tc>
          <w:tcPr>
            <w:tcW w:w="1130" w:type="dxa"/>
            <w:vAlign w:val="center"/>
          </w:tcPr>
          <w:p w:rsidR="0077573A" w:rsidRDefault="001633E3">
            <w:pPr>
              <w:jc w:val="center"/>
            </w:pPr>
            <w:r>
              <w:rPr>
                <w:rFonts w:ascii="宋体" w:hAnsi="宋体" w:hint="eastAsia"/>
                <w:color w:val="000000"/>
                <w:kern w:val="0"/>
                <w:szCs w:val="21"/>
              </w:rPr>
              <w:t>-</w:t>
            </w:r>
          </w:p>
        </w:tc>
      </w:tr>
      <w:tr w:rsidR="0077573A">
        <w:tc>
          <w:tcPr>
            <w:tcW w:w="992" w:type="dxa"/>
            <w:vMerge/>
          </w:tcPr>
          <w:p w:rsidR="0077573A" w:rsidRDefault="0077573A"/>
        </w:tc>
        <w:tc>
          <w:tcPr>
            <w:tcW w:w="991" w:type="dxa"/>
            <w:vAlign w:val="center"/>
          </w:tcPr>
          <w:p w:rsidR="0077573A" w:rsidRDefault="001633E3">
            <w:pPr>
              <w:jc w:val="center"/>
            </w:pPr>
            <w:r>
              <w:rPr>
                <w:rFonts w:ascii="宋体" w:hAnsi="宋体" w:hint="eastAsia"/>
                <w:color w:val="000000"/>
                <w:kern w:val="0"/>
                <w:szCs w:val="21"/>
              </w:rPr>
              <w:t>2</w:t>
            </w:r>
          </w:p>
        </w:tc>
        <w:tc>
          <w:tcPr>
            <w:tcW w:w="1843" w:type="dxa"/>
            <w:vAlign w:val="center"/>
          </w:tcPr>
          <w:p w:rsidR="0077573A" w:rsidRDefault="001633E3">
            <w:pPr>
              <w:jc w:val="center"/>
            </w:pPr>
            <w:r>
              <w:rPr>
                <w:rFonts w:ascii="宋体" w:hAnsi="宋体" w:hint="eastAsia"/>
                <w:color w:val="000000"/>
                <w:kern w:val="0"/>
                <w:szCs w:val="21"/>
              </w:rPr>
              <w:t>2017/7/1-2017/9/30</w:t>
            </w:r>
          </w:p>
        </w:tc>
        <w:tc>
          <w:tcPr>
            <w:tcW w:w="851" w:type="dxa"/>
            <w:vAlign w:val="center"/>
          </w:tcPr>
          <w:p w:rsidR="0077573A" w:rsidRDefault="001633E3">
            <w:pPr>
              <w:jc w:val="center"/>
            </w:pPr>
            <w:r>
              <w:rPr>
                <w:rFonts w:ascii="宋体" w:hAnsi="宋体" w:hint="eastAsia"/>
                <w:color w:val="000000"/>
                <w:kern w:val="0"/>
                <w:szCs w:val="21"/>
              </w:rPr>
              <w:t>-</w:t>
            </w:r>
          </w:p>
        </w:tc>
        <w:tc>
          <w:tcPr>
            <w:tcW w:w="850" w:type="dxa"/>
            <w:vAlign w:val="center"/>
          </w:tcPr>
          <w:p w:rsidR="0077573A" w:rsidRDefault="001633E3">
            <w:pPr>
              <w:jc w:val="center"/>
            </w:pPr>
            <w:r>
              <w:rPr>
                <w:rFonts w:ascii="宋体" w:hAnsi="宋体" w:hint="eastAsia"/>
                <w:color w:val="000000"/>
                <w:kern w:val="0"/>
                <w:szCs w:val="21"/>
              </w:rPr>
              <w:t>9,736,124.63</w:t>
            </w:r>
          </w:p>
        </w:tc>
        <w:tc>
          <w:tcPr>
            <w:tcW w:w="1134" w:type="dxa"/>
            <w:vAlign w:val="center"/>
          </w:tcPr>
          <w:p w:rsidR="0077573A" w:rsidRDefault="001633E3">
            <w:pPr>
              <w:jc w:val="center"/>
            </w:pPr>
            <w:r>
              <w:rPr>
                <w:rFonts w:ascii="宋体" w:hAnsi="宋体" w:hint="eastAsia"/>
                <w:color w:val="000000"/>
                <w:kern w:val="0"/>
                <w:szCs w:val="21"/>
              </w:rPr>
              <w:t>-</w:t>
            </w:r>
          </w:p>
        </w:tc>
        <w:tc>
          <w:tcPr>
            <w:tcW w:w="1419" w:type="dxa"/>
            <w:vAlign w:val="center"/>
          </w:tcPr>
          <w:p w:rsidR="0077573A" w:rsidRDefault="001633E3">
            <w:pPr>
              <w:jc w:val="center"/>
            </w:pPr>
            <w:r>
              <w:rPr>
                <w:rFonts w:ascii="宋体" w:hAnsi="宋体" w:hint="eastAsia"/>
                <w:color w:val="000000"/>
                <w:kern w:val="0"/>
                <w:szCs w:val="21"/>
              </w:rPr>
              <w:t>9,736,124.63</w:t>
            </w:r>
          </w:p>
        </w:tc>
        <w:tc>
          <w:tcPr>
            <w:tcW w:w="1130" w:type="dxa"/>
            <w:vAlign w:val="center"/>
          </w:tcPr>
          <w:p w:rsidR="0077573A" w:rsidRDefault="001633E3">
            <w:pPr>
              <w:jc w:val="center"/>
            </w:pPr>
            <w:r>
              <w:rPr>
                <w:rFonts w:ascii="宋体" w:hAnsi="宋体" w:hint="eastAsia"/>
                <w:color w:val="000000"/>
                <w:kern w:val="0"/>
                <w:szCs w:val="21"/>
              </w:rPr>
              <w:t>31.84%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77573A" w:rsidRDefault="001633E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w:t>
      </w:r>
      <w:r w:rsidRPr="007F52FA">
        <w:rPr>
          <w:rFonts w:eastAsiaTheme="minorEastAsia"/>
          <w:color w:val="000000"/>
          <w:sz w:val="24"/>
        </w:rPr>
        <w:lastRenderedPageBreak/>
        <w:t>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3E3" w:rsidRDefault="001633E3">
      <w:r>
        <w:separator/>
      </w:r>
    </w:p>
  </w:endnote>
  <w:endnote w:type="continuationSeparator" w:id="0">
    <w:p w:rsidR="001633E3" w:rsidRDefault="0016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7D7B0D">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7D7B0D">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3E3" w:rsidRDefault="001633E3">
      <w:r>
        <w:separator/>
      </w:r>
    </w:p>
  </w:footnote>
  <w:footnote w:type="continuationSeparator" w:id="0">
    <w:p w:rsidR="001633E3" w:rsidRDefault="00163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633E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3E3"/>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73A"/>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D7B0D"/>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3475E7E3-51AD-4DE9-983E-C97A4FC3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CE44-02B2-4E76-B87B-23434CBE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196</TotalTime>
  <Pages>15</Pages>
  <Words>1323</Words>
  <Characters>7543</Characters>
  <Application>Microsoft Office Word</Application>
  <DocSecurity>0</DocSecurity>
  <Lines>62</Lines>
  <Paragraphs>17</Paragraphs>
  <ScaleCrop>false</ScaleCrop>
  <Company>TRT. Ltd. Co.</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370</cp:revision>
  <cp:lastPrinted>2007-07-19T00:46:00Z</cp:lastPrinted>
  <dcterms:created xsi:type="dcterms:W3CDTF">2014-01-17T06:19:00Z</dcterms:created>
  <dcterms:modified xsi:type="dcterms:W3CDTF">2017-10-23T07:22:00Z</dcterms:modified>
</cp:coreProperties>
</file>