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交银施罗德增强收益债券型证券投资基金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二〇一七年十月二十五日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02562" w:rsidRDefault="00C82C2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02562" w:rsidRDefault="00C82C2F">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02562" w:rsidRDefault="00C82C2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02562" w:rsidRDefault="00C82C2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02562" w:rsidRDefault="00C82C2F">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交银增强收益债券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35,537,817.45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90%×</w:t>
            </w:r>
            <w:r w:rsidRPr="00414345">
              <w:rPr>
                <w:color w:val="000000"/>
                <w:kern w:val="0"/>
                <w:sz w:val="24"/>
                <w:szCs w:val="24"/>
              </w:rPr>
              <w:t>中证综合债券指数收益率</w:t>
            </w:r>
            <w:r w:rsidRPr="00414345">
              <w:rPr>
                <w:color w:val="000000"/>
                <w:kern w:val="0"/>
                <w:sz w:val="24"/>
                <w:szCs w:val="24"/>
              </w:rPr>
              <w:t>+10%×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w:t>
            </w:r>
            <w:r w:rsidRPr="00414345">
              <w:rPr>
                <w:color w:val="000000"/>
                <w:kern w:val="0"/>
                <w:sz w:val="24"/>
                <w:szCs w:val="24"/>
              </w:rPr>
              <w:lastRenderedPageBreak/>
              <w:t>益和风险高于货币市场基金，低于混合型基金和股票型基金，属于证券投资基金中中等风险品种。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86CF5" w:rsidRPr="00414345" w:rsidTr="00F86CF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86CF5" w:rsidRPr="00414345" w:rsidTr="00F86CF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-148,775.39</w:t>
            </w:r>
          </w:p>
        </w:tc>
      </w:tr>
      <w:tr w:rsidR="00F86CF5" w:rsidRPr="00414345" w:rsidTr="00F86CF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17,322.18</w:t>
            </w:r>
          </w:p>
        </w:tc>
      </w:tr>
      <w:tr w:rsidR="00F86CF5" w:rsidRPr="00414345" w:rsidTr="00F86CF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0.0004</w:t>
            </w:r>
          </w:p>
        </w:tc>
      </w:tr>
      <w:tr w:rsidR="00F86CF5" w:rsidRPr="00414345" w:rsidTr="00F86CF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45,181,919.53</w:t>
            </w:r>
          </w:p>
        </w:tc>
      </w:tr>
      <w:tr w:rsidR="00F86CF5" w:rsidRPr="00414345" w:rsidTr="00F86CF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1.271</w:t>
            </w:r>
          </w:p>
        </w:tc>
      </w:tr>
    </w:tbl>
    <w:p w:rsidR="00202562" w:rsidRDefault="00C82C2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02562">
        <w:trPr>
          <w:jc w:val="center"/>
        </w:trPr>
        <w:tc>
          <w:tcPr>
            <w:tcW w:w="1701" w:type="dxa"/>
            <w:vAlign w:val="center"/>
          </w:tcPr>
          <w:p w:rsidR="00202562" w:rsidRDefault="00C82C2F">
            <w:pPr>
              <w:jc w:val="left"/>
            </w:pPr>
            <w:r>
              <w:rPr>
                <w:color w:val="000000"/>
                <w:sz w:val="24"/>
                <w:szCs w:val="24"/>
              </w:rPr>
              <w:t>过去三个月</w:t>
            </w:r>
          </w:p>
        </w:tc>
        <w:tc>
          <w:tcPr>
            <w:tcW w:w="1045" w:type="dxa"/>
            <w:vAlign w:val="center"/>
          </w:tcPr>
          <w:p w:rsidR="00202562" w:rsidRDefault="00C82C2F">
            <w:pPr>
              <w:jc w:val="center"/>
            </w:pPr>
            <w:r>
              <w:rPr>
                <w:color w:val="000000"/>
                <w:sz w:val="24"/>
                <w:szCs w:val="24"/>
              </w:rPr>
              <w:t>-0.08%</w:t>
            </w:r>
          </w:p>
        </w:tc>
        <w:tc>
          <w:tcPr>
            <w:tcW w:w="1344" w:type="dxa"/>
            <w:vAlign w:val="center"/>
          </w:tcPr>
          <w:p w:rsidR="00202562" w:rsidRDefault="00C82C2F">
            <w:pPr>
              <w:jc w:val="center"/>
            </w:pPr>
            <w:r>
              <w:rPr>
                <w:color w:val="000000"/>
                <w:sz w:val="24"/>
                <w:szCs w:val="24"/>
              </w:rPr>
              <w:t>0.30%</w:t>
            </w:r>
          </w:p>
        </w:tc>
        <w:tc>
          <w:tcPr>
            <w:tcW w:w="1194" w:type="dxa"/>
            <w:vAlign w:val="center"/>
          </w:tcPr>
          <w:p w:rsidR="00202562" w:rsidRDefault="00C82C2F">
            <w:pPr>
              <w:jc w:val="center"/>
            </w:pPr>
            <w:r>
              <w:rPr>
                <w:color w:val="000000"/>
                <w:sz w:val="24"/>
                <w:szCs w:val="24"/>
              </w:rPr>
              <w:t>1.03%</w:t>
            </w:r>
          </w:p>
        </w:tc>
        <w:tc>
          <w:tcPr>
            <w:tcW w:w="1492" w:type="dxa"/>
            <w:vAlign w:val="center"/>
          </w:tcPr>
          <w:p w:rsidR="00202562" w:rsidRDefault="00C82C2F">
            <w:pPr>
              <w:jc w:val="center"/>
            </w:pPr>
            <w:r>
              <w:rPr>
                <w:color w:val="000000"/>
                <w:sz w:val="24"/>
                <w:szCs w:val="24"/>
              </w:rPr>
              <w:t>0.06%</w:t>
            </w:r>
          </w:p>
        </w:tc>
        <w:tc>
          <w:tcPr>
            <w:tcW w:w="1194" w:type="dxa"/>
            <w:vAlign w:val="center"/>
          </w:tcPr>
          <w:p w:rsidR="00202562" w:rsidRDefault="00C82C2F">
            <w:pPr>
              <w:jc w:val="center"/>
            </w:pPr>
            <w:r>
              <w:rPr>
                <w:color w:val="000000"/>
                <w:sz w:val="24"/>
                <w:szCs w:val="24"/>
              </w:rPr>
              <w:t>-1.11%</w:t>
            </w:r>
          </w:p>
        </w:tc>
        <w:tc>
          <w:tcPr>
            <w:tcW w:w="898" w:type="dxa"/>
            <w:vAlign w:val="center"/>
          </w:tcPr>
          <w:p w:rsidR="00202562" w:rsidRDefault="00C82C2F">
            <w:pPr>
              <w:jc w:val="center"/>
            </w:pPr>
            <w:r>
              <w:rPr>
                <w:color w:val="000000"/>
                <w:sz w:val="24"/>
                <w:szCs w:val="24"/>
              </w:rPr>
              <w:t>0.24%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交银施罗德增强收益债券型证券投资基金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F86CF5" w:rsidP="00C15CAC">
      <w:pPr>
        <w:pStyle w:val="a5"/>
        <w:snapToGrid w:val="0"/>
        <w:spacing w:before="29" w:line="288" w:lineRule="auto"/>
        <w:jc w:val="center"/>
        <w:rPr>
          <w:rFonts w:ascii="Times New Roman" w:hAnsi="Times New Roman" w:cs="Times New Roman"/>
          <w:color w:val="000000"/>
          <w:sz w:val="24"/>
          <w:szCs w:val="24"/>
        </w:rPr>
      </w:pPr>
      <w:r>
        <w:rPr>
          <w:noProof/>
        </w:rPr>
        <w:lastRenderedPageBreak/>
        <w:drawing>
          <wp:inline distT="0" distB="0" distL="0" distR="0" wp14:anchorId="7C82B02F" wp14:editId="3CAE0385">
            <wp:extent cx="5549127" cy="3251835"/>
            <wp:effectExtent l="0" t="0" r="0" b="5715"/>
            <wp:docPr id="1"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554834" cy="3255179"/>
                    </a:xfrm>
                    <a:prstGeom prst="rect">
                      <a:avLst/>
                    </a:prstGeom>
                    <a:noFill/>
                    <a:ln>
                      <a:noFill/>
                    </a:ln>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注：本基金由交银施罗德荣泰保本混合型证券投资基金转型而来。基金转型日为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日，基金转型日至报告期期末，本基金转型时间未满一年。本基金的投资转型期为交银施罗德荣泰保本混合型证券投资基金保本周期到期期间截止日的次日（即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02562">
        <w:trPr>
          <w:jc w:val="center"/>
        </w:trPr>
        <w:tc>
          <w:tcPr>
            <w:tcW w:w="846" w:type="dxa"/>
            <w:vAlign w:val="center"/>
          </w:tcPr>
          <w:p w:rsidR="00202562" w:rsidRDefault="00C82C2F">
            <w:pPr>
              <w:jc w:val="center"/>
            </w:pPr>
            <w:r>
              <w:rPr>
                <w:color w:val="000000"/>
                <w:sz w:val="24"/>
                <w:szCs w:val="24"/>
              </w:rPr>
              <w:t>于海颖</w:t>
            </w:r>
          </w:p>
        </w:tc>
        <w:tc>
          <w:tcPr>
            <w:tcW w:w="845" w:type="dxa"/>
            <w:vAlign w:val="center"/>
          </w:tcPr>
          <w:p w:rsidR="00202562" w:rsidRDefault="00C82C2F">
            <w:pPr>
              <w:jc w:val="center"/>
            </w:pPr>
            <w:r>
              <w:rPr>
                <w:color w:val="000000"/>
                <w:sz w:val="24"/>
                <w:szCs w:val="24"/>
              </w:rPr>
              <w:t>交银增利债券、交银纯债债券发起、交银荣祥保本混合、交银</w:t>
            </w:r>
            <w:r>
              <w:rPr>
                <w:color w:val="000000"/>
                <w:sz w:val="24"/>
                <w:szCs w:val="24"/>
              </w:rPr>
              <w:lastRenderedPageBreak/>
              <w:t>定期支付月月丰债券、交银增强收益债券、交银强化回报债券、交银丰盈收益债券、交银丰硕收益债券、交银荣鑫保本混合、交银增利增强债券的基金经理，公司固定收益（公募）投资总监</w:t>
            </w:r>
          </w:p>
        </w:tc>
        <w:tc>
          <w:tcPr>
            <w:tcW w:w="1549" w:type="dxa"/>
            <w:vAlign w:val="center"/>
          </w:tcPr>
          <w:p w:rsidR="00202562" w:rsidRDefault="00C82C2F">
            <w:pPr>
              <w:jc w:val="center"/>
            </w:pPr>
            <w:r>
              <w:rPr>
                <w:color w:val="000000"/>
                <w:sz w:val="24"/>
                <w:szCs w:val="24"/>
              </w:rPr>
              <w:lastRenderedPageBreak/>
              <w:t>2017-06-10</w:t>
            </w:r>
          </w:p>
        </w:tc>
        <w:tc>
          <w:tcPr>
            <w:tcW w:w="1548" w:type="dxa"/>
            <w:vAlign w:val="center"/>
          </w:tcPr>
          <w:p w:rsidR="00202562" w:rsidRDefault="00C82C2F">
            <w:pPr>
              <w:jc w:val="center"/>
            </w:pPr>
            <w:r>
              <w:rPr>
                <w:color w:val="000000"/>
                <w:sz w:val="24"/>
                <w:szCs w:val="24"/>
              </w:rPr>
              <w:t>-</w:t>
            </w:r>
          </w:p>
        </w:tc>
        <w:tc>
          <w:tcPr>
            <w:tcW w:w="1407" w:type="dxa"/>
            <w:vAlign w:val="center"/>
          </w:tcPr>
          <w:p w:rsidR="00202562" w:rsidRDefault="00C82C2F">
            <w:pPr>
              <w:jc w:val="center"/>
            </w:pPr>
            <w:r>
              <w:rPr>
                <w:color w:val="000000"/>
                <w:sz w:val="24"/>
                <w:szCs w:val="24"/>
              </w:rPr>
              <w:t>11</w:t>
            </w:r>
            <w:r>
              <w:rPr>
                <w:color w:val="000000"/>
                <w:sz w:val="24"/>
                <w:szCs w:val="24"/>
              </w:rPr>
              <w:t>年</w:t>
            </w:r>
          </w:p>
        </w:tc>
        <w:tc>
          <w:tcPr>
            <w:tcW w:w="2673" w:type="dxa"/>
            <w:vAlign w:val="center"/>
          </w:tcPr>
          <w:p w:rsidR="00202562" w:rsidRDefault="00C82C2F">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lastRenderedPageBreak/>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w:t>
      </w:r>
      <w:r w:rsidRPr="00414345">
        <w:rPr>
          <w:color w:val="000000"/>
          <w:sz w:val="24"/>
          <w:szCs w:val="24"/>
        </w:rPr>
        <w:lastRenderedPageBreak/>
        <w:t>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02562" w:rsidRDefault="00C82C2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02562" w:rsidRDefault="00C82C2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02562" w:rsidRDefault="00C82C2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02562" w:rsidRDefault="00C82C2F">
      <w:pPr>
        <w:spacing w:before="29" w:line="288" w:lineRule="auto"/>
        <w:ind w:firstLineChars="200" w:firstLine="480"/>
        <w:rPr>
          <w:color w:val="000000"/>
          <w:sz w:val="24"/>
          <w:szCs w:val="24"/>
        </w:rPr>
      </w:pPr>
      <w:r>
        <w:rPr>
          <w:color w:val="000000"/>
          <w:sz w:val="24"/>
          <w:szCs w:val="24"/>
        </w:rPr>
        <w:t>本报告期内，供给侧改革继续推进、环保限产趋严带来了工业品价格的剧烈波动，引发了市场对经济增长预期和通胀预期的变化。货币政策维持中性，在超储率位于低位的情况下，伴随着缴准、缴税等时点资金面不时出现紧张局面，非银机构融资成本上升。美元指数大幅走低，人民币升值明显，但外汇占款依然维持流出状态。在国内外多重因素的影响下，报告期内债券市场收益率震荡走高。</w:t>
      </w:r>
    </w:p>
    <w:p w:rsidR="00202562" w:rsidRDefault="00C82C2F">
      <w:pPr>
        <w:spacing w:before="29" w:line="288" w:lineRule="auto"/>
        <w:ind w:firstLineChars="200" w:firstLine="480"/>
        <w:rPr>
          <w:color w:val="000000"/>
          <w:sz w:val="24"/>
          <w:szCs w:val="24"/>
        </w:rPr>
      </w:pPr>
      <w:r>
        <w:rPr>
          <w:color w:val="000000"/>
          <w:sz w:val="24"/>
          <w:szCs w:val="24"/>
        </w:rPr>
        <w:t>权益市场方面，尽管监管层对流动性态度由支持转为中性，但经济超预期，叠加政策对创业板缓和带来的市场风险偏好提升，导致</w:t>
      </w:r>
      <w:r>
        <w:rPr>
          <w:color w:val="000000"/>
          <w:sz w:val="24"/>
          <w:szCs w:val="24"/>
        </w:rPr>
        <w:t>A</w:t>
      </w:r>
      <w:r>
        <w:rPr>
          <w:color w:val="000000"/>
          <w:sz w:val="24"/>
          <w:szCs w:val="24"/>
        </w:rPr>
        <w:t>股市场持续走强。板块方面，经济基本面及供给侧改革引领钢铁、有色及煤炭板块成为七月带动市场的龙头。证金公司对创业板的增持提升市场的风险偏好，令以计算机代表的创业板八月领涨市场。九月指数</w:t>
      </w:r>
      <w:r>
        <w:rPr>
          <w:color w:val="000000"/>
          <w:sz w:val="24"/>
          <w:szCs w:val="24"/>
        </w:rPr>
        <w:lastRenderedPageBreak/>
        <w:t>延续上行，强周期叠加板块轮动成为市场上行的驱动力。主题层面，新能源汽车、苹果、半导体、人工智能等主题表现亮眼。本报告期内，结合权益市场的估值变动情况，动态调整组合仓位，优选个股。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经济基本面会对债市形成一定支撑，上半年需求较强的房地产、基建和出口均显出一定的疲态，我们预计这些因素将带动名义增速逐步下行，但是监管政策仍未落地、通胀预期升温、海外货币政策紧缩等因素对债券市场仍然存在制约，我们判断债券收益率或将震荡下行。我们计划将维持目前债券组合久期配置，并将根据宏观及监管政策的变化动态优化资产配置。权益方面，四季度是供给侧改革落地的高峰时段，也是需求旺季，本组合将动态根据个股和行业的估值情况，重点关注代表着未来新兴产业升级与发展方向的成长股，并动态进行组合仓位调整。</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1.271</w:t>
      </w:r>
      <w:r w:rsidRPr="00414345">
        <w:rPr>
          <w:color w:val="000000"/>
          <w:sz w:val="24"/>
          <w:szCs w:val="24"/>
        </w:rPr>
        <w:t>元，本报告期份额净值增长率为</w:t>
      </w:r>
      <w:r w:rsidRPr="00414345">
        <w:rPr>
          <w:color w:val="000000"/>
          <w:sz w:val="24"/>
          <w:szCs w:val="24"/>
        </w:rPr>
        <w:t>-0.08%</w:t>
      </w:r>
      <w:r w:rsidRPr="00414345">
        <w:rPr>
          <w:color w:val="000000"/>
          <w:sz w:val="24"/>
          <w:szCs w:val="24"/>
        </w:rPr>
        <w:t>，同期业绩比较基准增长率为</w:t>
      </w:r>
      <w:r w:rsidRPr="00414345">
        <w:rPr>
          <w:color w:val="000000"/>
          <w:sz w:val="24"/>
          <w:szCs w:val="24"/>
        </w:rPr>
        <w:t>1.03%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6,642,002.00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14.01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6,642,002.00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14.01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36,872,227.80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77.76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36,872,227.80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77.76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1,700,000.00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3.59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899,132.97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1,305,567.93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2.75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47,418,930.70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6,642,002.00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6,642,002.00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02562">
        <w:trPr>
          <w:jc w:val="center"/>
        </w:trPr>
        <w:tc>
          <w:tcPr>
            <w:tcW w:w="855" w:type="dxa"/>
            <w:vAlign w:val="center"/>
          </w:tcPr>
          <w:p w:rsidR="00202562" w:rsidRDefault="00C82C2F">
            <w:pPr>
              <w:jc w:val="center"/>
            </w:pPr>
            <w:r>
              <w:rPr>
                <w:color w:val="000000"/>
                <w:sz w:val="24"/>
                <w:szCs w:val="24"/>
              </w:rPr>
              <w:t>1</w:t>
            </w:r>
          </w:p>
        </w:tc>
        <w:tc>
          <w:tcPr>
            <w:tcW w:w="1334" w:type="dxa"/>
            <w:vAlign w:val="center"/>
          </w:tcPr>
          <w:p w:rsidR="00202562" w:rsidRDefault="00C82C2F">
            <w:pPr>
              <w:jc w:val="center"/>
            </w:pPr>
            <w:r>
              <w:rPr>
                <w:color w:val="000000"/>
                <w:sz w:val="24"/>
                <w:szCs w:val="24"/>
              </w:rPr>
              <w:t>000807</w:t>
            </w:r>
          </w:p>
        </w:tc>
        <w:tc>
          <w:tcPr>
            <w:tcW w:w="1777" w:type="dxa"/>
            <w:vAlign w:val="center"/>
          </w:tcPr>
          <w:p w:rsidR="00202562" w:rsidRDefault="00C82C2F">
            <w:pPr>
              <w:jc w:val="center"/>
            </w:pPr>
            <w:r>
              <w:rPr>
                <w:color w:val="000000"/>
                <w:sz w:val="24"/>
                <w:szCs w:val="24"/>
              </w:rPr>
              <w:t>云铝股份</w:t>
            </w:r>
          </w:p>
        </w:tc>
        <w:tc>
          <w:tcPr>
            <w:tcW w:w="1334" w:type="dxa"/>
            <w:vAlign w:val="center"/>
          </w:tcPr>
          <w:p w:rsidR="00202562" w:rsidRDefault="00C82C2F">
            <w:pPr>
              <w:jc w:val="right"/>
            </w:pPr>
            <w:r>
              <w:rPr>
                <w:color w:val="000000"/>
                <w:sz w:val="24"/>
                <w:szCs w:val="24"/>
              </w:rPr>
              <w:t>273,400</w:t>
            </w:r>
          </w:p>
        </w:tc>
        <w:tc>
          <w:tcPr>
            <w:tcW w:w="1924" w:type="dxa"/>
            <w:vAlign w:val="center"/>
          </w:tcPr>
          <w:p w:rsidR="00202562" w:rsidRDefault="00C82C2F">
            <w:pPr>
              <w:jc w:val="right"/>
            </w:pPr>
            <w:r>
              <w:rPr>
                <w:color w:val="000000"/>
                <w:sz w:val="24"/>
                <w:szCs w:val="24"/>
              </w:rPr>
              <w:t>3,792,058.00</w:t>
            </w:r>
          </w:p>
        </w:tc>
        <w:tc>
          <w:tcPr>
            <w:tcW w:w="1644" w:type="dxa"/>
            <w:vAlign w:val="center"/>
          </w:tcPr>
          <w:p w:rsidR="00202562" w:rsidRDefault="00C82C2F">
            <w:pPr>
              <w:jc w:val="right"/>
            </w:pPr>
            <w:r>
              <w:rPr>
                <w:color w:val="000000"/>
                <w:sz w:val="24"/>
                <w:szCs w:val="24"/>
              </w:rPr>
              <w:t>8.39</w:t>
            </w:r>
          </w:p>
        </w:tc>
      </w:tr>
      <w:tr w:rsidR="00202562">
        <w:trPr>
          <w:jc w:val="center"/>
        </w:trPr>
        <w:tc>
          <w:tcPr>
            <w:tcW w:w="855" w:type="dxa"/>
            <w:vAlign w:val="center"/>
          </w:tcPr>
          <w:p w:rsidR="00202562" w:rsidRDefault="00C82C2F">
            <w:pPr>
              <w:jc w:val="center"/>
            </w:pPr>
            <w:r>
              <w:rPr>
                <w:color w:val="000000"/>
                <w:sz w:val="24"/>
                <w:szCs w:val="24"/>
              </w:rPr>
              <w:t>2</w:t>
            </w:r>
          </w:p>
        </w:tc>
        <w:tc>
          <w:tcPr>
            <w:tcW w:w="1334" w:type="dxa"/>
            <w:vAlign w:val="center"/>
          </w:tcPr>
          <w:p w:rsidR="00202562" w:rsidRDefault="00C82C2F">
            <w:pPr>
              <w:jc w:val="center"/>
            </w:pPr>
            <w:r>
              <w:rPr>
                <w:color w:val="000000"/>
                <w:sz w:val="24"/>
                <w:szCs w:val="24"/>
              </w:rPr>
              <w:t>000933</w:t>
            </w:r>
          </w:p>
        </w:tc>
        <w:tc>
          <w:tcPr>
            <w:tcW w:w="1777" w:type="dxa"/>
            <w:vAlign w:val="center"/>
          </w:tcPr>
          <w:p w:rsidR="00202562" w:rsidRDefault="00C82C2F">
            <w:pPr>
              <w:jc w:val="center"/>
            </w:pPr>
            <w:r>
              <w:rPr>
                <w:color w:val="000000"/>
                <w:sz w:val="24"/>
                <w:szCs w:val="24"/>
              </w:rPr>
              <w:t>神火股份</w:t>
            </w:r>
          </w:p>
        </w:tc>
        <w:tc>
          <w:tcPr>
            <w:tcW w:w="1334" w:type="dxa"/>
            <w:vAlign w:val="center"/>
          </w:tcPr>
          <w:p w:rsidR="00202562" w:rsidRDefault="00C82C2F">
            <w:pPr>
              <w:jc w:val="right"/>
            </w:pPr>
            <w:r>
              <w:rPr>
                <w:color w:val="000000"/>
                <w:sz w:val="24"/>
                <w:szCs w:val="24"/>
              </w:rPr>
              <w:t>208,100</w:t>
            </w:r>
          </w:p>
        </w:tc>
        <w:tc>
          <w:tcPr>
            <w:tcW w:w="1924" w:type="dxa"/>
            <w:vAlign w:val="center"/>
          </w:tcPr>
          <w:p w:rsidR="00202562" w:rsidRDefault="00C82C2F">
            <w:pPr>
              <w:jc w:val="right"/>
            </w:pPr>
            <w:r>
              <w:rPr>
                <w:color w:val="000000"/>
                <w:sz w:val="24"/>
                <w:szCs w:val="24"/>
              </w:rPr>
              <w:t>2,366,097.00</w:t>
            </w:r>
          </w:p>
        </w:tc>
        <w:tc>
          <w:tcPr>
            <w:tcW w:w="1644" w:type="dxa"/>
            <w:vAlign w:val="center"/>
          </w:tcPr>
          <w:p w:rsidR="00202562" w:rsidRDefault="00C82C2F">
            <w:pPr>
              <w:jc w:val="right"/>
            </w:pPr>
            <w:r>
              <w:rPr>
                <w:color w:val="000000"/>
                <w:sz w:val="24"/>
                <w:szCs w:val="24"/>
              </w:rPr>
              <w:t>5.24</w:t>
            </w:r>
          </w:p>
        </w:tc>
      </w:tr>
      <w:tr w:rsidR="00202562">
        <w:trPr>
          <w:jc w:val="center"/>
        </w:trPr>
        <w:tc>
          <w:tcPr>
            <w:tcW w:w="855" w:type="dxa"/>
            <w:vAlign w:val="center"/>
          </w:tcPr>
          <w:p w:rsidR="00202562" w:rsidRDefault="00C82C2F">
            <w:pPr>
              <w:jc w:val="center"/>
            </w:pPr>
            <w:r>
              <w:rPr>
                <w:color w:val="000000"/>
                <w:sz w:val="24"/>
                <w:szCs w:val="24"/>
              </w:rPr>
              <w:t>3</w:t>
            </w:r>
          </w:p>
        </w:tc>
        <w:tc>
          <w:tcPr>
            <w:tcW w:w="1334" w:type="dxa"/>
            <w:vAlign w:val="center"/>
          </w:tcPr>
          <w:p w:rsidR="00202562" w:rsidRDefault="00C82C2F">
            <w:pPr>
              <w:jc w:val="center"/>
            </w:pPr>
            <w:r>
              <w:rPr>
                <w:color w:val="000000"/>
                <w:sz w:val="24"/>
                <w:szCs w:val="24"/>
              </w:rPr>
              <w:t>002430</w:t>
            </w:r>
          </w:p>
        </w:tc>
        <w:tc>
          <w:tcPr>
            <w:tcW w:w="1777" w:type="dxa"/>
            <w:vAlign w:val="center"/>
          </w:tcPr>
          <w:p w:rsidR="00202562" w:rsidRDefault="00C82C2F">
            <w:pPr>
              <w:jc w:val="center"/>
            </w:pPr>
            <w:r>
              <w:rPr>
                <w:color w:val="000000"/>
                <w:sz w:val="24"/>
                <w:szCs w:val="24"/>
              </w:rPr>
              <w:t>杭氧股份</w:t>
            </w:r>
          </w:p>
        </w:tc>
        <w:tc>
          <w:tcPr>
            <w:tcW w:w="1334" w:type="dxa"/>
            <w:vAlign w:val="center"/>
          </w:tcPr>
          <w:p w:rsidR="00202562" w:rsidRDefault="00C82C2F">
            <w:pPr>
              <w:jc w:val="right"/>
            </w:pPr>
            <w:r>
              <w:rPr>
                <w:color w:val="000000"/>
                <w:sz w:val="24"/>
                <w:szCs w:val="24"/>
              </w:rPr>
              <w:t>40,900</w:t>
            </w:r>
          </w:p>
        </w:tc>
        <w:tc>
          <w:tcPr>
            <w:tcW w:w="1924" w:type="dxa"/>
            <w:vAlign w:val="center"/>
          </w:tcPr>
          <w:p w:rsidR="00202562" w:rsidRDefault="00C82C2F">
            <w:pPr>
              <w:jc w:val="right"/>
            </w:pPr>
            <w:r>
              <w:rPr>
                <w:color w:val="000000"/>
                <w:sz w:val="24"/>
                <w:szCs w:val="24"/>
              </w:rPr>
              <w:t>483,847.00</w:t>
            </w:r>
          </w:p>
        </w:tc>
        <w:tc>
          <w:tcPr>
            <w:tcW w:w="1644" w:type="dxa"/>
            <w:vAlign w:val="center"/>
          </w:tcPr>
          <w:p w:rsidR="00202562" w:rsidRDefault="00C82C2F">
            <w:pPr>
              <w:jc w:val="right"/>
            </w:pPr>
            <w:r>
              <w:rPr>
                <w:color w:val="000000"/>
                <w:sz w:val="24"/>
                <w:szCs w:val="24"/>
              </w:rPr>
              <w:t>1.07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725898" w:rsidRPr="00414345" w:rsidTr="00F323FF">
        <w:trPr>
          <w:jc w:val="center"/>
        </w:trPr>
        <w:tc>
          <w:tcPr>
            <w:tcW w:w="828" w:type="dxa"/>
            <w:vAlign w:val="center"/>
          </w:tcPr>
          <w:p w:rsidR="00725898" w:rsidRPr="00414345" w:rsidRDefault="00725898" w:rsidP="00725898">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725898" w:rsidRPr="00414345" w:rsidRDefault="00725898" w:rsidP="00725898">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725898" w:rsidRPr="00414345" w:rsidRDefault="00725898" w:rsidP="00725898">
            <w:pPr>
              <w:spacing w:before="29" w:line="288" w:lineRule="auto"/>
              <w:ind w:left="17"/>
              <w:jc w:val="right"/>
              <w:rPr>
                <w:color w:val="000000"/>
                <w:sz w:val="24"/>
                <w:szCs w:val="24"/>
              </w:rPr>
            </w:pPr>
            <w:r w:rsidRPr="00414345">
              <w:rPr>
                <w:color w:val="000000"/>
                <w:sz w:val="24"/>
                <w:szCs w:val="24"/>
              </w:rPr>
              <w:t>10,842,092.40</w:t>
            </w:r>
          </w:p>
        </w:tc>
        <w:tc>
          <w:tcPr>
            <w:tcW w:w="1751" w:type="dxa"/>
            <w:vAlign w:val="center"/>
          </w:tcPr>
          <w:p w:rsidR="00725898" w:rsidRPr="00725898" w:rsidRDefault="00725898" w:rsidP="00725898">
            <w:pPr>
              <w:jc w:val="right"/>
              <w:rPr>
                <w:color w:val="000000"/>
                <w:sz w:val="24"/>
                <w:szCs w:val="24"/>
              </w:rPr>
            </w:pPr>
            <w:r w:rsidRPr="00725898">
              <w:rPr>
                <w:color w:val="000000"/>
                <w:sz w:val="24"/>
                <w:szCs w:val="24"/>
              </w:rPr>
              <w:t>24</w:t>
            </w:r>
            <w:r w:rsidRPr="00725898">
              <w:rPr>
                <w:rFonts w:hint="eastAsia"/>
                <w:color w:val="000000"/>
                <w:sz w:val="24"/>
                <w:szCs w:val="24"/>
              </w:rPr>
              <w:t>.00</w:t>
            </w:r>
          </w:p>
        </w:tc>
      </w:tr>
      <w:tr w:rsidR="00725898" w:rsidRPr="00414345" w:rsidTr="00F323FF">
        <w:trPr>
          <w:jc w:val="center"/>
        </w:trPr>
        <w:tc>
          <w:tcPr>
            <w:tcW w:w="828" w:type="dxa"/>
            <w:vAlign w:val="center"/>
          </w:tcPr>
          <w:p w:rsidR="00725898" w:rsidRPr="00414345" w:rsidRDefault="00725898" w:rsidP="00725898">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725898" w:rsidRPr="00414345" w:rsidRDefault="00725898" w:rsidP="00725898">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725898" w:rsidRPr="00414345" w:rsidRDefault="00725898" w:rsidP="00725898">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725898" w:rsidRPr="00725898" w:rsidRDefault="00725898" w:rsidP="00725898">
            <w:pPr>
              <w:jc w:val="right"/>
              <w:rPr>
                <w:color w:val="000000"/>
                <w:sz w:val="24"/>
                <w:szCs w:val="24"/>
              </w:rPr>
            </w:pPr>
            <w:r w:rsidRPr="00725898">
              <w:rPr>
                <w:color w:val="000000"/>
                <w:sz w:val="24"/>
                <w:szCs w:val="24"/>
              </w:rPr>
              <w:t>-</w:t>
            </w:r>
          </w:p>
        </w:tc>
      </w:tr>
      <w:tr w:rsidR="00725898" w:rsidRPr="00414345" w:rsidTr="00F323FF">
        <w:trPr>
          <w:jc w:val="center"/>
        </w:trPr>
        <w:tc>
          <w:tcPr>
            <w:tcW w:w="828" w:type="dxa"/>
            <w:vAlign w:val="center"/>
          </w:tcPr>
          <w:p w:rsidR="00725898" w:rsidRPr="00414345" w:rsidRDefault="00725898" w:rsidP="00725898">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725898" w:rsidRPr="00414345" w:rsidRDefault="00725898" w:rsidP="00725898">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725898" w:rsidRPr="00414345" w:rsidRDefault="00725898" w:rsidP="00725898">
            <w:pPr>
              <w:spacing w:before="29" w:line="288" w:lineRule="auto"/>
              <w:ind w:left="17"/>
              <w:jc w:val="right"/>
              <w:rPr>
                <w:color w:val="000000"/>
                <w:sz w:val="24"/>
                <w:szCs w:val="24"/>
              </w:rPr>
            </w:pPr>
            <w:r w:rsidRPr="00414345">
              <w:rPr>
                <w:color w:val="000000"/>
                <w:sz w:val="24"/>
                <w:szCs w:val="24"/>
              </w:rPr>
              <w:t>26,030,135.40</w:t>
            </w:r>
          </w:p>
        </w:tc>
        <w:tc>
          <w:tcPr>
            <w:tcW w:w="1751" w:type="dxa"/>
            <w:vAlign w:val="center"/>
          </w:tcPr>
          <w:p w:rsidR="00725898" w:rsidRPr="00725898" w:rsidRDefault="00725898" w:rsidP="00725898">
            <w:pPr>
              <w:jc w:val="right"/>
              <w:rPr>
                <w:color w:val="000000"/>
                <w:sz w:val="24"/>
                <w:szCs w:val="24"/>
              </w:rPr>
            </w:pPr>
            <w:r w:rsidRPr="00725898">
              <w:rPr>
                <w:color w:val="000000"/>
                <w:sz w:val="24"/>
                <w:szCs w:val="24"/>
              </w:rPr>
              <w:t>57.61</w:t>
            </w:r>
          </w:p>
        </w:tc>
      </w:tr>
      <w:tr w:rsidR="00725898" w:rsidRPr="00414345" w:rsidTr="00F323FF">
        <w:trPr>
          <w:jc w:val="center"/>
        </w:trPr>
        <w:tc>
          <w:tcPr>
            <w:tcW w:w="828" w:type="dxa"/>
            <w:vAlign w:val="center"/>
          </w:tcPr>
          <w:p w:rsidR="00725898" w:rsidRPr="00414345" w:rsidRDefault="00725898" w:rsidP="00725898">
            <w:pPr>
              <w:spacing w:before="29" w:line="288" w:lineRule="auto"/>
              <w:ind w:left="17"/>
              <w:jc w:val="center"/>
              <w:rPr>
                <w:color w:val="000000"/>
                <w:sz w:val="24"/>
                <w:szCs w:val="24"/>
              </w:rPr>
            </w:pPr>
          </w:p>
        </w:tc>
        <w:tc>
          <w:tcPr>
            <w:tcW w:w="3302" w:type="dxa"/>
            <w:vAlign w:val="center"/>
          </w:tcPr>
          <w:p w:rsidR="00725898" w:rsidRPr="00414345" w:rsidRDefault="00725898" w:rsidP="00725898">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725898" w:rsidRPr="00414345" w:rsidRDefault="00725898" w:rsidP="00725898">
            <w:pPr>
              <w:spacing w:before="29" w:line="288" w:lineRule="auto"/>
              <w:ind w:left="17"/>
              <w:jc w:val="right"/>
              <w:rPr>
                <w:color w:val="000000"/>
                <w:sz w:val="24"/>
                <w:szCs w:val="24"/>
              </w:rPr>
            </w:pPr>
            <w:r w:rsidRPr="00414345">
              <w:rPr>
                <w:color w:val="000000"/>
                <w:sz w:val="24"/>
                <w:szCs w:val="24"/>
              </w:rPr>
              <w:t>26,030,135.40</w:t>
            </w:r>
          </w:p>
        </w:tc>
        <w:tc>
          <w:tcPr>
            <w:tcW w:w="1751" w:type="dxa"/>
            <w:vAlign w:val="center"/>
          </w:tcPr>
          <w:p w:rsidR="00725898" w:rsidRPr="00725898" w:rsidRDefault="00725898" w:rsidP="00725898">
            <w:pPr>
              <w:jc w:val="right"/>
              <w:rPr>
                <w:color w:val="000000"/>
                <w:sz w:val="24"/>
                <w:szCs w:val="24"/>
              </w:rPr>
            </w:pPr>
            <w:r w:rsidRPr="00725898">
              <w:rPr>
                <w:color w:val="000000"/>
                <w:sz w:val="24"/>
                <w:szCs w:val="24"/>
              </w:rPr>
              <w:t>57.61</w:t>
            </w:r>
          </w:p>
        </w:tc>
      </w:tr>
      <w:tr w:rsidR="00725898" w:rsidRPr="00414345" w:rsidTr="00F323FF">
        <w:trPr>
          <w:jc w:val="center"/>
        </w:trPr>
        <w:tc>
          <w:tcPr>
            <w:tcW w:w="828" w:type="dxa"/>
            <w:vAlign w:val="center"/>
          </w:tcPr>
          <w:p w:rsidR="00725898" w:rsidRPr="00414345" w:rsidRDefault="00725898" w:rsidP="00725898">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725898" w:rsidRPr="00414345" w:rsidRDefault="00725898" w:rsidP="00725898">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725898" w:rsidRPr="00414345" w:rsidRDefault="00725898" w:rsidP="00725898">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725898" w:rsidRPr="00725898" w:rsidRDefault="00725898" w:rsidP="00725898">
            <w:pPr>
              <w:jc w:val="right"/>
              <w:rPr>
                <w:color w:val="000000"/>
                <w:sz w:val="24"/>
                <w:szCs w:val="24"/>
              </w:rPr>
            </w:pPr>
            <w:r w:rsidRPr="00725898">
              <w:rPr>
                <w:color w:val="000000"/>
                <w:sz w:val="24"/>
                <w:szCs w:val="24"/>
              </w:rPr>
              <w:t>-</w:t>
            </w:r>
          </w:p>
        </w:tc>
      </w:tr>
      <w:tr w:rsidR="00725898" w:rsidRPr="00414345" w:rsidTr="00F323FF">
        <w:trPr>
          <w:jc w:val="center"/>
        </w:trPr>
        <w:tc>
          <w:tcPr>
            <w:tcW w:w="828" w:type="dxa"/>
            <w:vAlign w:val="center"/>
          </w:tcPr>
          <w:p w:rsidR="00725898" w:rsidRPr="00414345" w:rsidRDefault="00725898" w:rsidP="00725898">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725898" w:rsidRPr="00414345" w:rsidRDefault="00725898" w:rsidP="00725898">
            <w:pPr>
              <w:spacing w:before="29" w:line="288" w:lineRule="auto"/>
              <w:ind w:left="17"/>
              <w:jc w:val="left"/>
              <w:rPr>
                <w:color w:val="000000"/>
                <w:sz w:val="24"/>
                <w:szCs w:val="24"/>
              </w:rPr>
            </w:pPr>
            <w:r w:rsidRPr="00414345">
              <w:rPr>
                <w:color w:val="000000"/>
                <w:sz w:val="24"/>
                <w:szCs w:val="24"/>
              </w:rPr>
              <w:t>企业短期融资券</w:t>
            </w:r>
          </w:p>
        </w:tc>
        <w:tc>
          <w:tcPr>
            <w:tcW w:w="2987" w:type="dxa"/>
            <w:vAlign w:val="center"/>
          </w:tcPr>
          <w:p w:rsidR="00725898" w:rsidRPr="00414345" w:rsidRDefault="00725898" w:rsidP="00725898">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725898" w:rsidRPr="00725898" w:rsidRDefault="00725898" w:rsidP="00725898">
            <w:pPr>
              <w:jc w:val="right"/>
              <w:rPr>
                <w:color w:val="000000"/>
                <w:sz w:val="24"/>
                <w:szCs w:val="24"/>
              </w:rPr>
            </w:pPr>
            <w:r w:rsidRPr="00725898">
              <w:rPr>
                <w:color w:val="000000"/>
                <w:sz w:val="24"/>
                <w:szCs w:val="24"/>
              </w:rPr>
              <w:t>-</w:t>
            </w:r>
          </w:p>
        </w:tc>
      </w:tr>
      <w:tr w:rsidR="00725898" w:rsidRPr="00414345" w:rsidTr="00F323FF">
        <w:trPr>
          <w:jc w:val="center"/>
        </w:trPr>
        <w:tc>
          <w:tcPr>
            <w:tcW w:w="828" w:type="dxa"/>
            <w:vAlign w:val="center"/>
          </w:tcPr>
          <w:p w:rsidR="00725898" w:rsidRPr="00414345" w:rsidRDefault="00725898" w:rsidP="00725898">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725898" w:rsidRPr="00414345" w:rsidRDefault="00725898" w:rsidP="00725898">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725898" w:rsidRPr="00414345" w:rsidRDefault="00725898" w:rsidP="00725898">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725898" w:rsidRPr="00725898" w:rsidRDefault="00725898" w:rsidP="00725898">
            <w:pPr>
              <w:jc w:val="right"/>
              <w:rPr>
                <w:color w:val="000000"/>
                <w:sz w:val="24"/>
                <w:szCs w:val="24"/>
              </w:rPr>
            </w:pPr>
            <w:r w:rsidRPr="00725898">
              <w:rPr>
                <w:color w:val="000000"/>
                <w:sz w:val="24"/>
                <w:szCs w:val="24"/>
              </w:rPr>
              <w:t>-</w:t>
            </w:r>
          </w:p>
        </w:tc>
      </w:tr>
      <w:tr w:rsidR="00725898" w:rsidRPr="00414345" w:rsidTr="00F323FF">
        <w:trPr>
          <w:jc w:val="center"/>
        </w:trPr>
        <w:tc>
          <w:tcPr>
            <w:tcW w:w="828" w:type="dxa"/>
            <w:vAlign w:val="center"/>
          </w:tcPr>
          <w:p w:rsidR="00725898" w:rsidRPr="00414345" w:rsidRDefault="00725898" w:rsidP="00725898">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725898" w:rsidRPr="00414345" w:rsidRDefault="00725898" w:rsidP="00725898">
            <w:pPr>
              <w:spacing w:before="29" w:line="288" w:lineRule="auto"/>
              <w:ind w:left="17"/>
              <w:jc w:val="left"/>
              <w:rPr>
                <w:color w:val="000000"/>
                <w:sz w:val="24"/>
                <w:szCs w:val="24"/>
              </w:rPr>
            </w:pPr>
            <w:r w:rsidRPr="00414345">
              <w:rPr>
                <w:color w:val="000000"/>
                <w:sz w:val="24"/>
                <w:szCs w:val="24"/>
              </w:rPr>
              <w:t>可转债</w:t>
            </w:r>
            <w:r>
              <w:rPr>
                <w:rFonts w:hint="eastAsia"/>
                <w:sz w:val="24"/>
              </w:rPr>
              <w:t>（可交换债）</w:t>
            </w:r>
          </w:p>
        </w:tc>
        <w:tc>
          <w:tcPr>
            <w:tcW w:w="2987" w:type="dxa"/>
            <w:vAlign w:val="center"/>
          </w:tcPr>
          <w:p w:rsidR="00725898" w:rsidRPr="00414345" w:rsidRDefault="00725898" w:rsidP="00725898">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725898" w:rsidRPr="00725898" w:rsidRDefault="00725898" w:rsidP="00725898">
            <w:pPr>
              <w:jc w:val="right"/>
              <w:rPr>
                <w:color w:val="000000"/>
                <w:sz w:val="24"/>
                <w:szCs w:val="24"/>
              </w:rPr>
            </w:pPr>
            <w:r w:rsidRPr="00725898">
              <w:rPr>
                <w:color w:val="000000"/>
                <w:sz w:val="24"/>
                <w:szCs w:val="24"/>
              </w:rPr>
              <w:t>-</w:t>
            </w:r>
          </w:p>
        </w:tc>
      </w:tr>
      <w:tr w:rsidR="00725898" w:rsidRPr="00414345" w:rsidTr="0006711A">
        <w:trPr>
          <w:jc w:val="center"/>
        </w:trPr>
        <w:tc>
          <w:tcPr>
            <w:tcW w:w="828" w:type="dxa"/>
            <w:vAlign w:val="center"/>
          </w:tcPr>
          <w:p w:rsidR="00725898" w:rsidRPr="007A70C2" w:rsidRDefault="00725898" w:rsidP="00725898">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725898" w:rsidRPr="007A70C2" w:rsidRDefault="00725898" w:rsidP="00725898">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725898" w:rsidRPr="007A70C2" w:rsidRDefault="00725898" w:rsidP="00725898">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725898" w:rsidRPr="00725898" w:rsidRDefault="00725898" w:rsidP="00725898">
            <w:pPr>
              <w:jc w:val="right"/>
              <w:rPr>
                <w:color w:val="000000"/>
                <w:sz w:val="24"/>
                <w:szCs w:val="24"/>
              </w:rPr>
            </w:pPr>
            <w:r w:rsidRPr="00725898">
              <w:rPr>
                <w:color w:val="000000"/>
                <w:sz w:val="24"/>
                <w:szCs w:val="24"/>
              </w:rPr>
              <w:t>-</w:t>
            </w:r>
          </w:p>
        </w:tc>
      </w:tr>
      <w:tr w:rsidR="00725898" w:rsidRPr="00414345" w:rsidTr="00F323FF">
        <w:trPr>
          <w:jc w:val="center"/>
        </w:trPr>
        <w:tc>
          <w:tcPr>
            <w:tcW w:w="828" w:type="dxa"/>
            <w:vAlign w:val="center"/>
          </w:tcPr>
          <w:p w:rsidR="00725898" w:rsidRPr="00414345" w:rsidRDefault="00725898" w:rsidP="00725898">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725898" w:rsidRPr="00414345" w:rsidRDefault="00725898" w:rsidP="00725898">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725898" w:rsidRPr="00414345" w:rsidRDefault="00725898" w:rsidP="00725898">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725898" w:rsidRPr="00725898" w:rsidRDefault="00725898" w:rsidP="00725898">
            <w:pPr>
              <w:jc w:val="right"/>
              <w:rPr>
                <w:color w:val="000000"/>
                <w:sz w:val="24"/>
                <w:szCs w:val="24"/>
              </w:rPr>
            </w:pPr>
            <w:r w:rsidRPr="00725898">
              <w:rPr>
                <w:color w:val="000000"/>
                <w:sz w:val="24"/>
                <w:szCs w:val="24"/>
              </w:rPr>
              <w:t>-</w:t>
            </w:r>
          </w:p>
        </w:tc>
      </w:tr>
      <w:tr w:rsidR="00725898" w:rsidRPr="00414345" w:rsidTr="00F323FF">
        <w:trPr>
          <w:jc w:val="center"/>
        </w:trPr>
        <w:tc>
          <w:tcPr>
            <w:tcW w:w="828" w:type="dxa"/>
            <w:vAlign w:val="center"/>
          </w:tcPr>
          <w:p w:rsidR="00725898" w:rsidRPr="00414345" w:rsidRDefault="00725898" w:rsidP="00725898">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725898" w:rsidRPr="00414345" w:rsidRDefault="00725898" w:rsidP="00725898">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725898" w:rsidRPr="00414345" w:rsidRDefault="00725898" w:rsidP="00725898">
            <w:pPr>
              <w:spacing w:before="29" w:line="288" w:lineRule="auto"/>
              <w:ind w:left="17"/>
              <w:jc w:val="right"/>
              <w:rPr>
                <w:color w:val="000000"/>
                <w:sz w:val="24"/>
                <w:szCs w:val="24"/>
              </w:rPr>
            </w:pPr>
            <w:r w:rsidRPr="00414345">
              <w:rPr>
                <w:color w:val="000000"/>
                <w:sz w:val="24"/>
                <w:szCs w:val="24"/>
              </w:rPr>
              <w:t>36,872,227.80</w:t>
            </w:r>
          </w:p>
        </w:tc>
        <w:tc>
          <w:tcPr>
            <w:tcW w:w="1751" w:type="dxa"/>
            <w:vAlign w:val="center"/>
          </w:tcPr>
          <w:p w:rsidR="00725898" w:rsidRPr="00725898" w:rsidRDefault="00725898" w:rsidP="00725898">
            <w:pPr>
              <w:jc w:val="right"/>
              <w:rPr>
                <w:color w:val="000000"/>
                <w:sz w:val="24"/>
                <w:szCs w:val="24"/>
              </w:rPr>
            </w:pPr>
            <w:r w:rsidRPr="00725898">
              <w:rPr>
                <w:color w:val="000000"/>
                <w:sz w:val="24"/>
                <w:szCs w:val="24"/>
              </w:rPr>
              <w:t>81.61</w:t>
            </w:r>
            <w:bookmarkStart w:id="0" w:name="_GoBack"/>
            <w:bookmarkEnd w:id="0"/>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02562">
        <w:trPr>
          <w:jc w:val="center"/>
        </w:trPr>
        <w:tc>
          <w:tcPr>
            <w:tcW w:w="850" w:type="dxa"/>
            <w:vAlign w:val="center"/>
          </w:tcPr>
          <w:p w:rsidR="00202562" w:rsidRDefault="00C82C2F">
            <w:pPr>
              <w:jc w:val="center"/>
            </w:pPr>
            <w:r>
              <w:rPr>
                <w:color w:val="000000"/>
                <w:sz w:val="24"/>
                <w:szCs w:val="24"/>
              </w:rPr>
              <w:t>1</w:t>
            </w:r>
          </w:p>
        </w:tc>
        <w:tc>
          <w:tcPr>
            <w:tcW w:w="1475" w:type="dxa"/>
            <w:vAlign w:val="center"/>
          </w:tcPr>
          <w:p w:rsidR="00202562" w:rsidRDefault="00C82C2F">
            <w:pPr>
              <w:jc w:val="center"/>
            </w:pPr>
            <w:r>
              <w:rPr>
                <w:color w:val="000000"/>
                <w:sz w:val="24"/>
                <w:szCs w:val="24"/>
              </w:rPr>
              <w:t>108601</w:t>
            </w:r>
          </w:p>
        </w:tc>
        <w:tc>
          <w:tcPr>
            <w:tcW w:w="1769" w:type="dxa"/>
            <w:vAlign w:val="center"/>
          </w:tcPr>
          <w:p w:rsidR="00202562" w:rsidRDefault="00C82C2F">
            <w:pPr>
              <w:jc w:val="center"/>
            </w:pPr>
            <w:r>
              <w:rPr>
                <w:color w:val="000000"/>
                <w:sz w:val="24"/>
                <w:szCs w:val="24"/>
              </w:rPr>
              <w:t>国开</w:t>
            </w:r>
            <w:r>
              <w:rPr>
                <w:color w:val="000000"/>
                <w:sz w:val="24"/>
                <w:szCs w:val="24"/>
              </w:rPr>
              <w:t>1703</w:t>
            </w:r>
          </w:p>
        </w:tc>
        <w:tc>
          <w:tcPr>
            <w:tcW w:w="1387" w:type="dxa"/>
            <w:vAlign w:val="center"/>
          </w:tcPr>
          <w:p w:rsidR="00202562" w:rsidRDefault="00C82C2F">
            <w:pPr>
              <w:jc w:val="right"/>
            </w:pPr>
            <w:r>
              <w:rPr>
                <w:color w:val="000000"/>
                <w:sz w:val="24"/>
                <w:szCs w:val="24"/>
              </w:rPr>
              <w:t>260,823</w:t>
            </w:r>
          </w:p>
        </w:tc>
        <w:tc>
          <w:tcPr>
            <w:tcW w:w="2150" w:type="dxa"/>
            <w:vAlign w:val="center"/>
          </w:tcPr>
          <w:p w:rsidR="00202562" w:rsidRDefault="00C82C2F">
            <w:pPr>
              <w:jc w:val="right"/>
            </w:pPr>
            <w:r>
              <w:rPr>
                <w:color w:val="000000"/>
                <w:sz w:val="24"/>
                <w:szCs w:val="24"/>
              </w:rPr>
              <w:t>26,030,135.40</w:t>
            </w:r>
          </w:p>
        </w:tc>
        <w:tc>
          <w:tcPr>
            <w:tcW w:w="1237" w:type="dxa"/>
            <w:vAlign w:val="center"/>
          </w:tcPr>
          <w:p w:rsidR="00202562" w:rsidRDefault="00C82C2F">
            <w:pPr>
              <w:jc w:val="right"/>
            </w:pPr>
            <w:r>
              <w:rPr>
                <w:color w:val="000000"/>
                <w:sz w:val="24"/>
                <w:szCs w:val="24"/>
              </w:rPr>
              <w:t>57.61</w:t>
            </w:r>
          </w:p>
        </w:tc>
      </w:tr>
      <w:tr w:rsidR="00202562">
        <w:trPr>
          <w:jc w:val="center"/>
        </w:trPr>
        <w:tc>
          <w:tcPr>
            <w:tcW w:w="850" w:type="dxa"/>
            <w:vAlign w:val="center"/>
          </w:tcPr>
          <w:p w:rsidR="00202562" w:rsidRDefault="00C82C2F">
            <w:pPr>
              <w:jc w:val="center"/>
            </w:pPr>
            <w:r>
              <w:rPr>
                <w:color w:val="000000"/>
                <w:sz w:val="24"/>
                <w:szCs w:val="24"/>
              </w:rPr>
              <w:t>2</w:t>
            </w:r>
          </w:p>
        </w:tc>
        <w:tc>
          <w:tcPr>
            <w:tcW w:w="1475" w:type="dxa"/>
            <w:vAlign w:val="center"/>
          </w:tcPr>
          <w:p w:rsidR="00202562" w:rsidRDefault="00C82C2F">
            <w:pPr>
              <w:jc w:val="center"/>
            </w:pPr>
            <w:r>
              <w:rPr>
                <w:color w:val="000000"/>
                <w:sz w:val="24"/>
                <w:szCs w:val="24"/>
              </w:rPr>
              <w:t>179934</w:t>
            </w:r>
          </w:p>
        </w:tc>
        <w:tc>
          <w:tcPr>
            <w:tcW w:w="1769" w:type="dxa"/>
            <w:vAlign w:val="center"/>
          </w:tcPr>
          <w:p w:rsidR="00202562" w:rsidRDefault="00C82C2F">
            <w:pPr>
              <w:jc w:val="center"/>
            </w:pPr>
            <w:r>
              <w:rPr>
                <w:color w:val="000000"/>
                <w:sz w:val="24"/>
                <w:szCs w:val="24"/>
              </w:rPr>
              <w:t>17</w:t>
            </w:r>
            <w:r>
              <w:rPr>
                <w:color w:val="000000"/>
                <w:sz w:val="24"/>
                <w:szCs w:val="24"/>
              </w:rPr>
              <w:t>贴现国债</w:t>
            </w:r>
            <w:r>
              <w:rPr>
                <w:color w:val="000000"/>
                <w:sz w:val="24"/>
                <w:szCs w:val="24"/>
              </w:rPr>
              <w:t>34</w:t>
            </w:r>
          </w:p>
        </w:tc>
        <w:tc>
          <w:tcPr>
            <w:tcW w:w="1387" w:type="dxa"/>
            <w:vAlign w:val="center"/>
          </w:tcPr>
          <w:p w:rsidR="00202562" w:rsidRDefault="00C82C2F">
            <w:pPr>
              <w:jc w:val="right"/>
            </w:pPr>
            <w:r>
              <w:rPr>
                <w:color w:val="000000"/>
                <w:sz w:val="24"/>
                <w:szCs w:val="24"/>
              </w:rPr>
              <w:t>100,000</w:t>
            </w:r>
          </w:p>
        </w:tc>
        <w:tc>
          <w:tcPr>
            <w:tcW w:w="2150" w:type="dxa"/>
            <w:vAlign w:val="center"/>
          </w:tcPr>
          <w:p w:rsidR="00202562" w:rsidRDefault="00C82C2F">
            <w:pPr>
              <w:jc w:val="right"/>
            </w:pPr>
            <w:r>
              <w:rPr>
                <w:color w:val="000000"/>
                <w:sz w:val="24"/>
                <w:szCs w:val="24"/>
              </w:rPr>
              <w:t>9,840,000.00</w:t>
            </w:r>
          </w:p>
        </w:tc>
        <w:tc>
          <w:tcPr>
            <w:tcW w:w="1237" w:type="dxa"/>
            <w:vAlign w:val="center"/>
          </w:tcPr>
          <w:p w:rsidR="00202562" w:rsidRDefault="00C82C2F">
            <w:pPr>
              <w:jc w:val="right"/>
            </w:pPr>
            <w:r>
              <w:rPr>
                <w:color w:val="000000"/>
                <w:sz w:val="24"/>
                <w:szCs w:val="24"/>
              </w:rPr>
              <w:t>21.78</w:t>
            </w:r>
          </w:p>
        </w:tc>
      </w:tr>
      <w:tr w:rsidR="00202562">
        <w:trPr>
          <w:jc w:val="center"/>
        </w:trPr>
        <w:tc>
          <w:tcPr>
            <w:tcW w:w="850" w:type="dxa"/>
            <w:vAlign w:val="center"/>
          </w:tcPr>
          <w:p w:rsidR="00202562" w:rsidRDefault="00C82C2F">
            <w:pPr>
              <w:jc w:val="center"/>
            </w:pPr>
            <w:r>
              <w:rPr>
                <w:color w:val="000000"/>
                <w:sz w:val="24"/>
                <w:szCs w:val="24"/>
              </w:rPr>
              <w:t>3</w:t>
            </w:r>
          </w:p>
        </w:tc>
        <w:tc>
          <w:tcPr>
            <w:tcW w:w="1475" w:type="dxa"/>
            <w:vAlign w:val="center"/>
          </w:tcPr>
          <w:p w:rsidR="00202562" w:rsidRDefault="00C82C2F">
            <w:pPr>
              <w:jc w:val="center"/>
            </w:pPr>
            <w:r>
              <w:rPr>
                <w:color w:val="000000"/>
                <w:sz w:val="24"/>
                <w:szCs w:val="24"/>
              </w:rPr>
              <w:t>019557</w:t>
            </w:r>
          </w:p>
        </w:tc>
        <w:tc>
          <w:tcPr>
            <w:tcW w:w="1769" w:type="dxa"/>
            <w:vAlign w:val="center"/>
          </w:tcPr>
          <w:p w:rsidR="00202562" w:rsidRDefault="00C82C2F">
            <w:pPr>
              <w:jc w:val="center"/>
            </w:pPr>
            <w:r>
              <w:rPr>
                <w:color w:val="000000"/>
                <w:sz w:val="24"/>
                <w:szCs w:val="24"/>
              </w:rPr>
              <w:t>17</w:t>
            </w:r>
            <w:r>
              <w:rPr>
                <w:color w:val="000000"/>
                <w:sz w:val="24"/>
                <w:szCs w:val="24"/>
              </w:rPr>
              <w:t>国债</w:t>
            </w:r>
            <w:r>
              <w:rPr>
                <w:color w:val="000000"/>
                <w:sz w:val="24"/>
                <w:szCs w:val="24"/>
              </w:rPr>
              <w:t>03</w:t>
            </w:r>
          </w:p>
        </w:tc>
        <w:tc>
          <w:tcPr>
            <w:tcW w:w="1387" w:type="dxa"/>
            <w:vAlign w:val="center"/>
          </w:tcPr>
          <w:p w:rsidR="00202562" w:rsidRDefault="00C82C2F">
            <w:pPr>
              <w:jc w:val="right"/>
            </w:pPr>
            <w:r>
              <w:rPr>
                <w:color w:val="000000"/>
                <w:sz w:val="24"/>
                <w:szCs w:val="24"/>
              </w:rPr>
              <w:t>10,040</w:t>
            </w:r>
          </w:p>
        </w:tc>
        <w:tc>
          <w:tcPr>
            <w:tcW w:w="2150" w:type="dxa"/>
            <w:vAlign w:val="center"/>
          </w:tcPr>
          <w:p w:rsidR="00202562" w:rsidRDefault="00C82C2F">
            <w:pPr>
              <w:jc w:val="right"/>
            </w:pPr>
            <w:r>
              <w:rPr>
                <w:color w:val="000000"/>
                <w:sz w:val="24"/>
                <w:szCs w:val="24"/>
              </w:rPr>
              <w:t>1,002,092.40</w:t>
            </w:r>
          </w:p>
        </w:tc>
        <w:tc>
          <w:tcPr>
            <w:tcW w:w="1237" w:type="dxa"/>
            <w:vAlign w:val="center"/>
          </w:tcPr>
          <w:p w:rsidR="00202562" w:rsidRDefault="00C82C2F">
            <w:pPr>
              <w:jc w:val="right"/>
            </w:pPr>
            <w:r>
              <w:rPr>
                <w:color w:val="000000"/>
                <w:sz w:val="24"/>
                <w:szCs w:val="24"/>
              </w:rPr>
              <w:t>2.22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报告期内本基金投资的前十名证券的发行主体除神火股份（证券代码</w:t>
      </w:r>
      <w:r w:rsidRPr="00BE5388">
        <w:rPr>
          <w:bCs/>
          <w:color w:val="000000"/>
          <w:kern w:val="0"/>
          <w:sz w:val="24"/>
          <w:szCs w:val="24"/>
        </w:rPr>
        <w:t>: 000933</w:t>
      </w:r>
      <w:r w:rsidRPr="00BE5388">
        <w:rPr>
          <w:bCs/>
          <w:color w:val="000000"/>
          <w:kern w:val="0"/>
          <w:sz w:val="24"/>
          <w:szCs w:val="24"/>
        </w:rPr>
        <w:t>）外，未出现被监管部门立案调查，或在报告编制日前一年内受到公开谴责、处罚的情形。</w:t>
      </w:r>
    </w:p>
    <w:p w:rsidR="00202562" w:rsidRDefault="00C82C2F">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报告期内本基金投资的前十名证券之一神火股份（证券代码</w:t>
      </w:r>
      <w:r>
        <w:rPr>
          <w:bCs/>
          <w:color w:val="000000"/>
          <w:kern w:val="0"/>
          <w:sz w:val="24"/>
          <w:szCs w:val="24"/>
        </w:rPr>
        <w:t>:000933</w:t>
      </w:r>
      <w:r>
        <w:rPr>
          <w:bCs/>
          <w:color w:val="000000"/>
          <w:kern w:val="0"/>
          <w:sz w:val="24"/>
          <w:szCs w:val="24"/>
        </w:rPr>
        <w:t>）于</w:t>
      </w:r>
      <w:r>
        <w:rPr>
          <w:bCs/>
          <w:color w:val="000000"/>
          <w:kern w:val="0"/>
          <w:sz w:val="24"/>
          <w:szCs w:val="24"/>
        </w:rPr>
        <w:t>2017</w:t>
      </w:r>
      <w:r>
        <w:rPr>
          <w:bCs/>
          <w:color w:val="000000"/>
          <w:kern w:val="0"/>
          <w:sz w:val="24"/>
          <w:szCs w:val="24"/>
        </w:rPr>
        <w:t>年</w:t>
      </w:r>
      <w:r>
        <w:rPr>
          <w:bCs/>
          <w:color w:val="000000"/>
          <w:kern w:val="0"/>
          <w:sz w:val="24"/>
          <w:szCs w:val="24"/>
        </w:rPr>
        <w:t>8</w:t>
      </w:r>
      <w:r>
        <w:rPr>
          <w:bCs/>
          <w:color w:val="000000"/>
          <w:kern w:val="0"/>
          <w:sz w:val="24"/>
          <w:szCs w:val="24"/>
        </w:rPr>
        <w:t>月</w:t>
      </w:r>
      <w:r>
        <w:rPr>
          <w:bCs/>
          <w:color w:val="000000"/>
          <w:kern w:val="0"/>
          <w:sz w:val="24"/>
          <w:szCs w:val="24"/>
        </w:rPr>
        <w:t>30</w:t>
      </w:r>
      <w:r>
        <w:rPr>
          <w:bCs/>
          <w:color w:val="000000"/>
          <w:kern w:val="0"/>
          <w:sz w:val="24"/>
          <w:szCs w:val="24"/>
        </w:rPr>
        <w:t>日公告，</w:t>
      </w:r>
      <w:r>
        <w:rPr>
          <w:bCs/>
          <w:color w:val="000000"/>
          <w:kern w:val="0"/>
          <w:sz w:val="24"/>
          <w:szCs w:val="24"/>
        </w:rPr>
        <w:t>2017</w:t>
      </w:r>
      <w:r>
        <w:rPr>
          <w:bCs/>
          <w:color w:val="000000"/>
          <w:kern w:val="0"/>
          <w:sz w:val="24"/>
          <w:szCs w:val="24"/>
        </w:rPr>
        <w:t>年</w:t>
      </w:r>
      <w:r>
        <w:rPr>
          <w:bCs/>
          <w:color w:val="000000"/>
          <w:kern w:val="0"/>
          <w:sz w:val="24"/>
          <w:szCs w:val="24"/>
        </w:rPr>
        <w:t>5</w:t>
      </w:r>
      <w:r>
        <w:rPr>
          <w:bCs/>
          <w:color w:val="000000"/>
          <w:kern w:val="0"/>
          <w:sz w:val="24"/>
          <w:szCs w:val="24"/>
        </w:rPr>
        <w:t>月</w:t>
      </w:r>
      <w:r>
        <w:rPr>
          <w:bCs/>
          <w:color w:val="000000"/>
          <w:kern w:val="0"/>
          <w:sz w:val="24"/>
          <w:szCs w:val="24"/>
        </w:rPr>
        <w:t>15</w:t>
      </w:r>
      <w:r>
        <w:rPr>
          <w:bCs/>
          <w:color w:val="000000"/>
          <w:kern w:val="0"/>
          <w:sz w:val="24"/>
          <w:szCs w:val="24"/>
        </w:rPr>
        <w:t>日公司下属薛湖煤矿</w:t>
      </w:r>
      <w:r>
        <w:rPr>
          <w:bCs/>
          <w:color w:val="000000"/>
          <w:kern w:val="0"/>
          <w:sz w:val="24"/>
          <w:szCs w:val="24"/>
        </w:rPr>
        <w:t>2306</w:t>
      </w:r>
      <w:r>
        <w:rPr>
          <w:bCs/>
          <w:color w:val="000000"/>
          <w:kern w:val="0"/>
          <w:sz w:val="24"/>
          <w:szCs w:val="24"/>
        </w:rPr>
        <w:t>风巷掘进工作面发生一起煤与瓦斯突出事故，公司于近日收到河南煤矿安全监察局出具的《关于河南神火集团有限公司薛湖煤矿</w:t>
      </w:r>
      <w:r>
        <w:rPr>
          <w:bCs/>
          <w:color w:val="000000"/>
          <w:kern w:val="0"/>
          <w:sz w:val="24"/>
          <w:szCs w:val="24"/>
        </w:rPr>
        <w:t>“5.15”</w:t>
      </w:r>
      <w:r>
        <w:rPr>
          <w:bCs/>
          <w:color w:val="000000"/>
          <w:kern w:val="0"/>
          <w:sz w:val="24"/>
          <w:szCs w:val="24"/>
        </w:rPr>
        <w:t>较大煤与瓦斯突出事故调查处理的意见》（豫煤安监调查</w:t>
      </w:r>
      <w:r>
        <w:rPr>
          <w:bCs/>
          <w:color w:val="000000"/>
          <w:kern w:val="0"/>
          <w:sz w:val="24"/>
          <w:szCs w:val="24"/>
        </w:rPr>
        <w:t>[2017]137</w:t>
      </w:r>
      <w:r>
        <w:rPr>
          <w:bCs/>
          <w:color w:val="000000"/>
          <w:kern w:val="0"/>
          <w:sz w:val="24"/>
          <w:szCs w:val="24"/>
        </w:rPr>
        <w:t>号）及事故调查组出具的《河南神火集团有限公司薛湖煤矿</w:t>
      </w:r>
      <w:r>
        <w:rPr>
          <w:bCs/>
          <w:color w:val="000000"/>
          <w:kern w:val="0"/>
          <w:sz w:val="24"/>
          <w:szCs w:val="24"/>
        </w:rPr>
        <w:t>“5.15”</w:t>
      </w:r>
      <w:r>
        <w:rPr>
          <w:bCs/>
          <w:color w:val="000000"/>
          <w:kern w:val="0"/>
          <w:sz w:val="24"/>
          <w:szCs w:val="24"/>
        </w:rPr>
        <w:t>较大煤与瓦斯突出事故调查报告》。据此，河南煤矿安全监察局对薛湖煤矿处</w:t>
      </w:r>
      <w:r>
        <w:rPr>
          <w:bCs/>
          <w:color w:val="000000"/>
          <w:kern w:val="0"/>
          <w:sz w:val="24"/>
          <w:szCs w:val="24"/>
        </w:rPr>
        <w:t>300</w:t>
      </w:r>
      <w:r>
        <w:rPr>
          <w:bCs/>
          <w:color w:val="000000"/>
          <w:kern w:val="0"/>
          <w:sz w:val="24"/>
          <w:szCs w:val="24"/>
        </w:rPr>
        <w:t>万元罚款。薛湖煤矿已于</w:t>
      </w:r>
      <w:r>
        <w:rPr>
          <w:bCs/>
          <w:color w:val="000000"/>
          <w:kern w:val="0"/>
          <w:sz w:val="24"/>
          <w:szCs w:val="24"/>
        </w:rPr>
        <w:t>2017</w:t>
      </w:r>
      <w:r>
        <w:rPr>
          <w:bCs/>
          <w:color w:val="000000"/>
          <w:kern w:val="0"/>
          <w:sz w:val="24"/>
          <w:szCs w:val="24"/>
        </w:rPr>
        <w:t>年</w:t>
      </w:r>
      <w:r>
        <w:rPr>
          <w:bCs/>
          <w:color w:val="000000"/>
          <w:kern w:val="0"/>
          <w:sz w:val="24"/>
          <w:szCs w:val="24"/>
        </w:rPr>
        <w:t>8</w:t>
      </w:r>
      <w:r>
        <w:rPr>
          <w:bCs/>
          <w:color w:val="000000"/>
          <w:kern w:val="0"/>
          <w:sz w:val="24"/>
          <w:szCs w:val="24"/>
        </w:rPr>
        <w:t>月</w:t>
      </w:r>
      <w:r>
        <w:rPr>
          <w:bCs/>
          <w:color w:val="000000"/>
          <w:kern w:val="0"/>
          <w:sz w:val="24"/>
          <w:szCs w:val="24"/>
        </w:rPr>
        <w:t>28</w:t>
      </w:r>
      <w:r>
        <w:rPr>
          <w:bCs/>
          <w:color w:val="000000"/>
          <w:kern w:val="0"/>
          <w:sz w:val="24"/>
          <w:szCs w:val="24"/>
        </w:rPr>
        <w:t>日复工复产。</w:t>
      </w:r>
    </w:p>
    <w:p w:rsidR="00202562" w:rsidRDefault="00C82C2F">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8,113.28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805,526.02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491,928.63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1,305,567.93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41,588,317.71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169,839.39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6,220,339.65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35,537,817.45</w:t>
            </w:r>
          </w:p>
        </w:tc>
      </w:tr>
    </w:tbl>
    <w:p w:rsidR="00202562" w:rsidRDefault="00C82C2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lastRenderedPageBreak/>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02562" w:rsidRDefault="00C82C2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202562" w:rsidRDefault="00C82C2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、《交银施罗德增强收益债券型证券投资基金基金合同》；</w:t>
      </w:r>
    </w:p>
    <w:p w:rsidR="00202562" w:rsidRDefault="00C82C2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、《交银施罗德增强收益债券型证券投资基金招募说明书》；</w:t>
      </w:r>
    </w:p>
    <w:p w:rsidR="00202562" w:rsidRDefault="00C82C2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、《交银施罗德增强收益债券型证券投资基金托管协议》；</w:t>
      </w:r>
    </w:p>
    <w:p w:rsidR="00202562" w:rsidRDefault="00C82C2F">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、《交银施罗德荣泰保本混合型证券投资基金基金合同》；</w:t>
      </w:r>
    </w:p>
    <w:p w:rsidR="00202562" w:rsidRDefault="00C82C2F">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、《交银施罗德荣泰保本混合型证券投资基金招募说明书》；</w:t>
      </w:r>
    </w:p>
    <w:p w:rsidR="00202562" w:rsidRDefault="00C82C2F">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、《交银施罗德荣泰保本混合型证券投资基金托管协议》；</w:t>
      </w:r>
    </w:p>
    <w:p w:rsidR="00202562" w:rsidRDefault="00C82C2F">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、《交银施罗德荣泰保本混合型证券投资基金保证合同》；</w:t>
      </w:r>
      <w:r>
        <w:rPr>
          <w:color w:val="000000"/>
          <w:sz w:val="24"/>
          <w:szCs w:val="24"/>
        </w:rPr>
        <w:t xml:space="preserve"> </w:t>
      </w:r>
    </w:p>
    <w:p w:rsidR="00202562" w:rsidRDefault="00C82C2F">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202562" w:rsidRDefault="00C82C2F">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202562" w:rsidRDefault="00C82C2F">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、关于申请募集交银施罗德荣泰保本混合型证券投资基金之法律意见书；</w:t>
      </w:r>
    </w:p>
    <w:p w:rsidR="00202562" w:rsidRDefault="00C82C2F">
      <w:pPr>
        <w:spacing w:before="29" w:line="288" w:lineRule="auto"/>
        <w:ind w:firstLineChars="200" w:firstLine="480"/>
        <w:rPr>
          <w:color w:val="000000"/>
          <w:sz w:val="24"/>
          <w:szCs w:val="24"/>
        </w:rPr>
      </w:pPr>
      <w:r>
        <w:rPr>
          <w:color w:val="000000"/>
          <w:sz w:val="24"/>
          <w:szCs w:val="24"/>
        </w:rPr>
        <w:t>12</w:t>
      </w:r>
      <w:r>
        <w:rPr>
          <w:color w:val="000000"/>
          <w:sz w:val="24"/>
          <w:szCs w:val="24"/>
        </w:rPr>
        <w:t>、关于交银施罗德荣泰保本混合型证券投资基金保本周期到期转型及基金合同修改的法律意见；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、报告期内交银施罗德增强收益债券型证券投资基金、交银施罗德荣泰保本混合型证券投资基金在指定报刊上各项公告的原稿。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02562" w:rsidRDefault="00C82C2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6B2" w:rsidRDefault="009946B2" w:rsidP="00876D65">
      <w:r>
        <w:separator/>
      </w:r>
    </w:p>
  </w:endnote>
  <w:endnote w:type="continuationSeparator" w:id="0">
    <w:p w:rsidR="009946B2" w:rsidRDefault="009946B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725898">
      <w:rPr>
        <w:noProof/>
        <w:kern w:val="0"/>
        <w:szCs w:val="21"/>
      </w:rPr>
      <w:t>9</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725898">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6B2" w:rsidRDefault="009946B2" w:rsidP="00876D65">
      <w:r>
        <w:separator/>
      </w:r>
    </w:p>
  </w:footnote>
  <w:footnote w:type="continuationSeparator" w:id="0">
    <w:p w:rsidR="009946B2" w:rsidRDefault="009946B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02562"/>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5898"/>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946B2"/>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109D"/>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2C2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3A2A"/>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6CF5"/>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C9F36F4-C8FB-4A27-8A03-635AD177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34994.EBD6B2A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1F50A-5B60-475D-B83C-21DDD568C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12</Pages>
  <Words>1156</Words>
  <Characters>6590</Characters>
  <Application>Microsoft Office Word</Application>
  <DocSecurity>0</DocSecurity>
  <Lines>54</Lines>
  <Paragraphs>15</Paragraphs>
  <ScaleCrop>false</ScaleCrop>
  <Company/>
  <LinksUpToDate>false</LinksUpToDate>
  <CharactersWithSpaces>7731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569</cp:revision>
  <dcterms:created xsi:type="dcterms:W3CDTF">2012-10-16T06:07:00Z</dcterms:created>
  <dcterms:modified xsi:type="dcterms:W3CDTF">2017-10-24T02:20:00Z</dcterms:modified>
</cp:coreProperties>
</file>