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22390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92B08" w:rsidRDefault="0022390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239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50,700,063.03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239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2390A" w:rsidRPr="00414345" w:rsidTr="0022390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2390A" w:rsidRPr="00414345" w:rsidTr="002239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7,788,831.84</w:t>
            </w:r>
          </w:p>
        </w:tc>
      </w:tr>
      <w:tr w:rsidR="0022390A" w:rsidRPr="00414345" w:rsidTr="002239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16,545,614.09</w:t>
            </w:r>
          </w:p>
        </w:tc>
      </w:tr>
      <w:tr w:rsidR="0022390A" w:rsidRPr="00414345" w:rsidTr="002239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0.3503</w:t>
            </w:r>
          </w:p>
        </w:tc>
      </w:tr>
      <w:tr w:rsidR="0022390A" w:rsidRPr="00414345" w:rsidTr="0022390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128,892,155.80</w:t>
            </w:r>
          </w:p>
        </w:tc>
      </w:tr>
      <w:tr w:rsidR="0022390A" w:rsidRPr="00414345" w:rsidTr="0022390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2.542</w:t>
            </w:r>
          </w:p>
        </w:tc>
      </w:tr>
    </w:tbl>
    <w:p w:rsidR="00B92B08" w:rsidRDefault="0022390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92B08">
        <w:trPr>
          <w:jc w:val="center"/>
        </w:trPr>
        <w:tc>
          <w:tcPr>
            <w:tcW w:w="1701" w:type="dxa"/>
            <w:vAlign w:val="center"/>
          </w:tcPr>
          <w:p w:rsidR="00B92B08" w:rsidRDefault="0022390A">
            <w:pPr>
              <w:jc w:val="left"/>
            </w:pPr>
            <w:r>
              <w:rPr>
                <w:color w:val="000000"/>
                <w:sz w:val="24"/>
                <w:szCs w:val="24"/>
              </w:rPr>
              <w:t>过去三个月</w:t>
            </w:r>
          </w:p>
        </w:tc>
        <w:tc>
          <w:tcPr>
            <w:tcW w:w="1045" w:type="dxa"/>
            <w:vAlign w:val="center"/>
          </w:tcPr>
          <w:p w:rsidR="00B92B08" w:rsidRDefault="0022390A">
            <w:pPr>
              <w:jc w:val="center"/>
            </w:pPr>
            <w:r>
              <w:rPr>
                <w:color w:val="000000"/>
                <w:sz w:val="24"/>
                <w:szCs w:val="24"/>
              </w:rPr>
              <w:t>15.81%</w:t>
            </w:r>
          </w:p>
        </w:tc>
        <w:tc>
          <w:tcPr>
            <w:tcW w:w="1344" w:type="dxa"/>
            <w:vAlign w:val="center"/>
          </w:tcPr>
          <w:p w:rsidR="00B92B08" w:rsidRDefault="00AF4CA1">
            <w:pPr>
              <w:jc w:val="center"/>
            </w:pPr>
            <w:r>
              <w:rPr>
                <w:color w:val="000000"/>
                <w:sz w:val="24"/>
                <w:szCs w:val="24"/>
              </w:rPr>
              <w:t>0.7</w:t>
            </w:r>
            <w:r>
              <w:rPr>
                <w:rFonts w:hint="eastAsia"/>
                <w:color w:val="000000"/>
                <w:sz w:val="24"/>
                <w:szCs w:val="24"/>
              </w:rPr>
              <w:t>0</w:t>
            </w:r>
            <w:r w:rsidR="0022390A">
              <w:rPr>
                <w:color w:val="000000"/>
                <w:sz w:val="24"/>
                <w:szCs w:val="24"/>
              </w:rPr>
              <w:t>%</w:t>
            </w:r>
          </w:p>
        </w:tc>
        <w:tc>
          <w:tcPr>
            <w:tcW w:w="1194" w:type="dxa"/>
            <w:vAlign w:val="center"/>
          </w:tcPr>
          <w:p w:rsidR="00B92B08" w:rsidRDefault="0022390A">
            <w:pPr>
              <w:jc w:val="center"/>
            </w:pPr>
            <w:r>
              <w:rPr>
                <w:color w:val="000000"/>
                <w:sz w:val="24"/>
                <w:szCs w:val="24"/>
              </w:rPr>
              <w:t>1.53%</w:t>
            </w:r>
          </w:p>
        </w:tc>
        <w:tc>
          <w:tcPr>
            <w:tcW w:w="1492" w:type="dxa"/>
            <w:vAlign w:val="center"/>
          </w:tcPr>
          <w:p w:rsidR="00B92B08" w:rsidRDefault="0022390A">
            <w:pPr>
              <w:jc w:val="center"/>
            </w:pPr>
            <w:r>
              <w:rPr>
                <w:color w:val="000000"/>
                <w:sz w:val="24"/>
                <w:szCs w:val="24"/>
              </w:rPr>
              <w:t>0.26%</w:t>
            </w:r>
          </w:p>
        </w:tc>
        <w:tc>
          <w:tcPr>
            <w:tcW w:w="1194" w:type="dxa"/>
            <w:vAlign w:val="center"/>
          </w:tcPr>
          <w:p w:rsidR="00B92B08" w:rsidRDefault="0022390A">
            <w:pPr>
              <w:jc w:val="center"/>
            </w:pPr>
            <w:r>
              <w:rPr>
                <w:color w:val="000000"/>
                <w:sz w:val="24"/>
                <w:szCs w:val="24"/>
              </w:rPr>
              <w:t>14.28%</w:t>
            </w:r>
          </w:p>
        </w:tc>
        <w:tc>
          <w:tcPr>
            <w:tcW w:w="898" w:type="dxa"/>
            <w:vAlign w:val="center"/>
          </w:tcPr>
          <w:p w:rsidR="00B92B08" w:rsidRDefault="00AF4CA1">
            <w:pPr>
              <w:jc w:val="center"/>
            </w:pPr>
            <w:r>
              <w:rPr>
                <w:color w:val="000000"/>
                <w:sz w:val="24"/>
                <w:szCs w:val="24"/>
              </w:rPr>
              <w:t>0.4</w:t>
            </w:r>
            <w:r>
              <w:rPr>
                <w:rFonts w:hint="eastAsia"/>
                <w:color w:val="000000"/>
                <w:sz w:val="24"/>
                <w:szCs w:val="24"/>
              </w:rPr>
              <w:t>4</w:t>
            </w:r>
            <w:r w:rsidR="0022390A">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9E07C0"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5BAED1F5" wp14:editId="5CB97F44">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239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92B08">
        <w:trPr>
          <w:jc w:val="center"/>
        </w:trPr>
        <w:tc>
          <w:tcPr>
            <w:tcW w:w="846" w:type="dxa"/>
            <w:vAlign w:val="center"/>
          </w:tcPr>
          <w:p w:rsidR="00B92B08" w:rsidRDefault="0022390A">
            <w:pPr>
              <w:jc w:val="center"/>
            </w:pPr>
            <w:r>
              <w:rPr>
                <w:color w:val="000000"/>
                <w:sz w:val="24"/>
                <w:szCs w:val="24"/>
              </w:rPr>
              <w:t>杨浩</w:t>
            </w:r>
          </w:p>
        </w:tc>
        <w:tc>
          <w:tcPr>
            <w:tcW w:w="845" w:type="dxa"/>
            <w:vAlign w:val="center"/>
          </w:tcPr>
          <w:p w:rsidR="00B92B08" w:rsidRDefault="0022390A">
            <w:pPr>
              <w:jc w:val="center"/>
            </w:pPr>
            <w:r>
              <w:rPr>
                <w:color w:val="000000"/>
                <w:sz w:val="24"/>
                <w:szCs w:val="24"/>
              </w:rPr>
              <w:t>交银定期支付双息平衡混合、交银新生活力灵活配置混合的基金经理</w:t>
            </w:r>
          </w:p>
        </w:tc>
        <w:tc>
          <w:tcPr>
            <w:tcW w:w="1549" w:type="dxa"/>
            <w:vAlign w:val="center"/>
          </w:tcPr>
          <w:p w:rsidR="00B92B08" w:rsidRDefault="0022390A">
            <w:pPr>
              <w:jc w:val="center"/>
            </w:pPr>
            <w:r>
              <w:rPr>
                <w:color w:val="000000"/>
                <w:sz w:val="24"/>
                <w:szCs w:val="24"/>
              </w:rPr>
              <w:t>2015-08-15</w:t>
            </w:r>
          </w:p>
        </w:tc>
        <w:tc>
          <w:tcPr>
            <w:tcW w:w="1548" w:type="dxa"/>
            <w:vAlign w:val="center"/>
          </w:tcPr>
          <w:p w:rsidR="00B92B08" w:rsidRDefault="0022390A">
            <w:pPr>
              <w:jc w:val="center"/>
            </w:pPr>
            <w:r>
              <w:rPr>
                <w:color w:val="000000"/>
                <w:sz w:val="24"/>
                <w:szCs w:val="24"/>
              </w:rPr>
              <w:t>-</w:t>
            </w:r>
          </w:p>
        </w:tc>
        <w:tc>
          <w:tcPr>
            <w:tcW w:w="1407" w:type="dxa"/>
            <w:vAlign w:val="center"/>
          </w:tcPr>
          <w:p w:rsidR="00B92B08" w:rsidRDefault="0022390A">
            <w:pPr>
              <w:jc w:val="center"/>
            </w:pPr>
            <w:r>
              <w:rPr>
                <w:color w:val="000000"/>
                <w:sz w:val="24"/>
                <w:szCs w:val="24"/>
              </w:rPr>
              <w:t>7</w:t>
            </w:r>
            <w:r>
              <w:rPr>
                <w:color w:val="000000"/>
                <w:sz w:val="24"/>
                <w:szCs w:val="24"/>
              </w:rPr>
              <w:t>年</w:t>
            </w:r>
          </w:p>
        </w:tc>
        <w:tc>
          <w:tcPr>
            <w:tcW w:w="2673" w:type="dxa"/>
            <w:vAlign w:val="center"/>
          </w:tcPr>
          <w:p w:rsidR="00B92B08" w:rsidRDefault="0022390A">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92B08" w:rsidRDefault="0022390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92B08" w:rsidRDefault="0022390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92B08" w:rsidRDefault="0022390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92B08" w:rsidRDefault="0022390A">
      <w:pPr>
        <w:spacing w:before="29" w:line="288" w:lineRule="auto"/>
        <w:ind w:firstLineChars="200" w:firstLine="480"/>
        <w:rPr>
          <w:color w:val="000000"/>
          <w:sz w:val="24"/>
          <w:szCs w:val="24"/>
        </w:rPr>
      </w:pPr>
      <w:r>
        <w:rPr>
          <w:color w:val="000000"/>
          <w:sz w:val="24"/>
          <w:szCs w:val="24"/>
        </w:rPr>
        <w:t>2017</w:t>
      </w:r>
      <w:r>
        <w:rPr>
          <w:color w:val="000000"/>
          <w:sz w:val="24"/>
          <w:szCs w:val="24"/>
        </w:rPr>
        <w:t>年第三季度，</w:t>
      </w:r>
      <w:r>
        <w:rPr>
          <w:color w:val="000000"/>
          <w:sz w:val="24"/>
          <w:szCs w:val="24"/>
        </w:rPr>
        <w:t>A</w:t>
      </w:r>
      <w:r>
        <w:rPr>
          <w:color w:val="000000"/>
          <w:sz w:val="24"/>
          <w:szCs w:val="24"/>
        </w:rPr>
        <w:t>股市场在企业盈利恢复的带动下迎来较好行情，各大指数均有表现。在周期产业领域，以资源和化工产业为代表，随着环保因素等供给侧改革的深化，以及龙头企业本身的竞争力增强，较多公司取得优秀业绩。在成长产业领域，以新能源汽车、消费升级为代表，迎来行业新机遇，亦拉动企业盈利快速增长。我们认为以盈利推动的市场行情是比较坚实的，而愈来愈多的产业盈利增长源于其内在竞争力的增强，更为难能可贵。</w:t>
      </w:r>
    </w:p>
    <w:p w:rsidR="00B92B08" w:rsidRDefault="0022390A">
      <w:pPr>
        <w:spacing w:before="29" w:line="288" w:lineRule="auto"/>
        <w:ind w:firstLineChars="200" w:firstLine="480"/>
        <w:rPr>
          <w:color w:val="000000"/>
          <w:sz w:val="24"/>
          <w:szCs w:val="24"/>
        </w:rPr>
      </w:pPr>
      <w:r>
        <w:rPr>
          <w:color w:val="000000"/>
          <w:sz w:val="24"/>
          <w:szCs w:val="24"/>
        </w:rPr>
        <w:t>本基金在第三季度表现强于业绩比较基准，主要源于提前布局了较多高盈利增长的新兴成长行业，一方面是以新能源汽车、新型通信网络、高端制造设备、泛半导体、新药研发等为代表的科技创新领域，另一方面是以图书阅读、便利超市、中端酒店等为代表的消费升级领域。我们坚信产业升级才是中国至强之路，所以并未参与纯粹周期波动的行业投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人口红利、房地产红利、互联网用户红利逐步消逝的未来，我们可能需要改变我们对传统和新兴产业的认识。过去我们以渠道新旧来区分，而未来我们应该以产品新旧来区分。那些能把产品生命周期做长、供应链资源做实、品牌赋能做深的公司将迎来新机遇，我们亦努力寻找这样的投资品种，努力为持有人获得较好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2.542</w:t>
      </w:r>
      <w:r w:rsidRPr="00414345">
        <w:rPr>
          <w:color w:val="000000"/>
          <w:sz w:val="24"/>
          <w:szCs w:val="24"/>
        </w:rPr>
        <w:t>元，本报告期份额净值增长率为</w:t>
      </w:r>
      <w:r w:rsidRPr="00414345">
        <w:rPr>
          <w:color w:val="000000"/>
          <w:sz w:val="24"/>
          <w:szCs w:val="24"/>
        </w:rPr>
        <w:t>15.81%</w:t>
      </w:r>
      <w:r w:rsidRPr="00414345">
        <w:rPr>
          <w:color w:val="000000"/>
          <w:sz w:val="24"/>
          <w:szCs w:val="24"/>
        </w:rPr>
        <w:t>，同期业绩比较基准增长率为</w:t>
      </w:r>
      <w:r w:rsidRPr="00414345">
        <w:rPr>
          <w:color w:val="000000"/>
          <w:sz w:val="24"/>
          <w:szCs w:val="24"/>
        </w:rPr>
        <w:t>1.53%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2239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88,993,462.03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88,993,462.03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29,241,273.72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1,489,933.11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129,734,668.86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53,186,778.36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6,592,549.00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9,314,608.00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3,007,404.67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15,994,622.00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88,993,462.03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69.04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92B08">
        <w:trPr>
          <w:jc w:val="center"/>
        </w:trPr>
        <w:tc>
          <w:tcPr>
            <w:tcW w:w="855" w:type="dxa"/>
            <w:vAlign w:val="center"/>
          </w:tcPr>
          <w:p w:rsidR="00B92B08" w:rsidRDefault="0022390A">
            <w:pPr>
              <w:jc w:val="center"/>
            </w:pPr>
            <w:r>
              <w:rPr>
                <w:color w:val="000000"/>
                <w:sz w:val="24"/>
                <w:szCs w:val="24"/>
              </w:rPr>
              <w:t>1</w:t>
            </w:r>
          </w:p>
        </w:tc>
        <w:tc>
          <w:tcPr>
            <w:tcW w:w="1334" w:type="dxa"/>
            <w:vAlign w:val="center"/>
          </w:tcPr>
          <w:p w:rsidR="00B92B08" w:rsidRDefault="0022390A">
            <w:pPr>
              <w:jc w:val="center"/>
            </w:pPr>
            <w:r>
              <w:rPr>
                <w:color w:val="000000"/>
                <w:sz w:val="24"/>
                <w:szCs w:val="24"/>
              </w:rPr>
              <w:t>300308</w:t>
            </w:r>
          </w:p>
        </w:tc>
        <w:tc>
          <w:tcPr>
            <w:tcW w:w="1777" w:type="dxa"/>
            <w:vAlign w:val="center"/>
          </w:tcPr>
          <w:p w:rsidR="00B92B08" w:rsidRDefault="00DE5363">
            <w:pPr>
              <w:jc w:val="center"/>
            </w:pPr>
            <w:r w:rsidRPr="00DE5363">
              <w:rPr>
                <w:rFonts w:hint="eastAsia"/>
                <w:color w:val="000000"/>
                <w:sz w:val="24"/>
                <w:szCs w:val="24"/>
              </w:rPr>
              <w:t>中际旭创</w:t>
            </w:r>
          </w:p>
        </w:tc>
        <w:tc>
          <w:tcPr>
            <w:tcW w:w="1334" w:type="dxa"/>
            <w:vAlign w:val="center"/>
          </w:tcPr>
          <w:p w:rsidR="00B92B08" w:rsidRDefault="0022390A">
            <w:pPr>
              <w:jc w:val="right"/>
            </w:pPr>
            <w:r>
              <w:rPr>
                <w:color w:val="000000"/>
                <w:sz w:val="24"/>
                <w:szCs w:val="24"/>
              </w:rPr>
              <w:t>233,200</w:t>
            </w:r>
          </w:p>
        </w:tc>
        <w:tc>
          <w:tcPr>
            <w:tcW w:w="1924" w:type="dxa"/>
            <w:vAlign w:val="center"/>
          </w:tcPr>
          <w:p w:rsidR="00B92B08" w:rsidRDefault="0022390A">
            <w:pPr>
              <w:jc w:val="right"/>
            </w:pPr>
            <w:r>
              <w:rPr>
                <w:color w:val="000000"/>
                <w:sz w:val="24"/>
                <w:szCs w:val="24"/>
              </w:rPr>
              <w:t>11,331,188.00</w:t>
            </w:r>
          </w:p>
        </w:tc>
        <w:tc>
          <w:tcPr>
            <w:tcW w:w="1644" w:type="dxa"/>
            <w:vAlign w:val="center"/>
          </w:tcPr>
          <w:p w:rsidR="00B92B08" w:rsidRDefault="0022390A">
            <w:pPr>
              <w:jc w:val="right"/>
            </w:pPr>
            <w:r>
              <w:rPr>
                <w:color w:val="000000"/>
                <w:sz w:val="24"/>
                <w:szCs w:val="24"/>
              </w:rPr>
              <w:t>8.79</w:t>
            </w:r>
          </w:p>
        </w:tc>
      </w:tr>
      <w:tr w:rsidR="00B92B08">
        <w:trPr>
          <w:jc w:val="center"/>
        </w:trPr>
        <w:tc>
          <w:tcPr>
            <w:tcW w:w="855" w:type="dxa"/>
            <w:vAlign w:val="center"/>
          </w:tcPr>
          <w:p w:rsidR="00B92B08" w:rsidRDefault="0022390A">
            <w:pPr>
              <w:jc w:val="center"/>
            </w:pPr>
            <w:r>
              <w:rPr>
                <w:color w:val="000000"/>
                <w:sz w:val="24"/>
                <w:szCs w:val="24"/>
              </w:rPr>
              <w:t>2</w:t>
            </w:r>
          </w:p>
        </w:tc>
        <w:tc>
          <w:tcPr>
            <w:tcW w:w="1334" w:type="dxa"/>
            <w:vAlign w:val="center"/>
          </w:tcPr>
          <w:p w:rsidR="00B92B08" w:rsidRDefault="0022390A">
            <w:pPr>
              <w:jc w:val="center"/>
            </w:pPr>
            <w:r>
              <w:rPr>
                <w:color w:val="000000"/>
                <w:sz w:val="24"/>
                <w:szCs w:val="24"/>
              </w:rPr>
              <w:t>603096</w:t>
            </w:r>
          </w:p>
        </w:tc>
        <w:tc>
          <w:tcPr>
            <w:tcW w:w="1777" w:type="dxa"/>
            <w:vAlign w:val="center"/>
          </w:tcPr>
          <w:p w:rsidR="00B92B08" w:rsidRDefault="0022390A">
            <w:pPr>
              <w:jc w:val="center"/>
            </w:pPr>
            <w:r>
              <w:rPr>
                <w:color w:val="000000"/>
                <w:sz w:val="24"/>
                <w:szCs w:val="24"/>
              </w:rPr>
              <w:t>新经典</w:t>
            </w:r>
          </w:p>
        </w:tc>
        <w:tc>
          <w:tcPr>
            <w:tcW w:w="1334" w:type="dxa"/>
            <w:vAlign w:val="center"/>
          </w:tcPr>
          <w:p w:rsidR="00B92B08" w:rsidRDefault="0022390A">
            <w:pPr>
              <w:jc w:val="right"/>
            </w:pPr>
            <w:r>
              <w:rPr>
                <w:color w:val="000000"/>
                <w:sz w:val="24"/>
                <w:szCs w:val="24"/>
              </w:rPr>
              <w:t>160,300</w:t>
            </w:r>
          </w:p>
        </w:tc>
        <w:tc>
          <w:tcPr>
            <w:tcW w:w="1924" w:type="dxa"/>
            <w:vAlign w:val="center"/>
          </w:tcPr>
          <w:p w:rsidR="00B92B08" w:rsidRDefault="0022390A">
            <w:pPr>
              <w:jc w:val="right"/>
            </w:pPr>
            <w:r>
              <w:rPr>
                <w:color w:val="000000"/>
                <w:sz w:val="24"/>
                <w:szCs w:val="24"/>
              </w:rPr>
              <w:t>9,630,824.00</w:t>
            </w:r>
          </w:p>
        </w:tc>
        <w:tc>
          <w:tcPr>
            <w:tcW w:w="1644" w:type="dxa"/>
            <w:vAlign w:val="center"/>
          </w:tcPr>
          <w:p w:rsidR="00B92B08" w:rsidRDefault="0022390A">
            <w:pPr>
              <w:jc w:val="right"/>
            </w:pPr>
            <w:r>
              <w:rPr>
                <w:color w:val="000000"/>
                <w:sz w:val="24"/>
                <w:szCs w:val="24"/>
              </w:rPr>
              <w:t>7.47</w:t>
            </w:r>
          </w:p>
        </w:tc>
      </w:tr>
      <w:tr w:rsidR="00B92B08">
        <w:trPr>
          <w:jc w:val="center"/>
        </w:trPr>
        <w:tc>
          <w:tcPr>
            <w:tcW w:w="855" w:type="dxa"/>
            <w:vAlign w:val="center"/>
          </w:tcPr>
          <w:p w:rsidR="00B92B08" w:rsidRDefault="0022390A">
            <w:pPr>
              <w:jc w:val="center"/>
            </w:pPr>
            <w:r>
              <w:rPr>
                <w:color w:val="000000"/>
                <w:sz w:val="24"/>
                <w:szCs w:val="24"/>
              </w:rPr>
              <w:t>3</w:t>
            </w:r>
          </w:p>
        </w:tc>
        <w:tc>
          <w:tcPr>
            <w:tcW w:w="1334" w:type="dxa"/>
            <w:vAlign w:val="center"/>
          </w:tcPr>
          <w:p w:rsidR="00B92B08" w:rsidRDefault="0022390A">
            <w:pPr>
              <w:jc w:val="center"/>
            </w:pPr>
            <w:r>
              <w:rPr>
                <w:color w:val="000000"/>
                <w:sz w:val="24"/>
                <w:szCs w:val="24"/>
              </w:rPr>
              <w:t>603986</w:t>
            </w:r>
          </w:p>
        </w:tc>
        <w:tc>
          <w:tcPr>
            <w:tcW w:w="1777" w:type="dxa"/>
            <w:vAlign w:val="center"/>
          </w:tcPr>
          <w:p w:rsidR="00B92B08" w:rsidRDefault="0022390A">
            <w:pPr>
              <w:jc w:val="center"/>
            </w:pPr>
            <w:r>
              <w:rPr>
                <w:color w:val="000000"/>
                <w:sz w:val="24"/>
                <w:szCs w:val="24"/>
              </w:rPr>
              <w:t>兆易创新</w:t>
            </w:r>
          </w:p>
        </w:tc>
        <w:tc>
          <w:tcPr>
            <w:tcW w:w="1334" w:type="dxa"/>
            <w:vAlign w:val="center"/>
          </w:tcPr>
          <w:p w:rsidR="00B92B08" w:rsidRDefault="0022390A">
            <w:pPr>
              <w:jc w:val="right"/>
            </w:pPr>
            <w:r>
              <w:rPr>
                <w:color w:val="000000"/>
                <w:sz w:val="24"/>
                <w:szCs w:val="24"/>
              </w:rPr>
              <w:t>59,300</w:t>
            </w:r>
          </w:p>
        </w:tc>
        <w:tc>
          <w:tcPr>
            <w:tcW w:w="1924" w:type="dxa"/>
            <w:vAlign w:val="center"/>
          </w:tcPr>
          <w:p w:rsidR="00B92B08" w:rsidRDefault="0022390A">
            <w:pPr>
              <w:jc w:val="right"/>
            </w:pPr>
            <w:r>
              <w:rPr>
                <w:color w:val="000000"/>
                <w:sz w:val="24"/>
                <w:szCs w:val="24"/>
              </w:rPr>
              <w:t>7,724,418.00</w:t>
            </w:r>
          </w:p>
        </w:tc>
        <w:tc>
          <w:tcPr>
            <w:tcW w:w="1644" w:type="dxa"/>
            <w:vAlign w:val="center"/>
          </w:tcPr>
          <w:p w:rsidR="00B92B08" w:rsidRDefault="0022390A">
            <w:pPr>
              <w:jc w:val="right"/>
            </w:pPr>
            <w:r>
              <w:rPr>
                <w:color w:val="000000"/>
                <w:sz w:val="24"/>
                <w:szCs w:val="24"/>
              </w:rPr>
              <w:t>5.99</w:t>
            </w:r>
          </w:p>
        </w:tc>
      </w:tr>
      <w:tr w:rsidR="00B92B08">
        <w:trPr>
          <w:jc w:val="center"/>
        </w:trPr>
        <w:tc>
          <w:tcPr>
            <w:tcW w:w="855" w:type="dxa"/>
            <w:vAlign w:val="center"/>
          </w:tcPr>
          <w:p w:rsidR="00B92B08" w:rsidRDefault="0022390A">
            <w:pPr>
              <w:jc w:val="center"/>
            </w:pPr>
            <w:r>
              <w:rPr>
                <w:color w:val="000000"/>
                <w:sz w:val="24"/>
                <w:szCs w:val="24"/>
              </w:rPr>
              <w:t>4</w:t>
            </w:r>
          </w:p>
        </w:tc>
        <w:tc>
          <w:tcPr>
            <w:tcW w:w="1334" w:type="dxa"/>
            <w:vAlign w:val="center"/>
          </w:tcPr>
          <w:p w:rsidR="00B92B08" w:rsidRDefault="0022390A">
            <w:pPr>
              <w:jc w:val="center"/>
            </w:pPr>
            <w:r>
              <w:rPr>
                <w:color w:val="000000"/>
                <w:sz w:val="24"/>
                <w:szCs w:val="24"/>
              </w:rPr>
              <w:t>002008</w:t>
            </w:r>
          </w:p>
        </w:tc>
        <w:tc>
          <w:tcPr>
            <w:tcW w:w="1777" w:type="dxa"/>
            <w:vAlign w:val="center"/>
          </w:tcPr>
          <w:p w:rsidR="00B92B08" w:rsidRDefault="0022390A">
            <w:pPr>
              <w:jc w:val="center"/>
            </w:pPr>
            <w:r>
              <w:rPr>
                <w:color w:val="000000"/>
                <w:sz w:val="24"/>
                <w:szCs w:val="24"/>
              </w:rPr>
              <w:t>大族激光</w:t>
            </w:r>
          </w:p>
        </w:tc>
        <w:tc>
          <w:tcPr>
            <w:tcW w:w="1334" w:type="dxa"/>
            <w:vAlign w:val="center"/>
          </w:tcPr>
          <w:p w:rsidR="00B92B08" w:rsidRDefault="0022390A">
            <w:pPr>
              <w:jc w:val="right"/>
            </w:pPr>
            <w:r>
              <w:rPr>
                <w:color w:val="000000"/>
                <w:sz w:val="24"/>
                <w:szCs w:val="24"/>
              </w:rPr>
              <w:t>164,256</w:t>
            </w:r>
          </w:p>
        </w:tc>
        <w:tc>
          <w:tcPr>
            <w:tcW w:w="1924" w:type="dxa"/>
            <w:vAlign w:val="center"/>
          </w:tcPr>
          <w:p w:rsidR="00B92B08" w:rsidRDefault="0022390A">
            <w:pPr>
              <w:jc w:val="right"/>
            </w:pPr>
            <w:r>
              <w:rPr>
                <w:color w:val="000000"/>
                <w:sz w:val="24"/>
                <w:szCs w:val="24"/>
              </w:rPr>
              <w:t>7,161,561.60</w:t>
            </w:r>
          </w:p>
        </w:tc>
        <w:tc>
          <w:tcPr>
            <w:tcW w:w="1644" w:type="dxa"/>
            <w:vAlign w:val="center"/>
          </w:tcPr>
          <w:p w:rsidR="00B92B08" w:rsidRDefault="0022390A">
            <w:pPr>
              <w:jc w:val="right"/>
            </w:pPr>
            <w:r>
              <w:rPr>
                <w:color w:val="000000"/>
                <w:sz w:val="24"/>
                <w:szCs w:val="24"/>
              </w:rPr>
              <w:t>5.56</w:t>
            </w:r>
          </w:p>
        </w:tc>
      </w:tr>
      <w:tr w:rsidR="00B92B08">
        <w:trPr>
          <w:jc w:val="center"/>
        </w:trPr>
        <w:tc>
          <w:tcPr>
            <w:tcW w:w="855" w:type="dxa"/>
            <w:vAlign w:val="center"/>
          </w:tcPr>
          <w:p w:rsidR="00B92B08" w:rsidRDefault="0022390A">
            <w:pPr>
              <w:jc w:val="center"/>
            </w:pPr>
            <w:r>
              <w:rPr>
                <w:color w:val="000000"/>
                <w:sz w:val="24"/>
                <w:szCs w:val="24"/>
              </w:rPr>
              <w:t>5</w:t>
            </w:r>
          </w:p>
        </w:tc>
        <w:tc>
          <w:tcPr>
            <w:tcW w:w="1334" w:type="dxa"/>
            <w:vAlign w:val="center"/>
          </w:tcPr>
          <w:p w:rsidR="00B92B08" w:rsidRDefault="0022390A">
            <w:pPr>
              <w:jc w:val="center"/>
            </w:pPr>
            <w:r>
              <w:rPr>
                <w:color w:val="000000"/>
                <w:sz w:val="24"/>
                <w:szCs w:val="24"/>
              </w:rPr>
              <w:t>002583</w:t>
            </w:r>
          </w:p>
        </w:tc>
        <w:tc>
          <w:tcPr>
            <w:tcW w:w="1777" w:type="dxa"/>
            <w:vAlign w:val="center"/>
          </w:tcPr>
          <w:p w:rsidR="00B92B08" w:rsidRDefault="0022390A">
            <w:pPr>
              <w:jc w:val="center"/>
            </w:pPr>
            <w:r>
              <w:rPr>
                <w:color w:val="000000"/>
                <w:sz w:val="24"/>
                <w:szCs w:val="24"/>
              </w:rPr>
              <w:t>海能达</w:t>
            </w:r>
          </w:p>
        </w:tc>
        <w:tc>
          <w:tcPr>
            <w:tcW w:w="1334" w:type="dxa"/>
            <w:vAlign w:val="center"/>
          </w:tcPr>
          <w:p w:rsidR="00B92B08" w:rsidRDefault="0022390A">
            <w:pPr>
              <w:jc w:val="right"/>
            </w:pPr>
            <w:r>
              <w:rPr>
                <w:color w:val="000000"/>
                <w:sz w:val="24"/>
                <w:szCs w:val="24"/>
              </w:rPr>
              <w:t>400,505</w:t>
            </w:r>
          </w:p>
        </w:tc>
        <w:tc>
          <w:tcPr>
            <w:tcW w:w="1924" w:type="dxa"/>
            <w:vAlign w:val="center"/>
          </w:tcPr>
          <w:p w:rsidR="00B92B08" w:rsidRDefault="0022390A">
            <w:pPr>
              <w:jc w:val="right"/>
            </w:pPr>
            <w:r>
              <w:rPr>
                <w:color w:val="000000"/>
                <w:sz w:val="24"/>
                <w:szCs w:val="24"/>
              </w:rPr>
              <w:t>6,644,377.95</w:t>
            </w:r>
          </w:p>
        </w:tc>
        <w:tc>
          <w:tcPr>
            <w:tcW w:w="1644" w:type="dxa"/>
            <w:vAlign w:val="center"/>
          </w:tcPr>
          <w:p w:rsidR="00B92B08" w:rsidRDefault="0022390A">
            <w:pPr>
              <w:jc w:val="right"/>
            </w:pPr>
            <w:r>
              <w:rPr>
                <w:color w:val="000000"/>
                <w:sz w:val="24"/>
                <w:szCs w:val="24"/>
              </w:rPr>
              <w:t>5.15</w:t>
            </w:r>
          </w:p>
        </w:tc>
      </w:tr>
      <w:tr w:rsidR="00B92B08">
        <w:trPr>
          <w:jc w:val="center"/>
        </w:trPr>
        <w:tc>
          <w:tcPr>
            <w:tcW w:w="855" w:type="dxa"/>
            <w:vAlign w:val="center"/>
          </w:tcPr>
          <w:p w:rsidR="00B92B08" w:rsidRDefault="0022390A">
            <w:pPr>
              <w:jc w:val="center"/>
            </w:pPr>
            <w:r>
              <w:rPr>
                <w:color w:val="000000"/>
                <w:sz w:val="24"/>
                <w:szCs w:val="24"/>
              </w:rPr>
              <w:t>6</w:t>
            </w:r>
          </w:p>
        </w:tc>
        <w:tc>
          <w:tcPr>
            <w:tcW w:w="1334" w:type="dxa"/>
            <w:vAlign w:val="center"/>
          </w:tcPr>
          <w:p w:rsidR="00B92B08" w:rsidRDefault="0022390A">
            <w:pPr>
              <w:jc w:val="center"/>
            </w:pPr>
            <w:r>
              <w:rPr>
                <w:color w:val="000000"/>
                <w:sz w:val="24"/>
                <w:szCs w:val="24"/>
              </w:rPr>
              <w:t>601933</w:t>
            </w:r>
          </w:p>
        </w:tc>
        <w:tc>
          <w:tcPr>
            <w:tcW w:w="1777" w:type="dxa"/>
            <w:vAlign w:val="center"/>
          </w:tcPr>
          <w:p w:rsidR="00B92B08" w:rsidRDefault="0022390A">
            <w:pPr>
              <w:jc w:val="center"/>
            </w:pPr>
            <w:r>
              <w:rPr>
                <w:color w:val="000000"/>
                <w:sz w:val="24"/>
                <w:szCs w:val="24"/>
              </w:rPr>
              <w:t>永辉超市</w:t>
            </w:r>
          </w:p>
        </w:tc>
        <w:tc>
          <w:tcPr>
            <w:tcW w:w="1334" w:type="dxa"/>
            <w:vAlign w:val="center"/>
          </w:tcPr>
          <w:p w:rsidR="00B92B08" w:rsidRDefault="0022390A">
            <w:pPr>
              <w:jc w:val="right"/>
            </w:pPr>
            <w:r>
              <w:rPr>
                <w:color w:val="000000"/>
                <w:sz w:val="24"/>
                <w:szCs w:val="24"/>
              </w:rPr>
              <w:t>825,100</w:t>
            </w:r>
          </w:p>
        </w:tc>
        <w:tc>
          <w:tcPr>
            <w:tcW w:w="1924" w:type="dxa"/>
            <w:vAlign w:val="center"/>
          </w:tcPr>
          <w:p w:rsidR="00B92B08" w:rsidRDefault="0022390A">
            <w:pPr>
              <w:jc w:val="right"/>
            </w:pPr>
            <w:r>
              <w:rPr>
                <w:color w:val="000000"/>
                <w:sz w:val="24"/>
                <w:szCs w:val="24"/>
              </w:rPr>
              <w:t>6,592,549.00</w:t>
            </w:r>
          </w:p>
        </w:tc>
        <w:tc>
          <w:tcPr>
            <w:tcW w:w="1644" w:type="dxa"/>
            <w:vAlign w:val="center"/>
          </w:tcPr>
          <w:p w:rsidR="00B92B08" w:rsidRDefault="0022390A">
            <w:pPr>
              <w:jc w:val="right"/>
            </w:pPr>
            <w:r>
              <w:rPr>
                <w:color w:val="000000"/>
                <w:sz w:val="24"/>
                <w:szCs w:val="24"/>
              </w:rPr>
              <w:t>5.11</w:t>
            </w:r>
          </w:p>
        </w:tc>
      </w:tr>
      <w:tr w:rsidR="00B92B08">
        <w:trPr>
          <w:jc w:val="center"/>
        </w:trPr>
        <w:tc>
          <w:tcPr>
            <w:tcW w:w="855" w:type="dxa"/>
            <w:vAlign w:val="center"/>
          </w:tcPr>
          <w:p w:rsidR="00B92B08" w:rsidRDefault="0022390A">
            <w:pPr>
              <w:jc w:val="center"/>
            </w:pPr>
            <w:r>
              <w:rPr>
                <w:color w:val="000000"/>
                <w:sz w:val="24"/>
                <w:szCs w:val="24"/>
              </w:rPr>
              <w:t>7</w:t>
            </w:r>
          </w:p>
        </w:tc>
        <w:tc>
          <w:tcPr>
            <w:tcW w:w="1334" w:type="dxa"/>
            <w:vAlign w:val="center"/>
          </w:tcPr>
          <w:p w:rsidR="00B92B08" w:rsidRDefault="0022390A">
            <w:pPr>
              <w:jc w:val="center"/>
            </w:pPr>
            <w:r>
              <w:rPr>
                <w:color w:val="000000"/>
                <w:sz w:val="24"/>
                <w:szCs w:val="24"/>
              </w:rPr>
              <w:t>300251</w:t>
            </w:r>
          </w:p>
        </w:tc>
        <w:tc>
          <w:tcPr>
            <w:tcW w:w="1777" w:type="dxa"/>
            <w:vAlign w:val="center"/>
          </w:tcPr>
          <w:p w:rsidR="00B92B08" w:rsidRDefault="0022390A">
            <w:pPr>
              <w:jc w:val="center"/>
            </w:pPr>
            <w:r>
              <w:rPr>
                <w:color w:val="000000"/>
                <w:sz w:val="24"/>
                <w:szCs w:val="24"/>
              </w:rPr>
              <w:t>光线传媒</w:t>
            </w:r>
          </w:p>
        </w:tc>
        <w:tc>
          <w:tcPr>
            <w:tcW w:w="1334" w:type="dxa"/>
            <w:vAlign w:val="center"/>
          </w:tcPr>
          <w:p w:rsidR="00B92B08" w:rsidRDefault="0022390A">
            <w:pPr>
              <w:jc w:val="right"/>
            </w:pPr>
            <w:r>
              <w:rPr>
                <w:color w:val="000000"/>
                <w:sz w:val="24"/>
                <w:szCs w:val="24"/>
              </w:rPr>
              <w:t>581,700</w:t>
            </w:r>
          </w:p>
        </w:tc>
        <w:tc>
          <w:tcPr>
            <w:tcW w:w="1924" w:type="dxa"/>
            <w:vAlign w:val="center"/>
          </w:tcPr>
          <w:p w:rsidR="00B92B08" w:rsidRDefault="0022390A">
            <w:pPr>
              <w:jc w:val="right"/>
            </w:pPr>
            <w:r>
              <w:rPr>
                <w:color w:val="000000"/>
                <w:sz w:val="24"/>
                <w:szCs w:val="24"/>
              </w:rPr>
              <w:t>6,363,798.00</w:t>
            </w:r>
          </w:p>
        </w:tc>
        <w:tc>
          <w:tcPr>
            <w:tcW w:w="1644" w:type="dxa"/>
            <w:vAlign w:val="center"/>
          </w:tcPr>
          <w:p w:rsidR="00B92B08" w:rsidRDefault="0022390A">
            <w:pPr>
              <w:jc w:val="right"/>
            </w:pPr>
            <w:r>
              <w:rPr>
                <w:color w:val="000000"/>
                <w:sz w:val="24"/>
                <w:szCs w:val="24"/>
              </w:rPr>
              <w:t>4.94</w:t>
            </w:r>
          </w:p>
        </w:tc>
      </w:tr>
      <w:tr w:rsidR="00B92B08">
        <w:trPr>
          <w:jc w:val="center"/>
        </w:trPr>
        <w:tc>
          <w:tcPr>
            <w:tcW w:w="855" w:type="dxa"/>
            <w:vAlign w:val="center"/>
          </w:tcPr>
          <w:p w:rsidR="00B92B08" w:rsidRDefault="0022390A">
            <w:pPr>
              <w:jc w:val="center"/>
            </w:pPr>
            <w:r>
              <w:rPr>
                <w:color w:val="000000"/>
                <w:sz w:val="24"/>
                <w:szCs w:val="24"/>
              </w:rPr>
              <w:t>8</w:t>
            </w:r>
          </w:p>
        </w:tc>
        <w:tc>
          <w:tcPr>
            <w:tcW w:w="1334" w:type="dxa"/>
            <w:vAlign w:val="center"/>
          </w:tcPr>
          <w:p w:rsidR="00B92B08" w:rsidRDefault="0022390A">
            <w:pPr>
              <w:jc w:val="center"/>
            </w:pPr>
            <w:r>
              <w:rPr>
                <w:color w:val="000000"/>
                <w:sz w:val="24"/>
                <w:szCs w:val="24"/>
              </w:rPr>
              <w:t>600703</w:t>
            </w:r>
          </w:p>
        </w:tc>
        <w:tc>
          <w:tcPr>
            <w:tcW w:w="1777" w:type="dxa"/>
            <w:vAlign w:val="center"/>
          </w:tcPr>
          <w:p w:rsidR="00B92B08" w:rsidRDefault="0022390A">
            <w:pPr>
              <w:jc w:val="center"/>
            </w:pPr>
            <w:r>
              <w:rPr>
                <w:color w:val="000000"/>
                <w:sz w:val="24"/>
                <w:szCs w:val="24"/>
              </w:rPr>
              <w:t>三安光电</w:t>
            </w:r>
          </w:p>
        </w:tc>
        <w:tc>
          <w:tcPr>
            <w:tcW w:w="1334" w:type="dxa"/>
            <w:vAlign w:val="center"/>
          </w:tcPr>
          <w:p w:rsidR="00B92B08" w:rsidRDefault="0022390A">
            <w:pPr>
              <w:jc w:val="right"/>
            </w:pPr>
            <w:r>
              <w:rPr>
                <w:color w:val="000000"/>
                <w:sz w:val="24"/>
                <w:szCs w:val="24"/>
              </w:rPr>
              <w:t>267,737</w:t>
            </w:r>
          </w:p>
        </w:tc>
        <w:tc>
          <w:tcPr>
            <w:tcW w:w="1924" w:type="dxa"/>
            <w:vAlign w:val="center"/>
          </w:tcPr>
          <w:p w:rsidR="00B92B08" w:rsidRDefault="0022390A">
            <w:pPr>
              <w:jc w:val="right"/>
            </w:pPr>
            <w:r>
              <w:rPr>
                <w:color w:val="000000"/>
                <w:sz w:val="24"/>
                <w:szCs w:val="24"/>
              </w:rPr>
              <w:t>6,195,434.18</w:t>
            </w:r>
          </w:p>
        </w:tc>
        <w:tc>
          <w:tcPr>
            <w:tcW w:w="1644" w:type="dxa"/>
            <w:vAlign w:val="center"/>
          </w:tcPr>
          <w:p w:rsidR="00B92B08" w:rsidRDefault="0022390A">
            <w:pPr>
              <w:jc w:val="right"/>
            </w:pPr>
            <w:r>
              <w:rPr>
                <w:color w:val="000000"/>
                <w:sz w:val="24"/>
                <w:szCs w:val="24"/>
              </w:rPr>
              <w:t>4.81</w:t>
            </w:r>
          </w:p>
        </w:tc>
      </w:tr>
      <w:tr w:rsidR="00B92B08">
        <w:trPr>
          <w:jc w:val="center"/>
        </w:trPr>
        <w:tc>
          <w:tcPr>
            <w:tcW w:w="855" w:type="dxa"/>
            <w:vAlign w:val="center"/>
          </w:tcPr>
          <w:p w:rsidR="00B92B08" w:rsidRDefault="0022390A">
            <w:pPr>
              <w:jc w:val="center"/>
            </w:pPr>
            <w:r>
              <w:rPr>
                <w:color w:val="000000"/>
                <w:sz w:val="24"/>
                <w:szCs w:val="24"/>
              </w:rPr>
              <w:t>9</w:t>
            </w:r>
          </w:p>
        </w:tc>
        <w:tc>
          <w:tcPr>
            <w:tcW w:w="1334" w:type="dxa"/>
            <w:vAlign w:val="center"/>
          </w:tcPr>
          <w:p w:rsidR="00B92B08" w:rsidRDefault="0022390A">
            <w:pPr>
              <w:jc w:val="center"/>
            </w:pPr>
            <w:r>
              <w:rPr>
                <w:color w:val="000000"/>
                <w:sz w:val="24"/>
                <w:szCs w:val="24"/>
              </w:rPr>
              <w:t>002410</w:t>
            </w:r>
          </w:p>
        </w:tc>
        <w:tc>
          <w:tcPr>
            <w:tcW w:w="1777" w:type="dxa"/>
            <w:vAlign w:val="center"/>
          </w:tcPr>
          <w:p w:rsidR="00B92B08" w:rsidRDefault="0022390A">
            <w:pPr>
              <w:jc w:val="center"/>
            </w:pPr>
            <w:r>
              <w:rPr>
                <w:color w:val="000000"/>
                <w:sz w:val="24"/>
                <w:szCs w:val="24"/>
              </w:rPr>
              <w:t>广联达</w:t>
            </w:r>
          </w:p>
        </w:tc>
        <w:tc>
          <w:tcPr>
            <w:tcW w:w="1334" w:type="dxa"/>
            <w:vAlign w:val="center"/>
          </w:tcPr>
          <w:p w:rsidR="00B92B08" w:rsidRDefault="0022390A">
            <w:pPr>
              <w:jc w:val="right"/>
            </w:pPr>
            <w:r>
              <w:rPr>
                <w:color w:val="000000"/>
                <w:sz w:val="24"/>
                <w:szCs w:val="24"/>
              </w:rPr>
              <w:t>290,000</w:t>
            </w:r>
          </w:p>
        </w:tc>
        <w:tc>
          <w:tcPr>
            <w:tcW w:w="1924" w:type="dxa"/>
            <w:vAlign w:val="center"/>
          </w:tcPr>
          <w:p w:rsidR="00B92B08" w:rsidRDefault="0022390A">
            <w:pPr>
              <w:jc w:val="right"/>
            </w:pPr>
            <w:r>
              <w:rPr>
                <w:color w:val="000000"/>
                <w:sz w:val="24"/>
                <w:szCs w:val="24"/>
              </w:rPr>
              <w:t>5,930,500.00</w:t>
            </w:r>
          </w:p>
        </w:tc>
        <w:tc>
          <w:tcPr>
            <w:tcW w:w="1644" w:type="dxa"/>
            <w:vAlign w:val="center"/>
          </w:tcPr>
          <w:p w:rsidR="00B92B08" w:rsidRDefault="0022390A">
            <w:pPr>
              <w:jc w:val="right"/>
            </w:pPr>
            <w:r>
              <w:rPr>
                <w:color w:val="000000"/>
                <w:sz w:val="24"/>
                <w:szCs w:val="24"/>
              </w:rPr>
              <w:t>4.60</w:t>
            </w:r>
          </w:p>
        </w:tc>
      </w:tr>
      <w:tr w:rsidR="00B92B08">
        <w:trPr>
          <w:jc w:val="center"/>
        </w:trPr>
        <w:tc>
          <w:tcPr>
            <w:tcW w:w="855" w:type="dxa"/>
            <w:vAlign w:val="center"/>
          </w:tcPr>
          <w:p w:rsidR="00B92B08" w:rsidRDefault="0022390A">
            <w:pPr>
              <w:jc w:val="center"/>
            </w:pPr>
            <w:r>
              <w:rPr>
                <w:color w:val="000000"/>
                <w:sz w:val="24"/>
                <w:szCs w:val="24"/>
              </w:rPr>
              <w:t>10</w:t>
            </w:r>
          </w:p>
        </w:tc>
        <w:tc>
          <w:tcPr>
            <w:tcW w:w="1334" w:type="dxa"/>
            <w:vAlign w:val="center"/>
          </w:tcPr>
          <w:p w:rsidR="00B92B08" w:rsidRDefault="0022390A">
            <w:pPr>
              <w:jc w:val="center"/>
            </w:pPr>
            <w:r>
              <w:rPr>
                <w:color w:val="000000"/>
                <w:sz w:val="24"/>
                <w:szCs w:val="24"/>
              </w:rPr>
              <w:t>600885</w:t>
            </w:r>
          </w:p>
        </w:tc>
        <w:tc>
          <w:tcPr>
            <w:tcW w:w="1777" w:type="dxa"/>
            <w:vAlign w:val="center"/>
          </w:tcPr>
          <w:p w:rsidR="00B92B08" w:rsidRDefault="0022390A">
            <w:pPr>
              <w:jc w:val="center"/>
            </w:pPr>
            <w:r>
              <w:rPr>
                <w:color w:val="000000"/>
                <w:sz w:val="24"/>
                <w:szCs w:val="24"/>
              </w:rPr>
              <w:t>宏发股份</w:t>
            </w:r>
          </w:p>
        </w:tc>
        <w:tc>
          <w:tcPr>
            <w:tcW w:w="1334" w:type="dxa"/>
            <w:vAlign w:val="center"/>
          </w:tcPr>
          <w:p w:rsidR="00B92B08" w:rsidRDefault="0022390A">
            <w:pPr>
              <w:jc w:val="right"/>
            </w:pPr>
            <w:r>
              <w:rPr>
                <w:color w:val="000000"/>
                <w:sz w:val="24"/>
                <w:szCs w:val="24"/>
              </w:rPr>
              <w:t>107,268</w:t>
            </w:r>
          </w:p>
        </w:tc>
        <w:tc>
          <w:tcPr>
            <w:tcW w:w="1924" w:type="dxa"/>
            <w:vAlign w:val="center"/>
          </w:tcPr>
          <w:p w:rsidR="00B92B08" w:rsidRDefault="0022390A">
            <w:pPr>
              <w:jc w:val="right"/>
            </w:pPr>
            <w:r>
              <w:rPr>
                <w:color w:val="000000"/>
                <w:sz w:val="24"/>
                <w:szCs w:val="24"/>
              </w:rPr>
              <w:t>4,453,767.36</w:t>
            </w:r>
          </w:p>
        </w:tc>
        <w:tc>
          <w:tcPr>
            <w:tcW w:w="1644" w:type="dxa"/>
            <w:vAlign w:val="center"/>
          </w:tcPr>
          <w:p w:rsidR="00B92B08" w:rsidRDefault="0022390A">
            <w:pPr>
              <w:jc w:val="right"/>
            </w:pPr>
            <w:r>
              <w:rPr>
                <w:color w:val="000000"/>
                <w:sz w:val="24"/>
                <w:szCs w:val="24"/>
              </w:rPr>
              <w:t>3.46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92B08">
        <w:trPr>
          <w:jc w:val="center"/>
        </w:trPr>
        <w:tc>
          <w:tcPr>
            <w:tcW w:w="850" w:type="dxa"/>
            <w:vAlign w:val="center"/>
          </w:tcPr>
          <w:p w:rsidR="00B92B08" w:rsidRDefault="0022390A">
            <w:pPr>
              <w:jc w:val="center"/>
            </w:pPr>
            <w:r>
              <w:rPr>
                <w:color w:val="000000"/>
                <w:sz w:val="24"/>
                <w:szCs w:val="24"/>
              </w:rPr>
              <w:t>1</w:t>
            </w:r>
          </w:p>
        </w:tc>
        <w:tc>
          <w:tcPr>
            <w:tcW w:w="1475" w:type="dxa"/>
            <w:vAlign w:val="center"/>
          </w:tcPr>
          <w:p w:rsidR="00B92B08" w:rsidRDefault="0022390A">
            <w:pPr>
              <w:jc w:val="center"/>
            </w:pPr>
            <w:r>
              <w:rPr>
                <w:color w:val="000000"/>
                <w:sz w:val="24"/>
                <w:szCs w:val="24"/>
              </w:rPr>
              <w:t>150201</w:t>
            </w:r>
          </w:p>
        </w:tc>
        <w:tc>
          <w:tcPr>
            <w:tcW w:w="1769" w:type="dxa"/>
            <w:vAlign w:val="center"/>
          </w:tcPr>
          <w:p w:rsidR="00B92B08" w:rsidRDefault="0022390A">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B92B08" w:rsidRDefault="0022390A">
            <w:pPr>
              <w:jc w:val="right"/>
            </w:pPr>
            <w:r>
              <w:rPr>
                <w:color w:val="000000"/>
                <w:sz w:val="24"/>
                <w:szCs w:val="24"/>
              </w:rPr>
              <w:t>100,000</w:t>
            </w:r>
          </w:p>
        </w:tc>
        <w:tc>
          <w:tcPr>
            <w:tcW w:w="2150" w:type="dxa"/>
            <w:vAlign w:val="center"/>
          </w:tcPr>
          <w:p w:rsidR="00B92B08" w:rsidRDefault="0022390A">
            <w:pPr>
              <w:jc w:val="right"/>
            </w:pPr>
            <w:r>
              <w:rPr>
                <w:color w:val="000000"/>
                <w:sz w:val="24"/>
                <w:szCs w:val="24"/>
              </w:rPr>
              <w:t>10,010,000.00</w:t>
            </w:r>
          </w:p>
        </w:tc>
        <w:tc>
          <w:tcPr>
            <w:tcW w:w="1237" w:type="dxa"/>
            <w:vAlign w:val="center"/>
          </w:tcPr>
          <w:p w:rsidR="00B92B08" w:rsidRDefault="0022390A">
            <w:pPr>
              <w:jc w:val="right"/>
            </w:pPr>
            <w:r>
              <w:rPr>
                <w:color w:val="000000"/>
                <w:sz w:val="24"/>
                <w:szCs w:val="24"/>
              </w:rPr>
              <w:t>7.77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66,900.40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286,518.76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1,136,513.95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1,489,933.11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47,218,133.87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7,820,511.95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4,338,582.79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50,700,063.03</w:t>
            </w:r>
          </w:p>
        </w:tc>
      </w:tr>
    </w:tbl>
    <w:p w:rsidR="00B92B08" w:rsidRDefault="0022390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2390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22390A" w:rsidRDefault="0022390A" w:rsidP="0022390A">
      <w:pPr>
        <w:spacing w:line="288" w:lineRule="auto"/>
        <w:jc w:val="left"/>
        <w:rPr>
          <w:sz w:val="24"/>
          <w:szCs w:val="24"/>
        </w:rPr>
      </w:pPr>
      <w:r>
        <w:rPr>
          <w:b/>
          <w:sz w:val="24"/>
        </w:rPr>
        <w:t xml:space="preserve">7.1 </w:t>
      </w:r>
      <w:r>
        <w:rPr>
          <w:rFonts w:hint="eastAsia"/>
          <w:b/>
          <w:sz w:val="24"/>
        </w:rPr>
        <w:t>基金管理人持有本基金份额变动情况</w:t>
      </w:r>
    </w:p>
    <w:p w:rsidR="0022390A" w:rsidRDefault="0022390A" w:rsidP="0022390A">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本报告期内未发生基金管理人运用固有资金投资本基金的情况。</w:t>
      </w:r>
    </w:p>
    <w:p w:rsidR="0022390A" w:rsidRDefault="0022390A" w:rsidP="0022390A">
      <w:pPr>
        <w:autoSpaceDE w:val="0"/>
        <w:autoSpaceDN w:val="0"/>
        <w:adjustRightInd w:val="0"/>
        <w:spacing w:before="29" w:line="288" w:lineRule="auto"/>
        <w:jc w:val="left"/>
        <w:rPr>
          <w:rFonts w:eastAsiaTheme="minorEastAsia"/>
          <w:color w:val="000000"/>
          <w:sz w:val="24"/>
        </w:rPr>
      </w:pPr>
    </w:p>
    <w:p w:rsidR="0022390A" w:rsidRDefault="0022390A" w:rsidP="0022390A">
      <w:pPr>
        <w:spacing w:line="288" w:lineRule="auto"/>
        <w:jc w:val="left"/>
        <w:rPr>
          <w:b/>
          <w:sz w:val="24"/>
        </w:rPr>
      </w:pPr>
      <w:r>
        <w:rPr>
          <w:b/>
          <w:sz w:val="24"/>
        </w:rPr>
        <w:t>7.2</w:t>
      </w:r>
      <w:r>
        <w:rPr>
          <w:rFonts w:hint="eastAsia"/>
          <w:b/>
          <w:sz w:val="24"/>
        </w:rPr>
        <w:t>基金管理人运用固有资金投资本基金交易明细</w:t>
      </w:r>
    </w:p>
    <w:p w:rsidR="0022390A" w:rsidRDefault="0022390A" w:rsidP="0022390A">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2239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92B08" w:rsidRDefault="0022390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92B08" w:rsidRDefault="0022390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92B08" w:rsidRDefault="0022390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33" w:rsidRDefault="005A0A33" w:rsidP="00876D65">
      <w:r>
        <w:separator/>
      </w:r>
    </w:p>
  </w:endnote>
  <w:endnote w:type="continuationSeparator" w:id="0">
    <w:p w:rsidR="005A0A33" w:rsidRDefault="005A0A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92B08">
      <w:rPr>
        <w:kern w:val="0"/>
        <w:szCs w:val="21"/>
      </w:rPr>
      <w:fldChar w:fldCharType="begin"/>
    </w:r>
    <w:r>
      <w:rPr>
        <w:kern w:val="0"/>
        <w:szCs w:val="21"/>
      </w:rPr>
      <w:instrText xml:space="preserve"> PAGE </w:instrText>
    </w:r>
    <w:r w:rsidR="00B92B08">
      <w:rPr>
        <w:kern w:val="0"/>
        <w:szCs w:val="21"/>
      </w:rPr>
      <w:fldChar w:fldCharType="separate"/>
    </w:r>
    <w:r w:rsidR="009E07C0">
      <w:rPr>
        <w:noProof/>
        <w:kern w:val="0"/>
        <w:szCs w:val="21"/>
      </w:rPr>
      <w:t>3</w:t>
    </w:r>
    <w:r w:rsidR="00B92B08">
      <w:rPr>
        <w:kern w:val="0"/>
        <w:szCs w:val="21"/>
      </w:rPr>
      <w:fldChar w:fldCharType="end"/>
    </w:r>
    <w:r>
      <w:rPr>
        <w:rFonts w:hint="eastAsia"/>
        <w:kern w:val="0"/>
        <w:szCs w:val="21"/>
      </w:rPr>
      <w:t>页共</w:t>
    </w:r>
    <w:r w:rsidR="00B92B08">
      <w:rPr>
        <w:kern w:val="0"/>
        <w:szCs w:val="21"/>
      </w:rPr>
      <w:fldChar w:fldCharType="begin"/>
    </w:r>
    <w:r>
      <w:rPr>
        <w:kern w:val="0"/>
        <w:szCs w:val="21"/>
      </w:rPr>
      <w:instrText xml:space="preserve"> NUMPAGES </w:instrText>
    </w:r>
    <w:r w:rsidR="00B92B08">
      <w:rPr>
        <w:kern w:val="0"/>
        <w:szCs w:val="21"/>
      </w:rPr>
      <w:fldChar w:fldCharType="separate"/>
    </w:r>
    <w:r w:rsidR="009E07C0">
      <w:rPr>
        <w:noProof/>
        <w:kern w:val="0"/>
        <w:szCs w:val="21"/>
      </w:rPr>
      <w:t>11</w:t>
    </w:r>
    <w:r w:rsidR="00B92B0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33" w:rsidRDefault="005A0A33" w:rsidP="00876D65">
      <w:r>
        <w:separator/>
      </w:r>
    </w:p>
  </w:footnote>
  <w:footnote w:type="continuationSeparator" w:id="0">
    <w:p w:rsidR="005A0A33" w:rsidRDefault="005A0A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390A"/>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07C0"/>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4CA1"/>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B08"/>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E536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029B1A99-7D72-479B-B360-9436812B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700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86A4-2E1C-46B1-BA9D-718F72D2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11</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徐珉</cp:lastModifiedBy>
  <cp:revision>569</cp:revision>
  <dcterms:created xsi:type="dcterms:W3CDTF">2012-10-16T06:07:00Z</dcterms:created>
  <dcterms:modified xsi:type="dcterms:W3CDTF">2017-10-19T07:31:00Z</dcterms:modified>
</cp:coreProperties>
</file>