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CD7E9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D7E9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1,544,702,779.37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1,537,846,806.37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6,855,973.00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D7E9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14,036,709.92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62,589.49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12,745,522.19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55,033.86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1,606,372,953.10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7,138,434.19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1.041</w:t>
            </w:r>
          </w:p>
        </w:tc>
      </w:tr>
    </w:tbl>
    <w:p w:rsidR="002A5576" w:rsidRDefault="00CD7E9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A5576">
        <w:trPr>
          <w:jc w:val="center"/>
        </w:trPr>
        <w:tc>
          <w:tcPr>
            <w:tcW w:w="1266" w:type="dxa"/>
            <w:vAlign w:val="center"/>
          </w:tcPr>
          <w:p w:rsidR="002A5576" w:rsidRDefault="00CD7E9D">
            <w:pPr>
              <w:jc w:val="left"/>
            </w:pPr>
            <w:r>
              <w:rPr>
                <w:color w:val="000000"/>
                <w:sz w:val="24"/>
              </w:rPr>
              <w:t>过去三个月</w:t>
            </w:r>
          </w:p>
        </w:tc>
        <w:tc>
          <w:tcPr>
            <w:tcW w:w="1267" w:type="dxa"/>
            <w:vAlign w:val="center"/>
          </w:tcPr>
          <w:p w:rsidR="002A5576" w:rsidRDefault="00CD7E9D">
            <w:pPr>
              <w:jc w:val="center"/>
            </w:pPr>
            <w:r>
              <w:rPr>
                <w:color w:val="000000"/>
                <w:sz w:val="24"/>
              </w:rPr>
              <w:t>0.87%</w:t>
            </w:r>
          </w:p>
        </w:tc>
        <w:tc>
          <w:tcPr>
            <w:tcW w:w="1267" w:type="dxa"/>
            <w:vAlign w:val="center"/>
          </w:tcPr>
          <w:p w:rsidR="002A5576" w:rsidRDefault="00CD7E9D">
            <w:pPr>
              <w:jc w:val="center"/>
            </w:pPr>
            <w:r>
              <w:rPr>
                <w:color w:val="000000"/>
                <w:sz w:val="24"/>
              </w:rPr>
              <w:t>0.04%</w:t>
            </w:r>
          </w:p>
        </w:tc>
        <w:tc>
          <w:tcPr>
            <w:tcW w:w="1267" w:type="dxa"/>
            <w:vAlign w:val="center"/>
          </w:tcPr>
          <w:p w:rsidR="002A5576" w:rsidRDefault="00CD7E9D">
            <w:pPr>
              <w:jc w:val="center"/>
            </w:pPr>
            <w:r>
              <w:rPr>
                <w:color w:val="000000"/>
                <w:sz w:val="24"/>
              </w:rPr>
              <w:t>-0.16%</w:t>
            </w:r>
          </w:p>
        </w:tc>
        <w:tc>
          <w:tcPr>
            <w:tcW w:w="1267" w:type="dxa"/>
            <w:vAlign w:val="center"/>
          </w:tcPr>
          <w:p w:rsidR="002A5576" w:rsidRDefault="00CD7E9D">
            <w:pPr>
              <w:jc w:val="center"/>
            </w:pPr>
            <w:r>
              <w:rPr>
                <w:color w:val="000000"/>
                <w:sz w:val="24"/>
              </w:rPr>
              <w:t>0.04%</w:t>
            </w:r>
          </w:p>
        </w:tc>
        <w:tc>
          <w:tcPr>
            <w:tcW w:w="1267" w:type="dxa"/>
            <w:vAlign w:val="center"/>
          </w:tcPr>
          <w:p w:rsidR="002A5576" w:rsidRDefault="00CD7E9D">
            <w:pPr>
              <w:jc w:val="center"/>
            </w:pPr>
            <w:r>
              <w:rPr>
                <w:color w:val="000000"/>
                <w:sz w:val="24"/>
              </w:rPr>
              <w:t>1.03%</w:t>
            </w:r>
          </w:p>
        </w:tc>
        <w:tc>
          <w:tcPr>
            <w:tcW w:w="1267" w:type="dxa"/>
            <w:vAlign w:val="center"/>
          </w:tcPr>
          <w:p w:rsidR="002A5576" w:rsidRDefault="00CD7E9D">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A5576">
        <w:trPr>
          <w:jc w:val="center"/>
        </w:trPr>
        <w:tc>
          <w:tcPr>
            <w:tcW w:w="1266" w:type="dxa"/>
            <w:vAlign w:val="center"/>
          </w:tcPr>
          <w:p w:rsidR="002A5576" w:rsidRDefault="00CD7E9D">
            <w:pPr>
              <w:jc w:val="left"/>
            </w:pPr>
            <w:r>
              <w:rPr>
                <w:color w:val="000000"/>
                <w:sz w:val="24"/>
              </w:rPr>
              <w:t>过去三个月</w:t>
            </w:r>
          </w:p>
        </w:tc>
        <w:tc>
          <w:tcPr>
            <w:tcW w:w="1267" w:type="dxa"/>
            <w:vAlign w:val="center"/>
          </w:tcPr>
          <w:p w:rsidR="002A5576" w:rsidRDefault="00CD7E9D">
            <w:pPr>
              <w:jc w:val="center"/>
            </w:pPr>
            <w:r>
              <w:rPr>
                <w:color w:val="000000"/>
                <w:sz w:val="24"/>
              </w:rPr>
              <w:t>0.77%</w:t>
            </w:r>
          </w:p>
        </w:tc>
        <w:tc>
          <w:tcPr>
            <w:tcW w:w="1267" w:type="dxa"/>
            <w:vAlign w:val="center"/>
          </w:tcPr>
          <w:p w:rsidR="002A5576" w:rsidRDefault="00CD7E9D">
            <w:pPr>
              <w:jc w:val="center"/>
            </w:pPr>
            <w:r>
              <w:rPr>
                <w:color w:val="000000"/>
                <w:sz w:val="24"/>
              </w:rPr>
              <w:t>0.04%</w:t>
            </w:r>
          </w:p>
        </w:tc>
        <w:tc>
          <w:tcPr>
            <w:tcW w:w="1267" w:type="dxa"/>
            <w:vAlign w:val="center"/>
          </w:tcPr>
          <w:p w:rsidR="002A5576" w:rsidRDefault="00CD7E9D">
            <w:pPr>
              <w:jc w:val="center"/>
            </w:pPr>
            <w:r>
              <w:rPr>
                <w:color w:val="000000"/>
                <w:sz w:val="24"/>
              </w:rPr>
              <w:t>-0.16%</w:t>
            </w:r>
          </w:p>
        </w:tc>
        <w:tc>
          <w:tcPr>
            <w:tcW w:w="1267" w:type="dxa"/>
            <w:vAlign w:val="center"/>
          </w:tcPr>
          <w:p w:rsidR="002A5576" w:rsidRDefault="00CD7E9D">
            <w:pPr>
              <w:jc w:val="center"/>
            </w:pPr>
            <w:r>
              <w:rPr>
                <w:color w:val="000000"/>
                <w:sz w:val="24"/>
              </w:rPr>
              <w:t>0.04%</w:t>
            </w:r>
          </w:p>
        </w:tc>
        <w:tc>
          <w:tcPr>
            <w:tcW w:w="1267" w:type="dxa"/>
            <w:vAlign w:val="center"/>
          </w:tcPr>
          <w:p w:rsidR="002A5576" w:rsidRDefault="00CD7E9D">
            <w:pPr>
              <w:jc w:val="center"/>
            </w:pPr>
            <w:r>
              <w:rPr>
                <w:color w:val="000000"/>
                <w:sz w:val="24"/>
              </w:rPr>
              <w:t>0.93%</w:t>
            </w:r>
          </w:p>
        </w:tc>
        <w:tc>
          <w:tcPr>
            <w:tcW w:w="1267" w:type="dxa"/>
            <w:vAlign w:val="center"/>
          </w:tcPr>
          <w:p w:rsidR="002A5576" w:rsidRDefault="00CD7E9D">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CD7E9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A5576">
        <w:trPr>
          <w:jc w:val="center"/>
        </w:trPr>
        <w:tc>
          <w:tcPr>
            <w:tcW w:w="946" w:type="dxa"/>
            <w:vAlign w:val="center"/>
          </w:tcPr>
          <w:p w:rsidR="002A5576" w:rsidRDefault="00CD7E9D">
            <w:pPr>
              <w:jc w:val="center"/>
            </w:pPr>
            <w:r>
              <w:rPr>
                <w:color w:val="000000"/>
                <w:sz w:val="24"/>
              </w:rPr>
              <w:t>唐赟</w:t>
            </w:r>
          </w:p>
        </w:tc>
        <w:tc>
          <w:tcPr>
            <w:tcW w:w="924" w:type="dxa"/>
            <w:vAlign w:val="center"/>
          </w:tcPr>
          <w:p w:rsidR="002A5576" w:rsidRDefault="00CD7E9D">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2A5576" w:rsidRDefault="00CD7E9D">
            <w:pPr>
              <w:jc w:val="center"/>
            </w:pPr>
            <w:r>
              <w:rPr>
                <w:color w:val="000000"/>
                <w:sz w:val="24"/>
              </w:rPr>
              <w:t>2015-08-04</w:t>
            </w:r>
          </w:p>
        </w:tc>
        <w:tc>
          <w:tcPr>
            <w:tcW w:w="1300" w:type="dxa"/>
            <w:vAlign w:val="center"/>
          </w:tcPr>
          <w:p w:rsidR="002A5576" w:rsidRDefault="00CD7E9D">
            <w:pPr>
              <w:jc w:val="center"/>
            </w:pPr>
            <w:r>
              <w:rPr>
                <w:color w:val="000000"/>
                <w:sz w:val="24"/>
              </w:rPr>
              <w:t>-</w:t>
            </w:r>
          </w:p>
        </w:tc>
        <w:tc>
          <w:tcPr>
            <w:tcW w:w="1245" w:type="dxa"/>
            <w:vAlign w:val="center"/>
          </w:tcPr>
          <w:p w:rsidR="002A5576" w:rsidRDefault="00CD7E9D">
            <w:pPr>
              <w:jc w:val="center"/>
            </w:pPr>
            <w:r>
              <w:rPr>
                <w:color w:val="000000"/>
                <w:sz w:val="24"/>
              </w:rPr>
              <w:t>5</w:t>
            </w:r>
            <w:r>
              <w:rPr>
                <w:color w:val="000000"/>
                <w:sz w:val="24"/>
              </w:rPr>
              <w:t>年</w:t>
            </w:r>
          </w:p>
        </w:tc>
        <w:tc>
          <w:tcPr>
            <w:tcW w:w="3251" w:type="dxa"/>
            <w:vAlign w:val="center"/>
          </w:tcPr>
          <w:p w:rsidR="002A5576" w:rsidRDefault="00CD7E9D">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2A5576" w:rsidRDefault="00CD7E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5576" w:rsidRDefault="00CD7E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576" w:rsidRDefault="00CD7E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A5576" w:rsidRDefault="00CD7E9D">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2A5576" w:rsidRDefault="00CD7E9D">
      <w:pPr>
        <w:spacing w:before="29" w:line="288" w:lineRule="auto"/>
        <w:ind w:firstLineChars="200" w:firstLine="480"/>
        <w:rPr>
          <w:color w:val="000000"/>
          <w:sz w:val="24"/>
        </w:rPr>
      </w:pPr>
      <w:r>
        <w:rPr>
          <w:color w:val="000000"/>
          <w:sz w:val="24"/>
        </w:rPr>
        <w:t>报告期内，本基金始终维持存单、短融为主的短久期底仓组合，在市场收益率震荡上行的过程中获取了稳定的票息收入，同时择机进行了长久期债券的波段操作，增强组合收益。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市场收益率或将震荡下行。信用债的信用利差又仍处于历史低位，尤其是低等级信用债利差未能充分反应未来的信用风险，我们将一如既往地规避中低评级信用</w:t>
      </w:r>
      <w:r w:rsidRPr="007F52FA">
        <w:rPr>
          <w:color w:val="000000"/>
          <w:sz w:val="24"/>
        </w:rPr>
        <w:lastRenderedPageBreak/>
        <w:t>债。在利率曲线平坦的情况下，我们计划将维持目前的债券偏短的久期配置，并将根据宏观及监管政策的变化择机拉长久期，以期增强组合收益。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1.045</w:t>
      </w:r>
      <w:r w:rsidRPr="007F52FA">
        <w:rPr>
          <w:color w:val="000000"/>
          <w:sz w:val="24"/>
        </w:rPr>
        <w:t>元，本报告期份额净值增长率为</w:t>
      </w:r>
      <w:r w:rsidRPr="007F52FA">
        <w:rPr>
          <w:color w:val="000000"/>
          <w:sz w:val="24"/>
        </w:rPr>
        <w:t>0.87%</w:t>
      </w:r>
      <w:r w:rsidRPr="007F52FA">
        <w:rPr>
          <w:color w:val="000000"/>
          <w:sz w:val="24"/>
        </w:rPr>
        <w:t>，同期业绩比较基准增长率为</w:t>
      </w:r>
      <w:r w:rsidRPr="007F52FA">
        <w:rPr>
          <w:color w:val="000000"/>
          <w:sz w:val="24"/>
        </w:rPr>
        <w:t>-0.16%</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1.041</w:t>
      </w:r>
      <w:r w:rsidRPr="007F52FA">
        <w:rPr>
          <w:color w:val="000000"/>
          <w:sz w:val="24"/>
        </w:rPr>
        <w:t>元，本报告期份额净值增长率为</w:t>
      </w:r>
      <w:r w:rsidRPr="007F52FA">
        <w:rPr>
          <w:color w:val="000000"/>
          <w:sz w:val="24"/>
        </w:rPr>
        <w:t>0.77%</w:t>
      </w:r>
      <w:r w:rsidRPr="007F52FA">
        <w:rPr>
          <w:color w:val="000000"/>
          <w:sz w:val="24"/>
        </w:rPr>
        <w:t>，同期业绩比较基准增长率为</w:t>
      </w:r>
      <w:r w:rsidRPr="007F52FA">
        <w:rPr>
          <w:color w:val="000000"/>
          <w:sz w:val="24"/>
        </w:rPr>
        <w:t>-0.16%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CD7E9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1,632,231,305.00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1,614,581,305.00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17,650,000.00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0.98</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140,000,570.00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8,752,383.90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27,418,553.35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1,808,402,812.25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rFonts w:hint="eastAsia"/>
          <w:color w:val="000000"/>
          <w:sz w:val="24"/>
        </w:rPr>
      </w:pPr>
      <w:r w:rsidRPr="007F52FA">
        <w:rPr>
          <w:color w:val="000000"/>
          <w:sz w:val="24"/>
        </w:rPr>
        <w:t>本基金本报告期末未持有股票。</w:t>
      </w:r>
    </w:p>
    <w:p w:rsidR="0006560D" w:rsidRPr="0006560D" w:rsidRDefault="0006560D"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8,179,905.00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180,413,000.00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180,413,000.00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551,706,400.00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501,848,000.00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275,534,000.00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96,900,000.00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6.01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1,614,581,305.00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A5576">
        <w:trPr>
          <w:jc w:val="center"/>
        </w:trPr>
        <w:tc>
          <w:tcPr>
            <w:tcW w:w="1075" w:type="dxa"/>
            <w:vAlign w:val="center"/>
          </w:tcPr>
          <w:p w:rsidR="002A5576" w:rsidRDefault="00CD7E9D">
            <w:pPr>
              <w:jc w:val="center"/>
            </w:pPr>
            <w:r>
              <w:rPr>
                <w:color w:val="000000"/>
                <w:sz w:val="24"/>
              </w:rPr>
              <w:t>1</w:t>
            </w:r>
          </w:p>
        </w:tc>
        <w:tc>
          <w:tcPr>
            <w:tcW w:w="1533" w:type="dxa"/>
            <w:vAlign w:val="center"/>
          </w:tcPr>
          <w:p w:rsidR="002A5576" w:rsidRDefault="00CD7E9D">
            <w:pPr>
              <w:jc w:val="center"/>
            </w:pPr>
            <w:r>
              <w:rPr>
                <w:color w:val="000000"/>
                <w:sz w:val="24"/>
              </w:rPr>
              <w:t>170215</w:t>
            </w:r>
          </w:p>
        </w:tc>
        <w:tc>
          <w:tcPr>
            <w:tcW w:w="1533" w:type="dxa"/>
            <w:vAlign w:val="center"/>
          </w:tcPr>
          <w:p w:rsidR="002A5576" w:rsidRDefault="00CD7E9D">
            <w:pPr>
              <w:jc w:val="center"/>
            </w:pPr>
            <w:r>
              <w:rPr>
                <w:color w:val="000000"/>
                <w:sz w:val="24"/>
              </w:rPr>
              <w:t>17</w:t>
            </w:r>
            <w:r>
              <w:rPr>
                <w:color w:val="000000"/>
                <w:sz w:val="24"/>
              </w:rPr>
              <w:t>国开</w:t>
            </w:r>
            <w:r>
              <w:rPr>
                <w:color w:val="000000"/>
                <w:sz w:val="24"/>
              </w:rPr>
              <w:t>15</w:t>
            </w:r>
          </w:p>
        </w:tc>
        <w:tc>
          <w:tcPr>
            <w:tcW w:w="1394" w:type="dxa"/>
            <w:vAlign w:val="center"/>
          </w:tcPr>
          <w:p w:rsidR="002A5576" w:rsidRDefault="00CD7E9D">
            <w:pPr>
              <w:jc w:val="right"/>
            </w:pPr>
            <w:r>
              <w:rPr>
                <w:color w:val="000000"/>
                <w:sz w:val="24"/>
              </w:rPr>
              <w:t>1,000,000</w:t>
            </w:r>
          </w:p>
        </w:tc>
        <w:tc>
          <w:tcPr>
            <w:tcW w:w="1944" w:type="dxa"/>
            <w:vAlign w:val="center"/>
          </w:tcPr>
          <w:p w:rsidR="002A5576" w:rsidRDefault="00CD7E9D">
            <w:pPr>
              <w:jc w:val="right"/>
            </w:pPr>
            <w:r>
              <w:rPr>
                <w:color w:val="000000"/>
                <w:sz w:val="24"/>
              </w:rPr>
              <w:t>100,430,000.00</w:t>
            </w:r>
          </w:p>
        </w:tc>
        <w:tc>
          <w:tcPr>
            <w:tcW w:w="1389" w:type="dxa"/>
            <w:vAlign w:val="center"/>
          </w:tcPr>
          <w:p w:rsidR="002A5576" w:rsidRDefault="00CD7E9D">
            <w:pPr>
              <w:jc w:val="right"/>
            </w:pPr>
            <w:r>
              <w:rPr>
                <w:color w:val="000000"/>
                <w:sz w:val="24"/>
              </w:rPr>
              <w:t>6.22</w:t>
            </w:r>
          </w:p>
        </w:tc>
      </w:tr>
      <w:tr w:rsidR="002A5576">
        <w:trPr>
          <w:jc w:val="center"/>
        </w:trPr>
        <w:tc>
          <w:tcPr>
            <w:tcW w:w="1075" w:type="dxa"/>
            <w:vAlign w:val="center"/>
          </w:tcPr>
          <w:p w:rsidR="002A5576" w:rsidRDefault="00CD7E9D">
            <w:pPr>
              <w:jc w:val="center"/>
            </w:pPr>
            <w:r>
              <w:rPr>
                <w:color w:val="000000"/>
                <w:sz w:val="24"/>
              </w:rPr>
              <w:t>2</w:t>
            </w:r>
          </w:p>
        </w:tc>
        <w:tc>
          <w:tcPr>
            <w:tcW w:w="1533" w:type="dxa"/>
            <w:vAlign w:val="center"/>
          </w:tcPr>
          <w:p w:rsidR="002A5576" w:rsidRDefault="00CD7E9D">
            <w:pPr>
              <w:jc w:val="center"/>
            </w:pPr>
            <w:r>
              <w:rPr>
                <w:color w:val="000000"/>
                <w:sz w:val="24"/>
              </w:rPr>
              <w:t>091506001</w:t>
            </w:r>
          </w:p>
        </w:tc>
        <w:tc>
          <w:tcPr>
            <w:tcW w:w="1533" w:type="dxa"/>
            <w:vAlign w:val="center"/>
          </w:tcPr>
          <w:p w:rsidR="002A5576" w:rsidRDefault="00CD7E9D">
            <w:pPr>
              <w:jc w:val="center"/>
            </w:pPr>
            <w:r>
              <w:rPr>
                <w:color w:val="000000"/>
                <w:sz w:val="24"/>
              </w:rPr>
              <w:t>15</w:t>
            </w:r>
            <w:r>
              <w:rPr>
                <w:color w:val="000000"/>
                <w:sz w:val="24"/>
              </w:rPr>
              <w:t>汇丰香港债</w:t>
            </w:r>
            <w:r>
              <w:rPr>
                <w:color w:val="000000"/>
                <w:sz w:val="24"/>
              </w:rPr>
              <w:t>01</w:t>
            </w:r>
          </w:p>
        </w:tc>
        <w:tc>
          <w:tcPr>
            <w:tcW w:w="1394" w:type="dxa"/>
            <w:vAlign w:val="center"/>
          </w:tcPr>
          <w:p w:rsidR="002A5576" w:rsidRDefault="00CD7E9D">
            <w:pPr>
              <w:jc w:val="right"/>
            </w:pPr>
            <w:r>
              <w:rPr>
                <w:color w:val="000000"/>
                <w:sz w:val="24"/>
              </w:rPr>
              <w:t>1,000,000</w:t>
            </w:r>
          </w:p>
        </w:tc>
        <w:tc>
          <w:tcPr>
            <w:tcW w:w="1944" w:type="dxa"/>
            <w:vAlign w:val="center"/>
          </w:tcPr>
          <w:p w:rsidR="002A5576" w:rsidRDefault="00CD7E9D">
            <w:pPr>
              <w:jc w:val="right"/>
            </w:pPr>
            <w:r>
              <w:rPr>
                <w:color w:val="000000"/>
                <w:sz w:val="24"/>
              </w:rPr>
              <w:t>99,660,000.00</w:t>
            </w:r>
          </w:p>
        </w:tc>
        <w:tc>
          <w:tcPr>
            <w:tcW w:w="1389" w:type="dxa"/>
            <w:vAlign w:val="center"/>
          </w:tcPr>
          <w:p w:rsidR="002A5576" w:rsidRDefault="00CD7E9D">
            <w:pPr>
              <w:jc w:val="right"/>
            </w:pPr>
            <w:r>
              <w:rPr>
                <w:color w:val="000000"/>
                <w:sz w:val="24"/>
              </w:rPr>
              <w:t>6.18</w:t>
            </w:r>
          </w:p>
        </w:tc>
      </w:tr>
      <w:tr w:rsidR="002A5576">
        <w:trPr>
          <w:jc w:val="center"/>
        </w:trPr>
        <w:tc>
          <w:tcPr>
            <w:tcW w:w="1075" w:type="dxa"/>
            <w:vAlign w:val="center"/>
          </w:tcPr>
          <w:p w:rsidR="002A5576" w:rsidRDefault="00CD7E9D">
            <w:pPr>
              <w:jc w:val="center"/>
            </w:pPr>
            <w:r>
              <w:rPr>
                <w:color w:val="000000"/>
                <w:sz w:val="24"/>
              </w:rPr>
              <w:t>3</w:t>
            </w:r>
          </w:p>
        </w:tc>
        <w:tc>
          <w:tcPr>
            <w:tcW w:w="1533" w:type="dxa"/>
            <w:vAlign w:val="center"/>
          </w:tcPr>
          <w:p w:rsidR="002A5576" w:rsidRDefault="00CD7E9D">
            <w:pPr>
              <w:jc w:val="center"/>
            </w:pPr>
            <w:r>
              <w:rPr>
                <w:color w:val="000000"/>
                <w:sz w:val="24"/>
              </w:rPr>
              <w:t>111698734</w:t>
            </w:r>
          </w:p>
        </w:tc>
        <w:tc>
          <w:tcPr>
            <w:tcW w:w="1533" w:type="dxa"/>
            <w:vAlign w:val="center"/>
          </w:tcPr>
          <w:p w:rsidR="002A5576" w:rsidRDefault="00CD7E9D">
            <w:pPr>
              <w:jc w:val="center"/>
            </w:pPr>
            <w:r>
              <w:rPr>
                <w:color w:val="000000"/>
                <w:sz w:val="24"/>
              </w:rPr>
              <w:t>16</w:t>
            </w:r>
            <w:r>
              <w:rPr>
                <w:color w:val="000000"/>
                <w:sz w:val="24"/>
              </w:rPr>
              <w:t>包商银行</w:t>
            </w:r>
            <w:r>
              <w:rPr>
                <w:color w:val="000000"/>
                <w:sz w:val="24"/>
              </w:rPr>
              <w:t>CD057</w:t>
            </w:r>
          </w:p>
        </w:tc>
        <w:tc>
          <w:tcPr>
            <w:tcW w:w="1394" w:type="dxa"/>
            <w:vAlign w:val="center"/>
          </w:tcPr>
          <w:p w:rsidR="002A5576" w:rsidRDefault="00CD7E9D">
            <w:pPr>
              <w:jc w:val="right"/>
            </w:pPr>
            <w:r>
              <w:rPr>
                <w:color w:val="000000"/>
                <w:sz w:val="24"/>
              </w:rPr>
              <w:t>1,000,000</w:t>
            </w:r>
          </w:p>
        </w:tc>
        <w:tc>
          <w:tcPr>
            <w:tcW w:w="1944" w:type="dxa"/>
            <w:vAlign w:val="center"/>
          </w:tcPr>
          <w:p w:rsidR="002A5576" w:rsidRDefault="00CD7E9D">
            <w:pPr>
              <w:jc w:val="right"/>
            </w:pPr>
            <w:r>
              <w:rPr>
                <w:color w:val="000000"/>
                <w:sz w:val="24"/>
              </w:rPr>
              <w:t>96,900,000.00</w:t>
            </w:r>
          </w:p>
        </w:tc>
        <w:tc>
          <w:tcPr>
            <w:tcW w:w="1389" w:type="dxa"/>
            <w:vAlign w:val="center"/>
          </w:tcPr>
          <w:p w:rsidR="002A5576" w:rsidRDefault="00CD7E9D">
            <w:pPr>
              <w:jc w:val="right"/>
            </w:pPr>
            <w:r>
              <w:rPr>
                <w:color w:val="000000"/>
                <w:sz w:val="24"/>
              </w:rPr>
              <w:t>6.01</w:t>
            </w:r>
          </w:p>
        </w:tc>
      </w:tr>
      <w:tr w:rsidR="002A5576">
        <w:trPr>
          <w:jc w:val="center"/>
        </w:trPr>
        <w:tc>
          <w:tcPr>
            <w:tcW w:w="1075" w:type="dxa"/>
            <w:vAlign w:val="center"/>
          </w:tcPr>
          <w:p w:rsidR="002A5576" w:rsidRDefault="00CD7E9D">
            <w:pPr>
              <w:jc w:val="center"/>
            </w:pPr>
            <w:r>
              <w:rPr>
                <w:color w:val="000000"/>
                <w:sz w:val="24"/>
              </w:rPr>
              <w:t>4</w:t>
            </w:r>
          </w:p>
        </w:tc>
        <w:tc>
          <w:tcPr>
            <w:tcW w:w="1533" w:type="dxa"/>
            <w:vAlign w:val="center"/>
          </w:tcPr>
          <w:p w:rsidR="002A5576" w:rsidRDefault="00CD7E9D">
            <w:pPr>
              <w:jc w:val="center"/>
            </w:pPr>
            <w:r>
              <w:rPr>
                <w:color w:val="000000"/>
                <w:sz w:val="24"/>
              </w:rPr>
              <w:t>1280212</w:t>
            </w:r>
          </w:p>
        </w:tc>
        <w:tc>
          <w:tcPr>
            <w:tcW w:w="1533" w:type="dxa"/>
            <w:vAlign w:val="center"/>
          </w:tcPr>
          <w:p w:rsidR="002A5576" w:rsidRDefault="00CD7E9D">
            <w:pPr>
              <w:jc w:val="center"/>
            </w:pPr>
            <w:r>
              <w:rPr>
                <w:color w:val="000000"/>
                <w:sz w:val="24"/>
              </w:rPr>
              <w:t>12</w:t>
            </w:r>
            <w:r>
              <w:rPr>
                <w:color w:val="000000"/>
                <w:sz w:val="24"/>
              </w:rPr>
              <w:t>北汽债</w:t>
            </w:r>
          </w:p>
        </w:tc>
        <w:tc>
          <w:tcPr>
            <w:tcW w:w="1394" w:type="dxa"/>
            <w:vAlign w:val="center"/>
          </w:tcPr>
          <w:p w:rsidR="002A5576" w:rsidRDefault="00CD7E9D">
            <w:pPr>
              <w:jc w:val="right"/>
            </w:pPr>
            <w:r>
              <w:rPr>
                <w:color w:val="000000"/>
                <w:sz w:val="24"/>
              </w:rPr>
              <w:t>900,000</w:t>
            </w:r>
          </w:p>
        </w:tc>
        <w:tc>
          <w:tcPr>
            <w:tcW w:w="1944" w:type="dxa"/>
            <w:vAlign w:val="center"/>
          </w:tcPr>
          <w:p w:rsidR="002A5576" w:rsidRDefault="00CD7E9D">
            <w:pPr>
              <w:jc w:val="right"/>
            </w:pPr>
            <w:r>
              <w:rPr>
                <w:color w:val="000000"/>
                <w:sz w:val="24"/>
              </w:rPr>
              <w:t>90,108,000.00</w:t>
            </w:r>
          </w:p>
        </w:tc>
        <w:tc>
          <w:tcPr>
            <w:tcW w:w="1389" w:type="dxa"/>
            <w:vAlign w:val="center"/>
          </w:tcPr>
          <w:p w:rsidR="002A5576" w:rsidRDefault="00CD7E9D">
            <w:pPr>
              <w:jc w:val="right"/>
            </w:pPr>
            <w:r>
              <w:rPr>
                <w:color w:val="000000"/>
                <w:sz w:val="24"/>
              </w:rPr>
              <w:t>5.58</w:t>
            </w:r>
          </w:p>
        </w:tc>
      </w:tr>
      <w:tr w:rsidR="002A5576">
        <w:trPr>
          <w:jc w:val="center"/>
        </w:trPr>
        <w:tc>
          <w:tcPr>
            <w:tcW w:w="1075" w:type="dxa"/>
            <w:vAlign w:val="center"/>
          </w:tcPr>
          <w:p w:rsidR="002A5576" w:rsidRDefault="00CD7E9D">
            <w:pPr>
              <w:jc w:val="center"/>
            </w:pPr>
            <w:r>
              <w:rPr>
                <w:color w:val="000000"/>
                <w:sz w:val="24"/>
              </w:rPr>
              <w:t>5</w:t>
            </w:r>
          </w:p>
        </w:tc>
        <w:tc>
          <w:tcPr>
            <w:tcW w:w="1533" w:type="dxa"/>
            <w:vAlign w:val="center"/>
          </w:tcPr>
          <w:p w:rsidR="002A5576" w:rsidRDefault="00CD7E9D">
            <w:pPr>
              <w:jc w:val="center"/>
            </w:pPr>
            <w:r>
              <w:rPr>
                <w:color w:val="000000"/>
                <w:sz w:val="24"/>
              </w:rPr>
              <w:t>101460011</w:t>
            </w:r>
          </w:p>
        </w:tc>
        <w:tc>
          <w:tcPr>
            <w:tcW w:w="1533" w:type="dxa"/>
            <w:vAlign w:val="center"/>
          </w:tcPr>
          <w:p w:rsidR="002A5576" w:rsidRDefault="00CD7E9D">
            <w:pPr>
              <w:jc w:val="center"/>
            </w:pPr>
            <w:r>
              <w:rPr>
                <w:color w:val="000000"/>
                <w:sz w:val="24"/>
              </w:rPr>
              <w:t>14</w:t>
            </w:r>
            <w:r>
              <w:rPr>
                <w:color w:val="000000"/>
                <w:sz w:val="24"/>
              </w:rPr>
              <w:t>合国资</w:t>
            </w:r>
            <w:r>
              <w:rPr>
                <w:color w:val="000000"/>
                <w:sz w:val="24"/>
              </w:rPr>
              <w:t>MTN001</w:t>
            </w:r>
          </w:p>
        </w:tc>
        <w:tc>
          <w:tcPr>
            <w:tcW w:w="1394" w:type="dxa"/>
            <w:vAlign w:val="center"/>
          </w:tcPr>
          <w:p w:rsidR="002A5576" w:rsidRDefault="00CD7E9D">
            <w:pPr>
              <w:jc w:val="right"/>
            </w:pPr>
            <w:r>
              <w:rPr>
                <w:color w:val="000000"/>
                <w:sz w:val="24"/>
              </w:rPr>
              <w:t>800,000</w:t>
            </w:r>
          </w:p>
        </w:tc>
        <w:tc>
          <w:tcPr>
            <w:tcW w:w="1944" w:type="dxa"/>
            <w:vAlign w:val="center"/>
          </w:tcPr>
          <w:p w:rsidR="002A5576" w:rsidRDefault="00CD7E9D">
            <w:pPr>
              <w:jc w:val="right"/>
            </w:pPr>
            <w:r>
              <w:rPr>
                <w:color w:val="000000"/>
                <w:sz w:val="24"/>
              </w:rPr>
              <w:t>82,256,000.00</w:t>
            </w:r>
          </w:p>
        </w:tc>
        <w:tc>
          <w:tcPr>
            <w:tcW w:w="1389" w:type="dxa"/>
            <w:vAlign w:val="center"/>
          </w:tcPr>
          <w:p w:rsidR="002A5576" w:rsidRDefault="00CD7E9D">
            <w:pPr>
              <w:jc w:val="right"/>
            </w:pPr>
            <w:r>
              <w:rPr>
                <w:color w:val="000000"/>
                <w:sz w:val="24"/>
              </w:rPr>
              <w:t>5.10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59"/>
        <w:gridCol w:w="1484"/>
        <w:gridCol w:w="1465"/>
        <w:gridCol w:w="1480"/>
        <w:gridCol w:w="1502"/>
        <w:gridCol w:w="147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2A5576">
        <w:trPr>
          <w:jc w:val="center"/>
        </w:trPr>
        <w:tc>
          <w:tcPr>
            <w:tcW w:w="0" w:type="auto"/>
            <w:vAlign w:val="center"/>
          </w:tcPr>
          <w:p w:rsidR="002A5576" w:rsidRDefault="00CD7E9D">
            <w:pPr>
              <w:jc w:val="center"/>
            </w:pPr>
            <w:r>
              <w:rPr>
                <w:color w:val="000000"/>
                <w:sz w:val="24"/>
              </w:rPr>
              <w:t>1</w:t>
            </w:r>
          </w:p>
        </w:tc>
        <w:tc>
          <w:tcPr>
            <w:tcW w:w="0" w:type="auto"/>
            <w:vAlign w:val="center"/>
          </w:tcPr>
          <w:p w:rsidR="002A5576" w:rsidRDefault="00CD7E9D">
            <w:pPr>
              <w:jc w:val="center"/>
            </w:pPr>
            <w:r>
              <w:rPr>
                <w:color w:val="000000"/>
                <w:sz w:val="24"/>
              </w:rPr>
              <w:t>123928</w:t>
            </w:r>
          </w:p>
        </w:tc>
        <w:tc>
          <w:tcPr>
            <w:tcW w:w="0" w:type="auto"/>
            <w:vAlign w:val="center"/>
          </w:tcPr>
          <w:p w:rsidR="002A5576" w:rsidRDefault="00CD7E9D">
            <w:pPr>
              <w:jc w:val="center"/>
            </w:pPr>
            <w:r>
              <w:rPr>
                <w:color w:val="000000"/>
                <w:sz w:val="24"/>
              </w:rPr>
              <w:t>高新热</w:t>
            </w:r>
            <w:r>
              <w:rPr>
                <w:color w:val="000000"/>
                <w:sz w:val="24"/>
              </w:rPr>
              <w:t>03</w:t>
            </w:r>
          </w:p>
        </w:tc>
        <w:tc>
          <w:tcPr>
            <w:tcW w:w="0" w:type="auto"/>
            <w:vAlign w:val="center"/>
          </w:tcPr>
          <w:p w:rsidR="002A5576" w:rsidRDefault="00CD7E9D">
            <w:pPr>
              <w:jc w:val="right"/>
            </w:pPr>
            <w:r>
              <w:rPr>
                <w:color w:val="000000"/>
                <w:sz w:val="24"/>
              </w:rPr>
              <w:t>70,000</w:t>
            </w:r>
          </w:p>
        </w:tc>
        <w:tc>
          <w:tcPr>
            <w:tcW w:w="0" w:type="auto"/>
            <w:vAlign w:val="center"/>
          </w:tcPr>
          <w:p w:rsidR="002A5576" w:rsidRDefault="00CD7E9D">
            <w:pPr>
              <w:jc w:val="right"/>
            </w:pPr>
            <w:r>
              <w:rPr>
                <w:color w:val="000000"/>
                <w:sz w:val="24"/>
              </w:rPr>
              <w:t>7,000,000.00</w:t>
            </w:r>
          </w:p>
        </w:tc>
        <w:tc>
          <w:tcPr>
            <w:tcW w:w="0" w:type="auto"/>
            <w:vAlign w:val="center"/>
          </w:tcPr>
          <w:p w:rsidR="002A5576" w:rsidRDefault="00CD7E9D">
            <w:pPr>
              <w:jc w:val="right"/>
            </w:pPr>
            <w:r>
              <w:rPr>
                <w:color w:val="000000"/>
                <w:sz w:val="24"/>
              </w:rPr>
              <w:t>0.43</w:t>
            </w:r>
          </w:p>
        </w:tc>
      </w:tr>
      <w:tr w:rsidR="002A5576">
        <w:trPr>
          <w:jc w:val="center"/>
        </w:trPr>
        <w:tc>
          <w:tcPr>
            <w:tcW w:w="0" w:type="auto"/>
            <w:vAlign w:val="center"/>
          </w:tcPr>
          <w:p w:rsidR="002A5576" w:rsidRDefault="00CD7E9D">
            <w:pPr>
              <w:jc w:val="center"/>
            </w:pPr>
            <w:r>
              <w:rPr>
                <w:color w:val="000000"/>
                <w:sz w:val="24"/>
              </w:rPr>
              <w:t>2</w:t>
            </w:r>
          </w:p>
        </w:tc>
        <w:tc>
          <w:tcPr>
            <w:tcW w:w="0" w:type="auto"/>
            <w:vAlign w:val="center"/>
          </w:tcPr>
          <w:p w:rsidR="002A5576" w:rsidRDefault="00CD7E9D">
            <w:pPr>
              <w:jc w:val="center"/>
            </w:pPr>
            <w:r>
              <w:rPr>
                <w:color w:val="000000"/>
                <w:sz w:val="24"/>
              </w:rPr>
              <w:t>1689247</w:t>
            </w:r>
          </w:p>
        </w:tc>
        <w:tc>
          <w:tcPr>
            <w:tcW w:w="0" w:type="auto"/>
            <w:vAlign w:val="center"/>
          </w:tcPr>
          <w:p w:rsidR="002A5576" w:rsidRDefault="00CD7E9D">
            <w:pPr>
              <w:jc w:val="center"/>
            </w:pPr>
            <w:r>
              <w:rPr>
                <w:color w:val="000000"/>
                <w:sz w:val="24"/>
              </w:rPr>
              <w:t>16</w:t>
            </w:r>
            <w:r>
              <w:rPr>
                <w:color w:val="000000"/>
                <w:sz w:val="24"/>
              </w:rPr>
              <w:t>上和</w:t>
            </w:r>
            <w:r>
              <w:rPr>
                <w:color w:val="000000"/>
                <w:sz w:val="24"/>
              </w:rPr>
              <w:t>1A2</w:t>
            </w:r>
          </w:p>
        </w:tc>
        <w:tc>
          <w:tcPr>
            <w:tcW w:w="0" w:type="auto"/>
            <w:vAlign w:val="center"/>
          </w:tcPr>
          <w:p w:rsidR="002A5576" w:rsidRDefault="00CD7E9D">
            <w:pPr>
              <w:jc w:val="right"/>
            </w:pPr>
            <w:r>
              <w:rPr>
                <w:color w:val="000000"/>
                <w:sz w:val="24"/>
              </w:rPr>
              <w:t>200,000</w:t>
            </w:r>
          </w:p>
        </w:tc>
        <w:tc>
          <w:tcPr>
            <w:tcW w:w="0" w:type="auto"/>
            <w:vAlign w:val="center"/>
          </w:tcPr>
          <w:p w:rsidR="002A5576" w:rsidRDefault="00CD7E9D">
            <w:pPr>
              <w:jc w:val="right"/>
            </w:pPr>
            <w:r>
              <w:rPr>
                <w:color w:val="000000"/>
                <w:sz w:val="24"/>
              </w:rPr>
              <w:t>5,650,000.00</w:t>
            </w:r>
          </w:p>
        </w:tc>
        <w:tc>
          <w:tcPr>
            <w:tcW w:w="0" w:type="auto"/>
            <w:vAlign w:val="center"/>
          </w:tcPr>
          <w:p w:rsidR="002A5576" w:rsidRDefault="00CD7E9D">
            <w:pPr>
              <w:jc w:val="right"/>
            </w:pPr>
            <w:r>
              <w:rPr>
                <w:color w:val="000000"/>
                <w:sz w:val="24"/>
              </w:rPr>
              <w:t>0.35</w:t>
            </w:r>
          </w:p>
        </w:tc>
      </w:tr>
      <w:tr w:rsidR="002A5576">
        <w:trPr>
          <w:jc w:val="center"/>
        </w:trPr>
        <w:tc>
          <w:tcPr>
            <w:tcW w:w="0" w:type="auto"/>
            <w:vAlign w:val="center"/>
          </w:tcPr>
          <w:p w:rsidR="002A5576" w:rsidRDefault="00CD7E9D">
            <w:pPr>
              <w:jc w:val="center"/>
            </w:pPr>
            <w:r>
              <w:rPr>
                <w:color w:val="000000"/>
                <w:sz w:val="24"/>
              </w:rPr>
              <w:t>3</w:t>
            </w:r>
          </w:p>
        </w:tc>
        <w:tc>
          <w:tcPr>
            <w:tcW w:w="0" w:type="auto"/>
            <w:vAlign w:val="center"/>
          </w:tcPr>
          <w:p w:rsidR="002A5576" w:rsidRDefault="00CD7E9D">
            <w:pPr>
              <w:jc w:val="center"/>
            </w:pPr>
            <w:r>
              <w:rPr>
                <w:color w:val="000000"/>
                <w:sz w:val="24"/>
              </w:rPr>
              <w:t>123929</w:t>
            </w:r>
          </w:p>
        </w:tc>
        <w:tc>
          <w:tcPr>
            <w:tcW w:w="0" w:type="auto"/>
            <w:vAlign w:val="center"/>
          </w:tcPr>
          <w:p w:rsidR="002A5576" w:rsidRDefault="00CD7E9D">
            <w:pPr>
              <w:jc w:val="center"/>
            </w:pPr>
            <w:r>
              <w:rPr>
                <w:color w:val="000000"/>
                <w:sz w:val="24"/>
              </w:rPr>
              <w:t>高新热</w:t>
            </w:r>
            <w:r>
              <w:rPr>
                <w:color w:val="000000"/>
                <w:sz w:val="24"/>
              </w:rPr>
              <w:t>04</w:t>
            </w:r>
          </w:p>
        </w:tc>
        <w:tc>
          <w:tcPr>
            <w:tcW w:w="0" w:type="auto"/>
            <w:vAlign w:val="center"/>
          </w:tcPr>
          <w:p w:rsidR="002A5576" w:rsidRDefault="00CD7E9D">
            <w:pPr>
              <w:jc w:val="right"/>
            </w:pPr>
            <w:r>
              <w:rPr>
                <w:color w:val="000000"/>
                <w:sz w:val="24"/>
              </w:rPr>
              <w:t>50,000</w:t>
            </w:r>
          </w:p>
        </w:tc>
        <w:tc>
          <w:tcPr>
            <w:tcW w:w="0" w:type="auto"/>
            <w:vAlign w:val="center"/>
          </w:tcPr>
          <w:p w:rsidR="002A5576" w:rsidRDefault="00CD7E9D">
            <w:pPr>
              <w:jc w:val="right"/>
            </w:pPr>
            <w:r>
              <w:rPr>
                <w:color w:val="000000"/>
                <w:sz w:val="24"/>
              </w:rPr>
              <w:t>5,000,000.00</w:t>
            </w:r>
          </w:p>
        </w:tc>
        <w:tc>
          <w:tcPr>
            <w:tcW w:w="0" w:type="auto"/>
            <w:vAlign w:val="center"/>
          </w:tcPr>
          <w:p w:rsidR="002A5576" w:rsidRDefault="00CD7E9D">
            <w:pPr>
              <w:jc w:val="right"/>
            </w:pPr>
            <w:r>
              <w:rPr>
                <w:color w:val="000000"/>
                <w:sz w:val="24"/>
              </w:rPr>
              <w:t>0.31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青海盐湖</w:t>
      </w:r>
      <w:r w:rsidRPr="00384E65">
        <w:rPr>
          <w:kern w:val="0"/>
          <w:sz w:val="24"/>
        </w:rPr>
        <w:t>CP001</w:t>
      </w:r>
      <w:r w:rsidRPr="00384E65">
        <w:rPr>
          <w:kern w:val="0"/>
          <w:sz w:val="24"/>
        </w:rPr>
        <w:t>（证券代码</w:t>
      </w:r>
      <w:r w:rsidRPr="00384E65">
        <w:rPr>
          <w:kern w:val="0"/>
          <w:sz w:val="24"/>
        </w:rPr>
        <w:t>: 041751006</w:t>
      </w:r>
      <w:r w:rsidRPr="00384E65">
        <w:rPr>
          <w:kern w:val="0"/>
          <w:sz w:val="24"/>
        </w:rPr>
        <w:t>）外，未出现被监管部门立案调查，或在报告编制日前一年内受到公开谴责、处罚的情形。</w:t>
      </w:r>
    </w:p>
    <w:p w:rsidR="002A5576" w:rsidRDefault="00CD7E9D">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青海盐湖</w:t>
      </w:r>
      <w:r>
        <w:rPr>
          <w:kern w:val="0"/>
          <w:sz w:val="24"/>
        </w:rPr>
        <w:t>CP001</w:t>
      </w:r>
      <w:r>
        <w:rPr>
          <w:kern w:val="0"/>
          <w:sz w:val="24"/>
        </w:rPr>
        <w:t>（证券代码</w:t>
      </w:r>
      <w:r>
        <w:rPr>
          <w:kern w:val="0"/>
          <w:sz w:val="24"/>
        </w:rPr>
        <w:t>:041751006</w:t>
      </w:r>
      <w:r>
        <w:rPr>
          <w:kern w:val="0"/>
          <w:sz w:val="24"/>
        </w:rPr>
        <w:t>）的发行主体盐湖股份于</w:t>
      </w:r>
      <w:r>
        <w:rPr>
          <w:kern w:val="0"/>
          <w:sz w:val="24"/>
        </w:rPr>
        <w:t>2016</w:t>
      </w:r>
      <w:r>
        <w:rPr>
          <w:kern w:val="0"/>
          <w:sz w:val="24"/>
        </w:rPr>
        <w:t>年</w:t>
      </w:r>
      <w:r>
        <w:rPr>
          <w:kern w:val="0"/>
          <w:sz w:val="24"/>
        </w:rPr>
        <w:t>12</w:t>
      </w:r>
      <w:r>
        <w:rPr>
          <w:kern w:val="0"/>
          <w:sz w:val="24"/>
        </w:rPr>
        <w:t>月</w:t>
      </w:r>
      <w:r>
        <w:rPr>
          <w:kern w:val="0"/>
          <w:sz w:val="24"/>
        </w:rPr>
        <w:t>22</w:t>
      </w:r>
      <w:r>
        <w:rPr>
          <w:kern w:val="0"/>
          <w:sz w:val="24"/>
        </w:rPr>
        <w:t>日公告，公司控股子公司青海盐湖海纳化工有限公司聚氯乙烯一体化项目日产</w:t>
      </w:r>
      <w:r>
        <w:rPr>
          <w:kern w:val="0"/>
          <w:sz w:val="24"/>
        </w:rPr>
        <w:t>2500</w:t>
      </w:r>
      <w:r>
        <w:rPr>
          <w:kern w:val="0"/>
          <w:sz w:val="24"/>
        </w:rPr>
        <w:t>吨水泥生产线电石渣库顶除尘器发生闪爆事故，于近日收到西宁市人民政府出具的《关于青海盐湖海纳化工有限公司</w:t>
      </w:r>
      <w:r>
        <w:rPr>
          <w:kern w:val="0"/>
          <w:sz w:val="24"/>
        </w:rPr>
        <w:t>2500t/d</w:t>
      </w:r>
      <w:r>
        <w:rPr>
          <w:kern w:val="0"/>
          <w:sz w:val="24"/>
        </w:rPr>
        <w:t>电石渣水泥生产线</w:t>
      </w:r>
      <w:r>
        <w:rPr>
          <w:kern w:val="0"/>
          <w:sz w:val="24"/>
        </w:rPr>
        <w:t>“9.18”</w:t>
      </w:r>
      <w:r>
        <w:rPr>
          <w:kern w:val="0"/>
          <w:sz w:val="24"/>
        </w:rPr>
        <w:t>闪爆较大生产安全事故结案的批复》（宁政</w:t>
      </w:r>
      <w:r>
        <w:rPr>
          <w:kern w:val="0"/>
          <w:sz w:val="24"/>
        </w:rPr>
        <w:t>[2016]213</w:t>
      </w:r>
      <w:r>
        <w:rPr>
          <w:kern w:val="0"/>
          <w:sz w:val="24"/>
        </w:rPr>
        <w:t>号）及事故调查组出具的《关于青海盐湖海纳化工有限公司</w:t>
      </w:r>
      <w:r>
        <w:rPr>
          <w:kern w:val="0"/>
          <w:sz w:val="24"/>
        </w:rPr>
        <w:t>2500t/d</w:t>
      </w:r>
      <w:r>
        <w:rPr>
          <w:kern w:val="0"/>
          <w:sz w:val="24"/>
        </w:rPr>
        <w:t>电石渣水泥生产线</w:t>
      </w:r>
      <w:r>
        <w:rPr>
          <w:kern w:val="0"/>
          <w:sz w:val="24"/>
        </w:rPr>
        <w:t>“9.18”</w:t>
      </w:r>
      <w:r>
        <w:rPr>
          <w:kern w:val="0"/>
          <w:sz w:val="24"/>
        </w:rPr>
        <w:t>闪爆较大生产安全事故调查报告》。据此，西宁市人民政府决定给予盐湖海纳</w:t>
      </w:r>
      <w:r>
        <w:rPr>
          <w:kern w:val="0"/>
          <w:sz w:val="24"/>
        </w:rPr>
        <w:t>100</w:t>
      </w:r>
      <w:r>
        <w:rPr>
          <w:kern w:val="0"/>
          <w:sz w:val="24"/>
        </w:rPr>
        <w:t>万元的行政处罚。</w:t>
      </w:r>
    </w:p>
    <w:p w:rsidR="002A5576" w:rsidRDefault="00CD7E9D">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w:t>
      </w:r>
      <w:r>
        <w:rPr>
          <w:kern w:val="0"/>
          <w:sz w:val="24"/>
        </w:rPr>
        <w:lastRenderedPageBreak/>
        <w:t>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11,901.07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27,363,739.40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42,872.88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27,418,553.35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D7E9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1,623,301,411.57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7,061,957.02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177,929,824.37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517,127.70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263,384,429.57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723,111.72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1,537,846,806.37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6,855,973.00</w:t>
            </w:r>
          </w:p>
        </w:tc>
      </w:tr>
    </w:tbl>
    <w:p w:rsidR="002A5576" w:rsidRDefault="00CD7E9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D7E9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CD7E9D" w:rsidRDefault="00CD7E9D" w:rsidP="00CD7E9D">
      <w:pPr>
        <w:spacing w:line="288" w:lineRule="auto"/>
        <w:jc w:val="left"/>
        <w:rPr>
          <w:sz w:val="24"/>
        </w:rPr>
      </w:pPr>
      <w:r>
        <w:rPr>
          <w:b/>
          <w:sz w:val="24"/>
        </w:rPr>
        <w:t xml:space="preserve">7.1 </w:t>
      </w:r>
      <w:r>
        <w:rPr>
          <w:rFonts w:hint="eastAsia"/>
          <w:b/>
          <w:sz w:val="24"/>
        </w:rPr>
        <w:t>基金管理人持有本基金份额变动情况</w:t>
      </w:r>
    </w:p>
    <w:p w:rsidR="00CD7E9D" w:rsidRDefault="00CD7E9D" w:rsidP="00CD7E9D">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CD7E9D" w:rsidRDefault="00CD7E9D" w:rsidP="00CD7E9D">
      <w:pPr>
        <w:autoSpaceDE w:val="0"/>
        <w:autoSpaceDN w:val="0"/>
        <w:adjustRightInd w:val="0"/>
        <w:spacing w:before="29" w:line="288" w:lineRule="auto"/>
        <w:jc w:val="left"/>
        <w:rPr>
          <w:rFonts w:eastAsiaTheme="minorEastAsia"/>
          <w:color w:val="000000"/>
          <w:sz w:val="24"/>
        </w:rPr>
      </w:pPr>
    </w:p>
    <w:p w:rsidR="00CD7E9D" w:rsidRDefault="00CD7E9D" w:rsidP="00CD7E9D">
      <w:pPr>
        <w:spacing w:line="288" w:lineRule="auto"/>
        <w:jc w:val="left"/>
        <w:rPr>
          <w:b/>
          <w:sz w:val="24"/>
        </w:rPr>
      </w:pPr>
      <w:r>
        <w:rPr>
          <w:b/>
          <w:sz w:val="24"/>
        </w:rPr>
        <w:t>7.2</w:t>
      </w:r>
      <w:r>
        <w:rPr>
          <w:rFonts w:hint="eastAsia"/>
          <w:b/>
          <w:sz w:val="24"/>
        </w:rPr>
        <w:t>基金管理人运用固有资金投资本基金交易明细</w:t>
      </w:r>
    </w:p>
    <w:p w:rsidR="00CD7E9D" w:rsidRDefault="00CD7E9D" w:rsidP="00CD7E9D">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CD7E9D" w:rsidRDefault="00CD7E9D" w:rsidP="00CD7E9D">
      <w:pPr>
        <w:autoSpaceDE w:val="0"/>
        <w:autoSpaceDN w:val="0"/>
        <w:adjustRightInd w:val="0"/>
        <w:spacing w:before="29" w:line="288" w:lineRule="auto"/>
        <w:jc w:val="left"/>
        <w:rPr>
          <w:color w:val="000000"/>
          <w:sz w:val="24"/>
        </w:rPr>
      </w:pPr>
    </w:p>
    <w:p w:rsidR="00ED0E09" w:rsidRPr="0006560D" w:rsidRDefault="00ED0E09" w:rsidP="00CD7E9D">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06560D">
        <w:rPr>
          <w:rFonts w:eastAsiaTheme="minorEastAsia"/>
          <w:color w:val="000000" w:themeColor="text1"/>
          <w:kern w:val="0"/>
          <w:sz w:val="24"/>
          <w:szCs w:val="21"/>
        </w:rPr>
        <w:t xml:space="preserve">§8 </w:t>
      </w:r>
      <w:r w:rsidRPr="0006560D">
        <w:rPr>
          <w:rFonts w:eastAsiaTheme="minorEastAsia"/>
          <w:color w:val="000000" w:themeColor="text1"/>
          <w:kern w:val="0"/>
          <w:sz w:val="24"/>
          <w:szCs w:val="21"/>
        </w:rPr>
        <w:t>影响投资者决策的其他重要信息</w:t>
      </w:r>
    </w:p>
    <w:p w:rsidR="00ED0E09" w:rsidRPr="0006560D" w:rsidRDefault="00ED0E09" w:rsidP="00ED0E09">
      <w:pPr>
        <w:autoSpaceDE w:val="0"/>
        <w:autoSpaceDN w:val="0"/>
        <w:adjustRightInd w:val="0"/>
        <w:spacing w:line="360" w:lineRule="auto"/>
        <w:jc w:val="left"/>
        <w:rPr>
          <w:b/>
          <w:bCs/>
          <w:color w:val="000000"/>
          <w:kern w:val="0"/>
          <w:sz w:val="24"/>
          <w:szCs w:val="21"/>
        </w:rPr>
      </w:pPr>
      <w:r w:rsidRPr="0006560D">
        <w:rPr>
          <w:b/>
          <w:bCs/>
          <w:color w:val="000000"/>
          <w:kern w:val="0"/>
          <w:sz w:val="24"/>
          <w:szCs w:val="21"/>
        </w:rPr>
        <w:t xml:space="preserve">8.1 </w:t>
      </w:r>
      <w:r w:rsidRPr="0006560D">
        <w:rPr>
          <w:b/>
          <w:bCs/>
          <w:color w:val="000000"/>
          <w:kern w:val="0"/>
          <w:sz w:val="24"/>
          <w:szCs w:val="21"/>
        </w:rPr>
        <w:t>报告期内单一投资者持有基金份额比例达到或超过</w:t>
      </w:r>
      <w:r w:rsidRPr="0006560D">
        <w:rPr>
          <w:b/>
          <w:bCs/>
          <w:color w:val="000000"/>
          <w:kern w:val="0"/>
          <w:sz w:val="24"/>
          <w:szCs w:val="21"/>
        </w:rPr>
        <w:t>20%</w:t>
      </w:r>
      <w:r w:rsidRPr="0006560D">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06560D"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投资者类别</w:t>
            </w:r>
            <w:r w:rsidRPr="0006560D">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报告期末持有基金情况</w:t>
            </w:r>
          </w:p>
        </w:tc>
      </w:tr>
      <w:tr w:rsidR="00ED0E09" w:rsidRPr="0006560D"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持有基金份额比例达到或者超过</w:t>
            </w:r>
            <w:r w:rsidRPr="0006560D">
              <w:rPr>
                <w:color w:val="000000"/>
                <w:kern w:val="0"/>
                <w:sz w:val="24"/>
                <w:szCs w:val="21"/>
              </w:rPr>
              <w:t>20%</w:t>
            </w:r>
            <w:r w:rsidRPr="0006560D">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widowControl/>
              <w:jc w:val="center"/>
              <w:rPr>
                <w:b/>
                <w:bCs/>
                <w:color w:val="000000"/>
                <w:kern w:val="0"/>
                <w:sz w:val="24"/>
                <w:szCs w:val="21"/>
              </w:rPr>
            </w:pPr>
            <w:r w:rsidRPr="0006560D">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widowControl/>
              <w:jc w:val="center"/>
              <w:rPr>
                <w:b/>
                <w:bCs/>
                <w:color w:val="000000"/>
                <w:kern w:val="0"/>
                <w:sz w:val="24"/>
                <w:szCs w:val="21"/>
              </w:rPr>
            </w:pPr>
            <w:r w:rsidRPr="0006560D">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widowControl/>
              <w:jc w:val="center"/>
              <w:rPr>
                <w:b/>
                <w:bCs/>
                <w:color w:val="000000"/>
                <w:kern w:val="0"/>
                <w:sz w:val="24"/>
                <w:szCs w:val="21"/>
              </w:rPr>
            </w:pPr>
            <w:r w:rsidRPr="0006560D">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b/>
                <w:bCs/>
                <w:color w:val="000000"/>
                <w:kern w:val="0"/>
                <w:sz w:val="24"/>
                <w:szCs w:val="21"/>
              </w:rPr>
            </w:pPr>
            <w:r w:rsidRPr="0006560D">
              <w:rPr>
                <w:color w:val="000000"/>
                <w:kern w:val="0"/>
                <w:sz w:val="24"/>
                <w:szCs w:val="21"/>
              </w:rPr>
              <w:t>份额占比</w:t>
            </w:r>
          </w:p>
        </w:tc>
      </w:tr>
      <w:tr w:rsidR="002A5576" w:rsidRPr="0006560D">
        <w:tc>
          <w:tcPr>
            <w:tcW w:w="992" w:type="dxa"/>
            <w:vMerge w:val="restart"/>
          </w:tcPr>
          <w:p w:rsidR="002A5576" w:rsidRPr="0006560D" w:rsidRDefault="002A5576">
            <w:pPr>
              <w:rPr>
                <w:sz w:val="24"/>
              </w:rPr>
            </w:pPr>
          </w:p>
          <w:p w:rsidR="002A5576" w:rsidRPr="0006560D" w:rsidRDefault="00CD7E9D">
            <w:pPr>
              <w:rPr>
                <w:sz w:val="24"/>
              </w:rPr>
            </w:pPr>
            <w:r w:rsidRPr="0006560D">
              <w:rPr>
                <w:bCs/>
                <w:color w:val="000000"/>
                <w:kern w:val="0"/>
                <w:sz w:val="24"/>
                <w:szCs w:val="21"/>
              </w:rPr>
              <w:t>机构</w:t>
            </w:r>
          </w:p>
        </w:tc>
        <w:tc>
          <w:tcPr>
            <w:tcW w:w="991" w:type="dxa"/>
            <w:vAlign w:val="center"/>
          </w:tcPr>
          <w:p w:rsidR="002A5576" w:rsidRPr="0006560D" w:rsidRDefault="00CD7E9D">
            <w:pPr>
              <w:jc w:val="center"/>
              <w:rPr>
                <w:sz w:val="24"/>
              </w:rPr>
            </w:pPr>
            <w:r w:rsidRPr="0006560D">
              <w:rPr>
                <w:color w:val="000000"/>
                <w:kern w:val="0"/>
                <w:sz w:val="24"/>
                <w:szCs w:val="21"/>
              </w:rPr>
              <w:t>1</w:t>
            </w:r>
          </w:p>
        </w:tc>
        <w:tc>
          <w:tcPr>
            <w:tcW w:w="1843" w:type="dxa"/>
            <w:vAlign w:val="center"/>
          </w:tcPr>
          <w:p w:rsidR="002A5576" w:rsidRPr="0006560D" w:rsidRDefault="00CD7E9D">
            <w:pPr>
              <w:jc w:val="center"/>
              <w:rPr>
                <w:sz w:val="24"/>
              </w:rPr>
            </w:pPr>
            <w:r w:rsidRPr="0006560D">
              <w:rPr>
                <w:color w:val="000000"/>
                <w:kern w:val="0"/>
                <w:sz w:val="24"/>
                <w:szCs w:val="21"/>
              </w:rPr>
              <w:t>2017/7/1-2017/9/30</w:t>
            </w:r>
          </w:p>
        </w:tc>
        <w:tc>
          <w:tcPr>
            <w:tcW w:w="851" w:type="dxa"/>
            <w:vAlign w:val="center"/>
          </w:tcPr>
          <w:p w:rsidR="002A5576" w:rsidRPr="0006560D" w:rsidRDefault="00CD7E9D">
            <w:pPr>
              <w:jc w:val="center"/>
              <w:rPr>
                <w:sz w:val="24"/>
              </w:rPr>
            </w:pPr>
            <w:r w:rsidRPr="0006560D">
              <w:rPr>
                <w:color w:val="000000"/>
                <w:kern w:val="0"/>
                <w:sz w:val="24"/>
                <w:szCs w:val="21"/>
              </w:rPr>
              <w:t>1,334,761,675.03</w:t>
            </w:r>
          </w:p>
        </w:tc>
        <w:tc>
          <w:tcPr>
            <w:tcW w:w="850" w:type="dxa"/>
            <w:vAlign w:val="center"/>
          </w:tcPr>
          <w:p w:rsidR="002A5576" w:rsidRPr="0006560D" w:rsidRDefault="00CD7E9D">
            <w:pPr>
              <w:jc w:val="center"/>
              <w:rPr>
                <w:sz w:val="24"/>
              </w:rPr>
            </w:pPr>
            <w:r w:rsidRPr="0006560D">
              <w:rPr>
                <w:color w:val="000000"/>
                <w:kern w:val="0"/>
                <w:sz w:val="24"/>
                <w:szCs w:val="21"/>
              </w:rPr>
              <w:t>-</w:t>
            </w:r>
          </w:p>
        </w:tc>
        <w:tc>
          <w:tcPr>
            <w:tcW w:w="1134" w:type="dxa"/>
            <w:vAlign w:val="center"/>
          </w:tcPr>
          <w:p w:rsidR="002A5576" w:rsidRPr="0006560D" w:rsidRDefault="00CD7E9D">
            <w:pPr>
              <w:jc w:val="center"/>
              <w:rPr>
                <w:sz w:val="24"/>
              </w:rPr>
            </w:pPr>
            <w:r w:rsidRPr="0006560D">
              <w:rPr>
                <w:color w:val="000000"/>
                <w:kern w:val="0"/>
                <w:sz w:val="24"/>
                <w:szCs w:val="21"/>
              </w:rPr>
              <w:t>-</w:t>
            </w:r>
          </w:p>
        </w:tc>
        <w:tc>
          <w:tcPr>
            <w:tcW w:w="1419" w:type="dxa"/>
            <w:vAlign w:val="center"/>
          </w:tcPr>
          <w:p w:rsidR="002A5576" w:rsidRPr="0006560D" w:rsidRDefault="00CD7E9D">
            <w:pPr>
              <w:jc w:val="center"/>
              <w:rPr>
                <w:sz w:val="24"/>
              </w:rPr>
            </w:pPr>
            <w:r w:rsidRPr="0006560D">
              <w:rPr>
                <w:color w:val="000000"/>
                <w:kern w:val="0"/>
                <w:sz w:val="24"/>
                <w:szCs w:val="21"/>
              </w:rPr>
              <w:t>1,334,761,675.03</w:t>
            </w:r>
          </w:p>
        </w:tc>
        <w:tc>
          <w:tcPr>
            <w:tcW w:w="1130" w:type="dxa"/>
            <w:vAlign w:val="center"/>
          </w:tcPr>
          <w:p w:rsidR="002A5576" w:rsidRPr="0006560D" w:rsidRDefault="00CD7E9D">
            <w:pPr>
              <w:jc w:val="center"/>
              <w:rPr>
                <w:sz w:val="24"/>
              </w:rPr>
            </w:pPr>
            <w:r w:rsidRPr="0006560D">
              <w:rPr>
                <w:color w:val="000000"/>
                <w:kern w:val="0"/>
                <w:sz w:val="24"/>
                <w:szCs w:val="21"/>
              </w:rPr>
              <w:t>86.41%</w:t>
            </w:r>
          </w:p>
        </w:tc>
      </w:tr>
      <w:tr w:rsidR="00ED0E09" w:rsidRPr="0006560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center"/>
              <w:rPr>
                <w:kern w:val="0"/>
                <w:sz w:val="24"/>
                <w:szCs w:val="21"/>
              </w:rPr>
            </w:pPr>
            <w:r w:rsidRPr="0006560D">
              <w:rPr>
                <w:color w:val="000000"/>
                <w:kern w:val="0"/>
                <w:sz w:val="24"/>
                <w:szCs w:val="21"/>
              </w:rPr>
              <w:t>产品特有风险</w:t>
            </w:r>
          </w:p>
        </w:tc>
      </w:tr>
      <w:tr w:rsidR="00ED0E09" w:rsidRPr="0006560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06560D" w:rsidRDefault="00ED0E09">
            <w:pPr>
              <w:autoSpaceDE w:val="0"/>
              <w:autoSpaceDN w:val="0"/>
              <w:adjustRightInd w:val="0"/>
              <w:jc w:val="left"/>
              <w:rPr>
                <w:kern w:val="0"/>
                <w:sz w:val="24"/>
                <w:szCs w:val="21"/>
              </w:rPr>
            </w:pPr>
            <w:r w:rsidRPr="0006560D">
              <w:rPr>
                <w:kern w:val="0"/>
                <w:sz w:val="24"/>
                <w:szCs w:val="21"/>
              </w:rPr>
              <w:t>本基金本报告期内出现单一投资者持有基金份额比例超过基金总份额</w:t>
            </w:r>
            <w:r w:rsidRPr="0006560D">
              <w:rPr>
                <w:kern w:val="0"/>
                <w:sz w:val="24"/>
                <w:szCs w:val="21"/>
              </w:rPr>
              <w:t>20%</w:t>
            </w:r>
            <w:r w:rsidRPr="0006560D">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CD7E9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、《交银施罗德双轮动债券型证券投资基金基金合同》；</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A5576" w:rsidRDefault="00CD7E9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DB" w:rsidRDefault="006C7DDB">
      <w:r>
        <w:separator/>
      </w:r>
    </w:p>
  </w:endnote>
  <w:endnote w:type="continuationSeparator" w:id="0">
    <w:p w:rsidR="006C7DDB" w:rsidRDefault="006C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2A5576">
      <w:rPr>
        <w:kern w:val="0"/>
        <w:szCs w:val="21"/>
      </w:rPr>
      <w:fldChar w:fldCharType="begin"/>
    </w:r>
    <w:r>
      <w:rPr>
        <w:kern w:val="0"/>
        <w:szCs w:val="21"/>
      </w:rPr>
      <w:instrText xml:space="preserve"> PAGE </w:instrText>
    </w:r>
    <w:r w:rsidR="002A5576">
      <w:rPr>
        <w:kern w:val="0"/>
        <w:szCs w:val="21"/>
      </w:rPr>
      <w:fldChar w:fldCharType="separate"/>
    </w:r>
    <w:r w:rsidR="0006560D">
      <w:rPr>
        <w:noProof/>
        <w:kern w:val="0"/>
        <w:szCs w:val="21"/>
      </w:rPr>
      <w:t>12</w:t>
    </w:r>
    <w:r w:rsidR="002A5576">
      <w:rPr>
        <w:kern w:val="0"/>
        <w:szCs w:val="21"/>
      </w:rPr>
      <w:fldChar w:fldCharType="end"/>
    </w:r>
    <w:r>
      <w:rPr>
        <w:rFonts w:hint="eastAsia"/>
        <w:kern w:val="0"/>
        <w:szCs w:val="21"/>
      </w:rPr>
      <w:t>页共</w:t>
    </w:r>
    <w:r w:rsidR="002A5576">
      <w:rPr>
        <w:kern w:val="0"/>
        <w:szCs w:val="21"/>
      </w:rPr>
      <w:fldChar w:fldCharType="begin"/>
    </w:r>
    <w:r>
      <w:rPr>
        <w:kern w:val="0"/>
        <w:szCs w:val="21"/>
      </w:rPr>
      <w:instrText xml:space="preserve"> NUMPAGES </w:instrText>
    </w:r>
    <w:r w:rsidR="002A5576">
      <w:rPr>
        <w:kern w:val="0"/>
        <w:szCs w:val="21"/>
      </w:rPr>
      <w:fldChar w:fldCharType="separate"/>
    </w:r>
    <w:r w:rsidR="0006560D">
      <w:rPr>
        <w:noProof/>
        <w:kern w:val="0"/>
        <w:szCs w:val="21"/>
      </w:rPr>
      <w:t>13</w:t>
    </w:r>
    <w:r w:rsidR="002A5576">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2A5576">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DB" w:rsidRDefault="006C7DDB">
      <w:r>
        <w:separator/>
      </w:r>
    </w:p>
  </w:footnote>
  <w:footnote w:type="continuationSeparator" w:id="0">
    <w:p w:rsidR="006C7DDB" w:rsidRDefault="006C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C7DD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560D"/>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576"/>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C7DDB"/>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D7E9D"/>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115065E-2541-4742-BF64-8ADBF774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455880574">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C79C-42A3-4C5C-B5F3-07B91B9C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13</Pages>
  <Words>1154</Words>
  <Characters>6580</Characters>
  <Application>Microsoft Office Word</Application>
  <DocSecurity>0</DocSecurity>
  <Lines>54</Lines>
  <Paragraphs>15</Paragraphs>
  <ScaleCrop>false</ScaleCrop>
  <Company>TRT. Ltd. Co.</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2017-10-23T06:09:00Z</dcterms:modified>
</cp:coreProperties>
</file>