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B082C" w:rsidRDefault="00B15CB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B082C" w:rsidRDefault="00B15CB1">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B082C" w:rsidRDefault="00B15CB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B082C" w:rsidRDefault="00B15CB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B082C" w:rsidRDefault="00B15CB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897,443,347.97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15CB1" w:rsidRPr="00414345" w:rsidTr="00B15CB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15CB1" w:rsidRPr="00414345" w:rsidTr="00B15CB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26,298,181.43</w:t>
            </w:r>
          </w:p>
        </w:tc>
      </w:tr>
      <w:tr w:rsidR="00B15CB1" w:rsidRPr="00414345" w:rsidTr="00B15CB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63,318,787.52</w:t>
            </w:r>
          </w:p>
        </w:tc>
      </w:tr>
      <w:tr w:rsidR="00B15CB1" w:rsidRPr="00414345" w:rsidTr="00B15CB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0.0651</w:t>
            </w:r>
          </w:p>
        </w:tc>
      </w:tr>
      <w:tr w:rsidR="00B15CB1" w:rsidRPr="00414345" w:rsidTr="00B15CB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880,450,839.29</w:t>
            </w:r>
          </w:p>
        </w:tc>
      </w:tr>
      <w:tr w:rsidR="00B15CB1" w:rsidRPr="00414345" w:rsidTr="00B15CB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0.981</w:t>
            </w:r>
          </w:p>
        </w:tc>
      </w:tr>
    </w:tbl>
    <w:p w:rsidR="00EB082C" w:rsidRDefault="00B15CB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B082C">
        <w:trPr>
          <w:jc w:val="center"/>
        </w:trPr>
        <w:tc>
          <w:tcPr>
            <w:tcW w:w="1701" w:type="dxa"/>
            <w:vAlign w:val="center"/>
          </w:tcPr>
          <w:p w:rsidR="00EB082C" w:rsidRDefault="00B15CB1">
            <w:pPr>
              <w:jc w:val="left"/>
            </w:pPr>
            <w:r>
              <w:rPr>
                <w:color w:val="000000"/>
                <w:sz w:val="24"/>
                <w:szCs w:val="24"/>
              </w:rPr>
              <w:t>过去三个月</w:t>
            </w:r>
          </w:p>
        </w:tc>
        <w:tc>
          <w:tcPr>
            <w:tcW w:w="1045" w:type="dxa"/>
            <w:vAlign w:val="center"/>
          </w:tcPr>
          <w:p w:rsidR="00EB082C" w:rsidRDefault="00B15CB1">
            <w:pPr>
              <w:jc w:val="center"/>
            </w:pPr>
            <w:r>
              <w:rPr>
                <w:color w:val="000000"/>
                <w:sz w:val="24"/>
                <w:szCs w:val="24"/>
              </w:rPr>
              <w:t>7.45%</w:t>
            </w:r>
          </w:p>
        </w:tc>
        <w:tc>
          <w:tcPr>
            <w:tcW w:w="1344" w:type="dxa"/>
            <w:vAlign w:val="center"/>
          </w:tcPr>
          <w:p w:rsidR="00EB082C" w:rsidRDefault="00B15CB1">
            <w:pPr>
              <w:jc w:val="center"/>
            </w:pPr>
            <w:r>
              <w:rPr>
                <w:color w:val="000000"/>
                <w:sz w:val="24"/>
                <w:szCs w:val="24"/>
              </w:rPr>
              <w:t>0.62%</w:t>
            </w:r>
          </w:p>
        </w:tc>
        <w:tc>
          <w:tcPr>
            <w:tcW w:w="1194" w:type="dxa"/>
            <w:vAlign w:val="center"/>
          </w:tcPr>
          <w:p w:rsidR="00EB082C" w:rsidRDefault="00B15CB1">
            <w:pPr>
              <w:jc w:val="center"/>
            </w:pPr>
            <w:r>
              <w:rPr>
                <w:color w:val="000000"/>
                <w:sz w:val="24"/>
                <w:szCs w:val="24"/>
              </w:rPr>
              <w:t>3.77%</w:t>
            </w:r>
          </w:p>
        </w:tc>
        <w:tc>
          <w:tcPr>
            <w:tcW w:w="1492" w:type="dxa"/>
            <w:vAlign w:val="center"/>
          </w:tcPr>
          <w:p w:rsidR="00EB082C" w:rsidRDefault="00B15CB1">
            <w:pPr>
              <w:jc w:val="center"/>
            </w:pPr>
            <w:r>
              <w:rPr>
                <w:color w:val="000000"/>
                <w:sz w:val="24"/>
                <w:szCs w:val="24"/>
              </w:rPr>
              <w:t>0.68%</w:t>
            </w:r>
          </w:p>
        </w:tc>
        <w:tc>
          <w:tcPr>
            <w:tcW w:w="1194" w:type="dxa"/>
            <w:vAlign w:val="center"/>
          </w:tcPr>
          <w:p w:rsidR="00EB082C" w:rsidRDefault="00B15CB1">
            <w:pPr>
              <w:jc w:val="center"/>
            </w:pPr>
            <w:r>
              <w:rPr>
                <w:color w:val="000000"/>
                <w:sz w:val="24"/>
                <w:szCs w:val="24"/>
              </w:rPr>
              <w:t>3.68%</w:t>
            </w:r>
          </w:p>
        </w:tc>
        <w:tc>
          <w:tcPr>
            <w:tcW w:w="898" w:type="dxa"/>
            <w:vAlign w:val="center"/>
          </w:tcPr>
          <w:p w:rsidR="00EB082C" w:rsidRDefault="00B15CB1">
            <w:pPr>
              <w:jc w:val="center"/>
            </w:pPr>
            <w:r>
              <w:rPr>
                <w:color w:val="000000"/>
                <w:sz w:val="24"/>
                <w:szCs w:val="24"/>
              </w:rPr>
              <w:t>-0.06%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注：本基金由交银施罗德沪深</w:t>
      </w:r>
      <w:r w:rsidRPr="00414345">
        <w:rPr>
          <w:color w:val="000000"/>
          <w:sz w:val="24"/>
          <w:szCs w:val="24"/>
        </w:rPr>
        <w:t>300</w:t>
      </w:r>
      <w:r w:rsidRPr="00414345">
        <w:rPr>
          <w:color w:val="000000"/>
          <w:sz w:val="24"/>
          <w:szCs w:val="24"/>
        </w:rPr>
        <w:t>行业分层等权重指数证券投资基金转型而来。基金转型日为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日。本基金的投资转型期为交银施罗德沪深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B082C">
        <w:trPr>
          <w:jc w:val="center"/>
        </w:trPr>
        <w:tc>
          <w:tcPr>
            <w:tcW w:w="846" w:type="dxa"/>
            <w:vAlign w:val="center"/>
          </w:tcPr>
          <w:p w:rsidR="00EB082C" w:rsidRDefault="00B15CB1">
            <w:pPr>
              <w:jc w:val="center"/>
            </w:pPr>
            <w:r>
              <w:rPr>
                <w:color w:val="000000"/>
                <w:sz w:val="24"/>
                <w:szCs w:val="24"/>
              </w:rPr>
              <w:t>盖婷婷</w:t>
            </w:r>
          </w:p>
        </w:tc>
        <w:tc>
          <w:tcPr>
            <w:tcW w:w="845" w:type="dxa"/>
            <w:vAlign w:val="center"/>
          </w:tcPr>
          <w:p w:rsidR="00EB082C" w:rsidRDefault="00B15CB1">
            <w:pPr>
              <w:jc w:val="center"/>
            </w:pPr>
            <w:r>
              <w:rPr>
                <w:color w:val="000000"/>
                <w:sz w:val="24"/>
                <w:szCs w:val="24"/>
              </w:rPr>
              <w:t>交银消费新驱动股票、交银医药创新股票、交银恒益灵活配置混合的基金经理</w:t>
            </w:r>
          </w:p>
        </w:tc>
        <w:tc>
          <w:tcPr>
            <w:tcW w:w="1549" w:type="dxa"/>
            <w:vAlign w:val="center"/>
          </w:tcPr>
          <w:p w:rsidR="00EB082C" w:rsidRDefault="00B15CB1">
            <w:pPr>
              <w:jc w:val="center"/>
            </w:pPr>
            <w:r>
              <w:rPr>
                <w:color w:val="000000"/>
                <w:sz w:val="24"/>
                <w:szCs w:val="24"/>
              </w:rPr>
              <w:t>2015-07-01</w:t>
            </w:r>
          </w:p>
        </w:tc>
        <w:tc>
          <w:tcPr>
            <w:tcW w:w="1548" w:type="dxa"/>
            <w:vAlign w:val="center"/>
          </w:tcPr>
          <w:p w:rsidR="00EB082C" w:rsidRDefault="00B15CB1">
            <w:pPr>
              <w:jc w:val="center"/>
            </w:pPr>
            <w:r>
              <w:rPr>
                <w:color w:val="000000"/>
                <w:sz w:val="24"/>
                <w:szCs w:val="24"/>
              </w:rPr>
              <w:t>-</w:t>
            </w:r>
          </w:p>
        </w:tc>
        <w:tc>
          <w:tcPr>
            <w:tcW w:w="1407" w:type="dxa"/>
            <w:vAlign w:val="center"/>
          </w:tcPr>
          <w:p w:rsidR="00EB082C" w:rsidRDefault="00B15CB1">
            <w:pPr>
              <w:jc w:val="center"/>
            </w:pPr>
            <w:r>
              <w:rPr>
                <w:color w:val="000000"/>
                <w:sz w:val="24"/>
                <w:szCs w:val="24"/>
              </w:rPr>
              <w:t>11</w:t>
            </w:r>
            <w:r>
              <w:rPr>
                <w:color w:val="000000"/>
                <w:sz w:val="24"/>
                <w:szCs w:val="24"/>
              </w:rPr>
              <w:t>年</w:t>
            </w:r>
          </w:p>
        </w:tc>
        <w:tc>
          <w:tcPr>
            <w:tcW w:w="2673" w:type="dxa"/>
            <w:vAlign w:val="center"/>
          </w:tcPr>
          <w:p w:rsidR="00EB082C" w:rsidRDefault="00B15CB1">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B082C" w:rsidRDefault="00B15CB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B082C" w:rsidRDefault="00B15CB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B082C" w:rsidRDefault="00B15CB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B082C" w:rsidRDefault="00B15CB1">
      <w:pPr>
        <w:spacing w:before="29" w:line="288" w:lineRule="auto"/>
        <w:ind w:firstLineChars="200" w:firstLine="480"/>
        <w:rPr>
          <w:color w:val="000000"/>
          <w:sz w:val="24"/>
          <w:szCs w:val="24"/>
        </w:rPr>
      </w:pPr>
      <w:r>
        <w:rPr>
          <w:color w:val="000000"/>
          <w:sz w:val="24"/>
          <w:szCs w:val="24"/>
        </w:rPr>
        <w:t>三季度市场风险偏好显著上升，钢铁、煤炭、有色等周期股因为二季度业绩超预期表现靓丽，而新能源汽车、</w:t>
      </w:r>
      <w:r>
        <w:rPr>
          <w:color w:val="000000"/>
          <w:sz w:val="24"/>
          <w:szCs w:val="24"/>
        </w:rPr>
        <w:t>5G</w:t>
      </w:r>
      <w:r>
        <w:rPr>
          <w:color w:val="000000"/>
          <w:sz w:val="24"/>
          <w:szCs w:val="24"/>
        </w:rPr>
        <w:t>、苹果产业链等概念板块也因为风险偏好上升而出现了显著的上涨。</w:t>
      </w:r>
    </w:p>
    <w:p w:rsidR="00EB082C" w:rsidRDefault="00B15CB1">
      <w:pPr>
        <w:spacing w:before="29" w:line="288" w:lineRule="auto"/>
        <w:ind w:firstLineChars="200" w:firstLine="480"/>
        <w:rPr>
          <w:color w:val="000000"/>
          <w:sz w:val="24"/>
          <w:szCs w:val="24"/>
        </w:rPr>
      </w:pPr>
      <w:r>
        <w:rPr>
          <w:color w:val="000000"/>
          <w:sz w:val="24"/>
          <w:szCs w:val="24"/>
        </w:rPr>
        <w:t>本基金三季度仍然延续之前的操作思路：在持有消费白马股的基础上，积极寻找成长股配置，在板块选择上以医药、电子行业为主。</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四季度市场有望演绎估值切换行情，成长股经过两年的估值消化预计已经获得安全边际，同时从基本面的角度看，很多细分领域的龙头公司显示出较快的增长潜力。本基金在四季度可能会加快成长股的配置节奏，积极布局四季度以及明年成长股的投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0.981</w:t>
      </w:r>
      <w:r w:rsidRPr="00414345">
        <w:rPr>
          <w:color w:val="000000"/>
          <w:sz w:val="24"/>
          <w:szCs w:val="24"/>
        </w:rPr>
        <w:t>元，本报告期份额净值增长率为</w:t>
      </w:r>
      <w:r w:rsidRPr="00414345">
        <w:rPr>
          <w:color w:val="000000"/>
          <w:sz w:val="24"/>
          <w:szCs w:val="24"/>
        </w:rPr>
        <w:t>7.45%</w:t>
      </w:r>
      <w:r w:rsidRPr="00414345">
        <w:rPr>
          <w:color w:val="000000"/>
          <w:sz w:val="24"/>
          <w:szCs w:val="24"/>
        </w:rPr>
        <w:t>，同期业绩比较基准增长率为</w:t>
      </w:r>
      <w:r w:rsidRPr="00414345">
        <w:rPr>
          <w:color w:val="000000"/>
          <w:sz w:val="24"/>
          <w:szCs w:val="24"/>
        </w:rPr>
        <w:t>3.77%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B15CB1" w:rsidRDefault="00B15CB1" w:rsidP="00B15CB1">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bookmarkStart w:id="0" w:name="_GoBack"/>
      <w:bookmarkEnd w:id="0"/>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731,853,438.38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731,853,438.38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158,689,630.72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17.79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1,237,694.13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891,780,763.23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31,649,852.00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375,017,913.92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116,309,000.84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8,659,556.03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36,402,647.57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17,452,500.00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38,925,009.50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73,682,152.54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33,698,140.63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731,853,438.38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83.12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B082C">
        <w:trPr>
          <w:jc w:val="center"/>
        </w:trPr>
        <w:tc>
          <w:tcPr>
            <w:tcW w:w="855" w:type="dxa"/>
            <w:vAlign w:val="center"/>
          </w:tcPr>
          <w:p w:rsidR="00EB082C" w:rsidRDefault="00B15CB1">
            <w:pPr>
              <w:jc w:val="center"/>
            </w:pPr>
            <w:r>
              <w:rPr>
                <w:color w:val="000000"/>
                <w:sz w:val="24"/>
                <w:szCs w:val="24"/>
              </w:rPr>
              <w:t>1</w:t>
            </w:r>
          </w:p>
        </w:tc>
        <w:tc>
          <w:tcPr>
            <w:tcW w:w="1334" w:type="dxa"/>
            <w:vAlign w:val="center"/>
          </w:tcPr>
          <w:p w:rsidR="00EB082C" w:rsidRDefault="00B15CB1">
            <w:pPr>
              <w:jc w:val="center"/>
            </w:pPr>
            <w:r>
              <w:rPr>
                <w:color w:val="000000"/>
                <w:sz w:val="24"/>
                <w:szCs w:val="24"/>
              </w:rPr>
              <w:t>600887</w:t>
            </w:r>
          </w:p>
        </w:tc>
        <w:tc>
          <w:tcPr>
            <w:tcW w:w="1777" w:type="dxa"/>
            <w:vAlign w:val="center"/>
          </w:tcPr>
          <w:p w:rsidR="00EB082C" w:rsidRDefault="00B15CB1">
            <w:pPr>
              <w:jc w:val="center"/>
            </w:pPr>
            <w:r>
              <w:rPr>
                <w:color w:val="000000"/>
                <w:sz w:val="24"/>
                <w:szCs w:val="24"/>
              </w:rPr>
              <w:t>伊利股份</w:t>
            </w:r>
          </w:p>
        </w:tc>
        <w:tc>
          <w:tcPr>
            <w:tcW w:w="1334" w:type="dxa"/>
            <w:vAlign w:val="center"/>
          </w:tcPr>
          <w:p w:rsidR="00EB082C" w:rsidRDefault="00B15CB1">
            <w:pPr>
              <w:jc w:val="right"/>
            </w:pPr>
            <w:r>
              <w:rPr>
                <w:color w:val="000000"/>
                <w:sz w:val="24"/>
                <w:szCs w:val="24"/>
              </w:rPr>
              <w:t>2,766,474</w:t>
            </w:r>
          </w:p>
        </w:tc>
        <w:tc>
          <w:tcPr>
            <w:tcW w:w="1924" w:type="dxa"/>
            <w:vAlign w:val="center"/>
          </w:tcPr>
          <w:p w:rsidR="00EB082C" w:rsidRDefault="00B15CB1">
            <w:pPr>
              <w:jc w:val="right"/>
            </w:pPr>
            <w:r>
              <w:rPr>
                <w:color w:val="000000"/>
                <w:sz w:val="24"/>
                <w:szCs w:val="24"/>
              </w:rPr>
              <w:t>76,078,035.00</w:t>
            </w:r>
          </w:p>
        </w:tc>
        <w:tc>
          <w:tcPr>
            <w:tcW w:w="1644" w:type="dxa"/>
            <w:vAlign w:val="center"/>
          </w:tcPr>
          <w:p w:rsidR="00EB082C" w:rsidRDefault="00B15CB1">
            <w:pPr>
              <w:jc w:val="right"/>
            </w:pPr>
            <w:r>
              <w:rPr>
                <w:color w:val="000000"/>
                <w:sz w:val="24"/>
                <w:szCs w:val="24"/>
              </w:rPr>
              <w:t>8.64</w:t>
            </w:r>
          </w:p>
        </w:tc>
      </w:tr>
      <w:tr w:rsidR="00EB082C">
        <w:trPr>
          <w:jc w:val="center"/>
        </w:trPr>
        <w:tc>
          <w:tcPr>
            <w:tcW w:w="855" w:type="dxa"/>
            <w:vAlign w:val="center"/>
          </w:tcPr>
          <w:p w:rsidR="00EB082C" w:rsidRDefault="00B15CB1">
            <w:pPr>
              <w:jc w:val="center"/>
            </w:pPr>
            <w:r>
              <w:rPr>
                <w:color w:val="000000"/>
                <w:sz w:val="24"/>
                <w:szCs w:val="24"/>
              </w:rPr>
              <w:t>2</w:t>
            </w:r>
          </w:p>
        </w:tc>
        <w:tc>
          <w:tcPr>
            <w:tcW w:w="1334" w:type="dxa"/>
            <w:vAlign w:val="center"/>
          </w:tcPr>
          <w:p w:rsidR="00EB082C" w:rsidRDefault="00B15CB1">
            <w:pPr>
              <w:jc w:val="center"/>
            </w:pPr>
            <w:r>
              <w:rPr>
                <w:color w:val="000000"/>
                <w:sz w:val="24"/>
                <w:szCs w:val="24"/>
              </w:rPr>
              <w:t>300347</w:t>
            </w:r>
          </w:p>
        </w:tc>
        <w:tc>
          <w:tcPr>
            <w:tcW w:w="1777" w:type="dxa"/>
            <w:vAlign w:val="center"/>
          </w:tcPr>
          <w:p w:rsidR="00EB082C" w:rsidRDefault="00B15CB1">
            <w:pPr>
              <w:jc w:val="center"/>
            </w:pPr>
            <w:r>
              <w:rPr>
                <w:color w:val="000000"/>
                <w:sz w:val="24"/>
                <w:szCs w:val="24"/>
              </w:rPr>
              <w:t>泰格医药</w:t>
            </w:r>
          </w:p>
        </w:tc>
        <w:tc>
          <w:tcPr>
            <w:tcW w:w="1334" w:type="dxa"/>
            <w:vAlign w:val="center"/>
          </w:tcPr>
          <w:p w:rsidR="00EB082C" w:rsidRDefault="00B15CB1">
            <w:pPr>
              <w:jc w:val="right"/>
            </w:pPr>
            <w:r>
              <w:rPr>
                <w:color w:val="000000"/>
                <w:sz w:val="24"/>
                <w:szCs w:val="24"/>
              </w:rPr>
              <w:t>2,539,415</w:t>
            </w:r>
          </w:p>
        </w:tc>
        <w:tc>
          <w:tcPr>
            <w:tcW w:w="1924" w:type="dxa"/>
            <w:vAlign w:val="center"/>
          </w:tcPr>
          <w:p w:rsidR="00EB082C" w:rsidRDefault="00B15CB1">
            <w:pPr>
              <w:jc w:val="right"/>
            </w:pPr>
            <w:r>
              <w:rPr>
                <w:color w:val="000000"/>
                <w:sz w:val="24"/>
                <w:szCs w:val="24"/>
              </w:rPr>
              <w:t>73,566,852.55</w:t>
            </w:r>
          </w:p>
        </w:tc>
        <w:tc>
          <w:tcPr>
            <w:tcW w:w="1644" w:type="dxa"/>
            <w:vAlign w:val="center"/>
          </w:tcPr>
          <w:p w:rsidR="00EB082C" w:rsidRDefault="00B15CB1">
            <w:pPr>
              <w:jc w:val="right"/>
            </w:pPr>
            <w:r>
              <w:rPr>
                <w:color w:val="000000"/>
                <w:sz w:val="24"/>
                <w:szCs w:val="24"/>
              </w:rPr>
              <w:t>8.36</w:t>
            </w:r>
          </w:p>
        </w:tc>
      </w:tr>
      <w:tr w:rsidR="00EB082C">
        <w:trPr>
          <w:jc w:val="center"/>
        </w:trPr>
        <w:tc>
          <w:tcPr>
            <w:tcW w:w="855" w:type="dxa"/>
            <w:vAlign w:val="center"/>
          </w:tcPr>
          <w:p w:rsidR="00EB082C" w:rsidRDefault="00B15CB1">
            <w:pPr>
              <w:jc w:val="center"/>
            </w:pPr>
            <w:r>
              <w:rPr>
                <w:color w:val="000000"/>
                <w:sz w:val="24"/>
                <w:szCs w:val="24"/>
              </w:rPr>
              <w:t>3</w:t>
            </w:r>
          </w:p>
        </w:tc>
        <w:tc>
          <w:tcPr>
            <w:tcW w:w="1334" w:type="dxa"/>
            <w:vAlign w:val="center"/>
          </w:tcPr>
          <w:p w:rsidR="00EB082C" w:rsidRDefault="00B15CB1">
            <w:pPr>
              <w:jc w:val="center"/>
            </w:pPr>
            <w:r>
              <w:rPr>
                <w:color w:val="000000"/>
                <w:sz w:val="24"/>
                <w:szCs w:val="24"/>
              </w:rPr>
              <w:t>601607</w:t>
            </w:r>
          </w:p>
        </w:tc>
        <w:tc>
          <w:tcPr>
            <w:tcW w:w="1777" w:type="dxa"/>
            <w:vAlign w:val="center"/>
          </w:tcPr>
          <w:p w:rsidR="00EB082C" w:rsidRDefault="00B15CB1">
            <w:pPr>
              <w:jc w:val="center"/>
            </w:pPr>
            <w:r>
              <w:rPr>
                <w:color w:val="000000"/>
                <w:sz w:val="24"/>
                <w:szCs w:val="24"/>
              </w:rPr>
              <w:t>上海医药</w:t>
            </w:r>
          </w:p>
        </w:tc>
        <w:tc>
          <w:tcPr>
            <w:tcW w:w="1334" w:type="dxa"/>
            <w:vAlign w:val="center"/>
          </w:tcPr>
          <w:p w:rsidR="00EB082C" w:rsidRDefault="00B15CB1">
            <w:pPr>
              <w:jc w:val="right"/>
            </w:pPr>
            <w:r>
              <w:rPr>
                <w:color w:val="000000"/>
                <w:sz w:val="24"/>
                <w:szCs w:val="24"/>
              </w:rPr>
              <w:t>2,203,535</w:t>
            </w:r>
          </w:p>
        </w:tc>
        <w:tc>
          <w:tcPr>
            <w:tcW w:w="1924" w:type="dxa"/>
            <w:vAlign w:val="center"/>
          </w:tcPr>
          <w:p w:rsidR="00EB082C" w:rsidRDefault="00B15CB1">
            <w:pPr>
              <w:jc w:val="right"/>
            </w:pPr>
            <w:r>
              <w:rPr>
                <w:color w:val="000000"/>
                <w:sz w:val="24"/>
                <w:szCs w:val="24"/>
              </w:rPr>
              <w:t>52,311,920.90</w:t>
            </w:r>
          </w:p>
        </w:tc>
        <w:tc>
          <w:tcPr>
            <w:tcW w:w="1644" w:type="dxa"/>
            <w:vAlign w:val="center"/>
          </w:tcPr>
          <w:p w:rsidR="00EB082C" w:rsidRDefault="00B15CB1">
            <w:pPr>
              <w:jc w:val="right"/>
            </w:pPr>
            <w:r>
              <w:rPr>
                <w:color w:val="000000"/>
                <w:sz w:val="24"/>
                <w:szCs w:val="24"/>
              </w:rPr>
              <w:t>5.94</w:t>
            </w:r>
          </w:p>
        </w:tc>
      </w:tr>
      <w:tr w:rsidR="00EB082C">
        <w:trPr>
          <w:jc w:val="center"/>
        </w:trPr>
        <w:tc>
          <w:tcPr>
            <w:tcW w:w="855" w:type="dxa"/>
            <w:vAlign w:val="center"/>
          </w:tcPr>
          <w:p w:rsidR="00EB082C" w:rsidRDefault="00B15CB1">
            <w:pPr>
              <w:jc w:val="center"/>
            </w:pPr>
            <w:r>
              <w:rPr>
                <w:color w:val="000000"/>
                <w:sz w:val="24"/>
                <w:szCs w:val="24"/>
              </w:rPr>
              <w:t>4</w:t>
            </w:r>
          </w:p>
        </w:tc>
        <w:tc>
          <w:tcPr>
            <w:tcW w:w="1334" w:type="dxa"/>
            <w:vAlign w:val="center"/>
          </w:tcPr>
          <w:p w:rsidR="00EB082C" w:rsidRDefault="00B15CB1">
            <w:pPr>
              <w:jc w:val="center"/>
            </w:pPr>
            <w:r>
              <w:rPr>
                <w:color w:val="000000"/>
                <w:sz w:val="24"/>
                <w:szCs w:val="24"/>
              </w:rPr>
              <w:t>600132</w:t>
            </w:r>
          </w:p>
        </w:tc>
        <w:tc>
          <w:tcPr>
            <w:tcW w:w="1777" w:type="dxa"/>
            <w:vAlign w:val="center"/>
          </w:tcPr>
          <w:p w:rsidR="00EB082C" w:rsidRDefault="00B15CB1">
            <w:pPr>
              <w:jc w:val="center"/>
            </w:pPr>
            <w:r>
              <w:rPr>
                <w:color w:val="000000"/>
                <w:sz w:val="24"/>
                <w:szCs w:val="24"/>
              </w:rPr>
              <w:t>重庆啤酒</w:t>
            </w:r>
          </w:p>
        </w:tc>
        <w:tc>
          <w:tcPr>
            <w:tcW w:w="1334" w:type="dxa"/>
            <w:vAlign w:val="center"/>
          </w:tcPr>
          <w:p w:rsidR="00EB082C" w:rsidRDefault="00B15CB1">
            <w:pPr>
              <w:jc w:val="right"/>
            </w:pPr>
            <w:r>
              <w:rPr>
                <w:color w:val="000000"/>
                <w:sz w:val="24"/>
                <w:szCs w:val="24"/>
              </w:rPr>
              <w:t>2,172,941</w:t>
            </w:r>
          </w:p>
        </w:tc>
        <w:tc>
          <w:tcPr>
            <w:tcW w:w="1924" w:type="dxa"/>
            <w:vAlign w:val="center"/>
          </w:tcPr>
          <w:p w:rsidR="00EB082C" w:rsidRDefault="00B15CB1">
            <w:pPr>
              <w:jc w:val="right"/>
            </w:pPr>
            <w:r>
              <w:rPr>
                <w:color w:val="000000"/>
                <w:sz w:val="24"/>
                <w:szCs w:val="24"/>
              </w:rPr>
              <w:t>47,956,807.87</w:t>
            </w:r>
          </w:p>
        </w:tc>
        <w:tc>
          <w:tcPr>
            <w:tcW w:w="1644" w:type="dxa"/>
            <w:vAlign w:val="center"/>
          </w:tcPr>
          <w:p w:rsidR="00EB082C" w:rsidRDefault="00B15CB1">
            <w:pPr>
              <w:jc w:val="right"/>
            </w:pPr>
            <w:r>
              <w:rPr>
                <w:color w:val="000000"/>
                <w:sz w:val="24"/>
                <w:szCs w:val="24"/>
              </w:rPr>
              <w:t>5.45</w:t>
            </w:r>
          </w:p>
        </w:tc>
      </w:tr>
      <w:tr w:rsidR="00EB082C">
        <w:trPr>
          <w:jc w:val="center"/>
        </w:trPr>
        <w:tc>
          <w:tcPr>
            <w:tcW w:w="855" w:type="dxa"/>
            <w:vAlign w:val="center"/>
          </w:tcPr>
          <w:p w:rsidR="00EB082C" w:rsidRDefault="00B15CB1">
            <w:pPr>
              <w:jc w:val="center"/>
            </w:pPr>
            <w:r>
              <w:rPr>
                <w:color w:val="000000"/>
                <w:sz w:val="24"/>
                <w:szCs w:val="24"/>
              </w:rPr>
              <w:t>5</w:t>
            </w:r>
          </w:p>
        </w:tc>
        <w:tc>
          <w:tcPr>
            <w:tcW w:w="1334" w:type="dxa"/>
            <w:vAlign w:val="center"/>
          </w:tcPr>
          <w:p w:rsidR="00EB082C" w:rsidRDefault="00B15CB1">
            <w:pPr>
              <w:jc w:val="center"/>
            </w:pPr>
            <w:r>
              <w:rPr>
                <w:color w:val="000000"/>
                <w:sz w:val="24"/>
                <w:szCs w:val="24"/>
              </w:rPr>
              <w:t>600197</w:t>
            </w:r>
          </w:p>
        </w:tc>
        <w:tc>
          <w:tcPr>
            <w:tcW w:w="1777" w:type="dxa"/>
            <w:vAlign w:val="center"/>
          </w:tcPr>
          <w:p w:rsidR="00EB082C" w:rsidRDefault="00B15CB1">
            <w:pPr>
              <w:jc w:val="center"/>
            </w:pPr>
            <w:r>
              <w:rPr>
                <w:color w:val="000000"/>
                <w:sz w:val="24"/>
                <w:szCs w:val="24"/>
              </w:rPr>
              <w:t>伊力特</w:t>
            </w:r>
          </w:p>
        </w:tc>
        <w:tc>
          <w:tcPr>
            <w:tcW w:w="1334" w:type="dxa"/>
            <w:vAlign w:val="center"/>
          </w:tcPr>
          <w:p w:rsidR="00EB082C" w:rsidRDefault="00B15CB1">
            <w:pPr>
              <w:jc w:val="right"/>
            </w:pPr>
            <w:r>
              <w:rPr>
                <w:color w:val="000000"/>
                <w:sz w:val="24"/>
                <w:szCs w:val="24"/>
              </w:rPr>
              <w:t>1,943,700</w:t>
            </w:r>
          </w:p>
        </w:tc>
        <w:tc>
          <w:tcPr>
            <w:tcW w:w="1924" w:type="dxa"/>
            <w:vAlign w:val="center"/>
          </w:tcPr>
          <w:p w:rsidR="00EB082C" w:rsidRDefault="00B15CB1">
            <w:pPr>
              <w:jc w:val="right"/>
            </w:pPr>
            <w:r>
              <w:rPr>
                <w:color w:val="000000"/>
                <w:sz w:val="24"/>
                <w:szCs w:val="24"/>
              </w:rPr>
              <w:t>44,705,100.00</w:t>
            </w:r>
          </w:p>
        </w:tc>
        <w:tc>
          <w:tcPr>
            <w:tcW w:w="1644" w:type="dxa"/>
            <w:vAlign w:val="center"/>
          </w:tcPr>
          <w:p w:rsidR="00EB082C" w:rsidRDefault="00B15CB1">
            <w:pPr>
              <w:jc w:val="right"/>
            </w:pPr>
            <w:r>
              <w:rPr>
                <w:color w:val="000000"/>
                <w:sz w:val="24"/>
                <w:szCs w:val="24"/>
              </w:rPr>
              <w:t>5.08</w:t>
            </w:r>
          </w:p>
        </w:tc>
      </w:tr>
      <w:tr w:rsidR="00EB082C">
        <w:trPr>
          <w:jc w:val="center"/>
        </w:trPr>
        <w:tc>
          <w:tcPr>
            <w:tcW w:w="855" w:type="dxa"/>
            <w:vAlign w:val="center"/>
          </w:tcPr>
          <w:p w:rsidR="00EB082C" w:rsidRDefault="00B15CB1">
            <w:pPr>
              <w:jc w:val="center"/>
            </w:pPr>
            <w:r>
              <w:rPr>
                <w:color w:val="000000"/>
                <w:sz w:val="24"/>
                <w:szCs w:val="24"/>
              </w:rPr>
              <w:t>6</w:t>
            </w:r>
          </w:p>
        </w:tc>
        <w:tc>
          <w:tcPr>
            <w:tcW w:w="1334" w:type="dxa"/>
            <w:vAlign w:val="center"/>
          </w:tcPr>
          <w:p w:rsidR="00EB082C" w:rsidRDefault="00B15CB1">
            <w:pPr>
              <w:jc w:val="center"/>
            </w:pPr>
            <w:r>
              <w:rPr>
                <w:color w:val="000000"/>
                <w:sz w:val="24"/>
                <w:szCs w:val="24"/>
              </w:rPr>
              <w:t>603986</w:t>
            </w:r>
          </w:p>
        </w:tc>
        <w:tc>
          <w:tcPr>
            <w:tcW w:w="1777" w:type="dxa"/>
            <w:vAlign w:val="center"/>
          </w:tcPr>
          <w:p w:rsidR="00EB082C" w:rsidRDefault="00B15CB1">
            <w:pPr>
              <w:jc w:val="center"/>
            </w:pPr>
            <w:r>
              <w:rPr>
                <w:color w:val="000000"/>
                <w:sz w:val="24"/>
                <w:szCs w:val="24"/>
              </w:rPr>
              <w:t>兆易创新</w:t>
            </w:r>
          </w:p>
        </w:tc>
        <w:tc>
          <w:tcPr>
            <w:tcW w:w="1334" w:type="dxa"/>
            <w:vAlign w:val="center"/>
          </w:tcPr>
          <w:p w:rsidR="00EB082C" w:rsidRDefault="00B15CB1">
            <w:pPr>
              <w:jc w:val="right"/>
            </w:pPr>
            <w:r>
              <w:rPr>
                <w:color w:val="000000"/>
                <w:sz w:val="24"/>
                <w:szCs w:val="24"/>
              </w:rPr>
              <w:t>305,266</w:t>
            </w:r>
          </w:p>
        </w:tc>
        <w:tc>
          <w:tcPr>
            <w:tcW w:w="1924" w:type="dxa"/>
            <w:vAlign w:val="center"/>
          </w:tcPr>
          <w:p w:rsidR="00EB082C" w:rsidRDefault="00B15CB1">
            <w:pPr>
              <w:jc w:val="right"/>
            </w:pPr>
            <w:r>
              <w:rPr>
                <w:color w:val="000000"/>
                <w:sz w:val="24"/>
                <w:szCs w:val="24"/>
              </w:rPr>
              <w:t>39,763,949.16</w:t>
            </w:r>
          </w:p>
        </w:tc>
        <w:tc>
          <w:tcPr>
            <w:tcW w:w="1644" w:type="dxa"/>
            <w:vAlign w:val="center"/>
          </w:tcPr>
          <w:p w:rsidR="00EB082C" w:rsidRDefault="00B15CB1">
            <w:pPr>
              <w:jc w:val="right"/>
            </w:pPr>
            <w:r>
              <w:rPr>
                <w:color w:val="000000"/>
                <w:sz w:val="24"/>
                <w:szCs w:val="24"/>
              </w:rPr>
              <w:t>4.52</w:t>
            </w:r>
          </w:p>
        </w:tc>
      </w:tr>
      <w:tr w:rsidR="00EB082C">
        <w:trPr>
          <w:jc w:val="center"/>
        </w:trPr>
        <w:tc>
          <w:tcPr>
            <w:tcW w:w="855" w:type="dxa"/>
            <w:vAlign w:val="center"/>
          </w:tcPr>
          <w:p w:rsidR="00EB082C" w:rsidRDefault="00B15CB1">
            <w:pPr>
              <w:jc w:val="center"/>
            </w:pPr>
            <w:r>
              <w:rPr>
                <w:color w:val="000000"/>
                <w:sz w:val="24"/>
                <w:szCs w:val="24"/>
              </w:rPr>
              <w:t>7</w:t>
            </w:r>
          </w:p>
        </w:tc>
        <w:tc>
          <w:tcPr>
            <w:tcW w:w="1334" w:type="dxa"/>
            <w:vAlign w:val="center"/>
          </w:tcPr>
          <w:p w:rsidR="00EB082C" w:rsidRDefault="00B15CB1">
            <w:pPr>
              <w:jc w:val="center"/>
            </w:pPr>
            <w:r>
              <w:rPr>
                <w:color w:val="000000"/>
                <w:sz w:val="24"/>
                <w:szCs w:val="24"/>
              </w:rPr>
              <w:t>600054</w:t>
            </w:r>
          </w:p>
        </w:tc>
        <w:tc>
          <w:tcPr>
            <w:tcW w:w="1777" w:type="dxa"/>
            <w:vAlign w:val="center"/>
          </w:tcPr>
          <w:p w:rsidR="00EB082C" w:rsidRDefault="00B15CB1">
            <w:pPr>
              <w:jc w:val="center"/>
            </w:pPr>
            <w:r>
              <w:rPr>
                <w:color w:val="000000"/>
                <w:sz w:val="24"/>
                <w:szCs w:val="24"/>
              </w:rPr>
              <w:t>黄山旅游</w:t>
            </w:r>
          </w:p>
        </w:tc>
        <w:tc>
          <w:tcPr>
            <w:tcW w:w="1334" w:type="dxa"/>
            <w:vAlign w:val="center"/>
          </w:tcPr>
          <w:p w:rsidR="00EB082C" w:rsidRDefault="00B15CB1">
            <w:pPr>
              <w:jc w:val="right"/>
            </w:pPr>
            <w:r>
              <w:rPr>
                <w:color w:val="000000"/>
                <w:sz w:val="24"/>
                <w:szCs w:val="24"/>
              </w:rPr>
              <w:t>2,303,255</w:t>
            </w:r>
          </w:p>
        </w:tc>
        <w:tc>
          <w:tcPr>
            <w:tcW w:w="1924" w:type="dxa"/>
            <w:vAlign w:val="center"/>
          </w:tcPr>
          <w:p w:rsidR="00EB082C" w:rsidRDefault="00B15CB1">
            <w:pPr>
              <w:jc w:val="right"/>
            </w:pPr>
            <w:r>
              <w:rPr>
                <w:color w:val="000000"/>
                <w:sz w:val="24"/>
                <w:szCs w:val="24"/>
              </w:rPr>
              <w:t>38,925,009.50</w:t>
            </w:r>
          </w:p>
        </w:tc>
        <w:tc>
          <w:tcPr>
            <w:tcW w:w="1644" w:type="dxa"/>
            <w:vAlign w:val="center"/>
          </w:tcPr>
          <w:p w:rsidR="00EB082C" w:rsidRDefault="00B15CB1">
            <w:pPr>
              <w:jc w:val="right"/>
            </w:pPr>
            <w:r>
              <w:rPr>
                <w:color w:val="000000"/>
                <w:sz w:val="24"/>
                <w:szCs w:val="24"/>
              </w:rPr>
              <w:t>4.42</w:t>
            </w:r>
          </w:p>
        </w:tc>
      </w:tr>
      <w:tr w:rsidR="00EB082C">
        <w:trPr>
          <w:jc w:val="center"/>
        </w:trPr>
        <w:tc>
          <w:tcPr>
            <w:tcW w:w="855" w:type="dxa"/>
            <w:vAlign w:val="center"/>
          </w:tcPr>
          <w:p w:rsidR="00EB082C" w:rsidRDefault="00B15CB1">
            <w:pPr>
              <w:jc w:val="center"/>
            </w:pPr>
            <w:r>
              <w:rPr>
                <w:color w:val="000000"/>
                <w:sz w:val="24"/>
                <w:szCs w:val="24"/>
              </w:rPr>
              <w:t>8</w:t>
            </w:r>
          </w:p>
        </w:tc>
        <w:tc>
          <w:tcPr>
            <w:tcW w:w="1334" w:type="dxa"/>
            <w:vAlign w:val="center"/>
          </w:tcPr>
          <w:p w:rsidR="00EB082C" w:rsidRDefault="00B15CB1">
            <w:pPr>
              <w:jc w:val="center"/>
            </w:pPr>
            <w:r>
              <w:rPr>
                <w:color w:val="000000"/>
                <w:sz w:val="24"/>
                <w:szCs w:val="24"/>
              </w:rPr>
              <w:t>600486</w:t>
            </w:r>
          </w:p>
        </w:tc>
        <w:tc>
          <w:tcPr>
            <w:tcW w:w="1777" w:type="dxa"/>
            <w:vAlign w:val="center"/>
          </w:tcPr>
          <w:p w:rsidR="00EB082C" w:rsidRDefault="00B15CB1">
            <w:pPr>
              <w:jc w:val="center"/>
            </w:pPr>
            <w:r>
              <w:rPr>
                <w:color w:val="000000"/>
                <w:sz w:val="24"/>
                <w:szCs w:val="24"/>
              </w:rPr>
              <w:t>扬农化工</w:t>
            </w:r>
          </w:p>
        </w:tc>
        <w:tc>
          <w:tcPr>
            <w:tcW w:w="1334" w:type="dxa"/>
            <w:vAlign w:val="center"/>
          </w:tcPr>
          <w:p w:rsidR="00EB082C" w:rsidRDefault="00B15CB1">
            <w:pPr>
              <w:jc w:val="right"/>
            </w:pPr>
            <w:r>
              <w:rPr>
                <w:color w:val="000000"/>
                <w:sz w:val="24"/>
                <w:szCs w:val="24"/>
              </w:rPr>
              <w:t>878,274</w:t>
            </w:r>
          </w:p>
        </w:tc>
        <w:tc>
          <w:tcPr>
            <w:tcW w:w="1924" w:type="dxa"/>
            <w:vAlign w:val="center"/>
          </w:tcPr>
          <w:p w:rsidR="00EB082C" w:rsidRDefault="00B15CB1">
            <w:pPr>
              <w:jc w:val="right"/>
            </w:pPr>
            <w:r>
              <w:rPr>
                <w:color w:val="000000"/>
                <w:sz w:val="24"/>
                <w:szCs w:val="24"/>
              </w:rPr>
              <w:t>34,208,772.30</w:t>
            </w:r>
          </w:p>
        </w:tc>
        <w:tc>
          <w:tcPr>
            <w:tcW w:w="1644" w:type="dxa"/>
            <w:vAlign w:val="center"/>
          </w:tcPr>
          <w:p w:rsidR="00EB082C" w:rsidRDefault="00B15CB1">
            <w:pPr>
              <w:jc w:val="right"/>
            </w:pPr>
            <w:r>
              <w:rPr>
                <w:color w:val="000000"/>
                <w:sz w:val="24"/>
                <w:szCs w:val="24"/>
              </w:rPr>
              <w:t>3.89</w:t>
            </w:r>
          </w:p>
        </w:tc>
      </w:tr>
      <w:tr w:rsidR="00EB082C">
        <w:trPr>
          <w:jc w:val="center"/>
        </w:trPr>
        <w:tc>
          <w:tcPr>
            <w:tcW w:w="855" w:type="dxa"/>
            <w:vAlign w:val="center"/>
          </w:tcPr>
          <w:p w:rsidR="00EB082C" w:rsidRDefault="00B15CB1">
            <w:pPr>
              <w:jc w:val="center"/>
            </w:pPr>
            <w:r>
              <w:rPr>
                <w:color w:val="000000"/>
                <w:sz w:val="24"/>
                <w:szCs w:val="24"/>
              </w:rPr>
              <w:t>9</w:t>
            </w:r>
          </w:p>
        </w:tc>
        <w:tc>
          <w:tcPr>
            <w:tcW w:w="1334" w:type="dxa"/>
            <w:vAlign w:val="center"/>
          </w:tcPr>
          <w:p w:rsidR="00EB082C" w:rsidRDefault="00B15CB1">
            <w:pPr>
              <w:jc w:val="center"/>
            </w:pPr>
            <w:r>
              <w:rPr>
                <w:color w:val="000000"/>
                <w:sz w:val="24"/>
                <w:szCs w:val="24"/>
              </w:rPr>
              <w:t>002343</w:t>
            </w:r>
          </w:p>
        </w:tc>
        <w:tc>
          <w:tcPr>
            <w:tcW w:w="1777" w:type="dxa"/>
            <w:vAlign w:val="center"/>
          </w:tcPr>
          <w:p w:rsidR="00EB082C" w:rsidRDefault="00B15CB1">
            <w:pPr>
              <w:jc w:val="center"/>
            </w:pPr>
            <w:r>
              <w:rPr>
                <w:color w:val="000000"/>
                <w:sz w:val="24"/>
                <w:szCs w:val="24"/>
              </w:rPr>
              <w:t>慈文传媒</w:t>
            </w:r>
          </w:p>
        </w:tc>
        <w:tc>
          <w:tcPr>
            <w:tcW w:w="1334" w:type="dxa"/>
            <w:vAlign w:val="center"/>
          </w:tcPr>
          <w:p w:rsidR="00EB082C" w:rsidRDefault="00B15CB1">
            <w:pPr>
              <w:jc w:val="right"/>
            </w:pPr>
            <w:r>
              <w:rPr>
                <w:color w:val="000000"/>
                <w:sz w:val="24"/>
                <w:szCs w:val="24"/>
              </w:rPr>
              <w:t>870,198</w:t>
            </w:r>
          </w:p>
        </w:tc>
        <w:tc>
          <w:tcPr>
            <w:tcW w:w="1924" w:type="dxa"/>
            <w:vAlign w:val="center"/>
          </w:tcPr>
          <w:p w:rsidR="00EB082C" w:rsidRDefault="00B15CB1">
            <w:pPr>
              <w:jc w:val="right"/>
            </w:pPr>
            <w:r>
              <w:rPr>
                <w:color w:val="000000"/>
                <w:sz w:val="24"/>
                <w:szCs w:val="24"/>
              </w:rPr>
              <w:t>33,685,364.58</w:t>
            </w:r>
          </w:p>
        </w:tc>
        <w:tc>
          <w:tcPr>
            <w:tcW w:w="1644" w:type="dxa"/>
            <w:vAlign w:val="center"/>
          </w:tcPr>
          <w:p w:rsidR="00EB082C" w:rsidRDefault="00B15CB1">
            <w:pPr>
              <w:jc w:val="right"/>
            </w:pPr>
            <w:r>
              <w:rPr>
                <w:color w:val="000000"/>
                <w:sz w:val="24"/>
                <w:szCs w:val="24"/>
              </w:rPr>
              <w:t>3.83</w:t>
            </w:r>
          </w:p>
        </w:tc>
      </w:tr>
      <w:tr w:rsidR="00EB082C">
        <w:trPr>
          <w:jc w:val="center"/>
        </w:trPr>
        <w:tc>
          <w:tcPr>
            <w:tcW w:w="855" w:type="dxa"/>
            <w:vAlign w:val="center"/>
          </w:tcPr>
          <w:p w:rsidR="00EB082C" w:rsidRDefault="00B15CB1">
            <w:pPr>
              <w:jc w:val="center"/>
            </w:pPr>
            <w:r>
              <w:rPr>
                <w:color w:val="000000"/>
                <w:sz w:val="24"/>
                <w:szCs w:val="24"/>
              </w:rPr>
              <w:t>10</w:t>
            </w:r>
          </w:p>
        </w:tc>
        <w:tc>
          <w:tcPr>
            <w:tcW w:w="1334" w:type="dxa"/>
            <w:vAlign w:val="center"/>
          </w:tcPr>
          <w:p w:rsidR="00EB082C" w:rsidRDefault="00B15CB1">
            <w:pPr>
              <w:jc w:val="center"/>
            </w:pPr>
            <w:r>
              <w:rPr>
                <w:color w:val="000000"/>
                <w:sz w:val="24"/>
                <w:szCs w:val="24"/>
              </w:rPr>
              <w:t>000998</w:t>
            </w:r>
          </w:p>
        </w:tc>
        <w:tc>
          <w:tcPr>
            <w:tcW w:w="1777" w:type="dxa"/>
            <w:vAlign w:val="center"/>
          </w:tcPr>
          <w:p w:rsidR="00EB082C" w:rsidRDefault="00B15CB1">
            <w:pPr>
              <w:jc w:val="center"/>
            </w:pPr>
            <w:r>
              <w:rPr>
                <w:color w:val="000000"/>
                <w:sz w:val="24"/>
                <w:szCs w:val="24"/>
              </w:rPr>
              <w:t>隆平高科</w:t>
            </w:r>
          </w:p>
        </w:tc>
        <w:tc>
          <w:tcPr>
            <w:tcW w:w="1334" w:type="dxa"/>
            <w:vAlign w:val="center"/>
          </w:tcPr>
          <w:p w:rsidR="00EB082C" w:rsidRDefault="00B15CB1">
            <w:pPr>
              <w:jc w:val="right"/>
            </w:pPr>
            <w:r>
              <w:rPr>
                <w:color w:val="000000"/>
                <w:sz w:val="24"/>
                <w:szCs w:val="24"/>
              </w:rPr>
              <w:t>1,217,302</w:t>
            </w:r>
          </w:p>
        </w:tc>
        <w:tc>
          <w:tcPr>
            <w:tcW w:w="1924" w:type="dxa"/>
            <w:vAlign w:val="center"/>
          </w:tcPr>
          <w:p w:rsidR="00EB082C" w:rsidRDefault="00B15CB1">
            <w:pPr>
              <w:jc w:val="right"/>
            </w:pPr>
            <w:r>
              <w:rPr>
                <w:color w:val="000000"/>
                <w:sz w:val="24"/>
                <w:szCs w:val="24"/>
              </w:rPr>
              <w:t>31,649,852.00</w:t>
            </w:r>
          </w:p>
        </w:tc>
        <w:tc>
          <w:tcPr>
            <w:tcW w:w="1644" w:type="dxa"/>
            <w:vAlign w:val="center"/>
          </w:tcPr>
          <w:p w:rsidR="00EB082C" w:rsidRDefault="00B15CB1">
            <w:pPr>
              <w:jc w:val="right"/>
            </w:pPr>
            <w:r>
              <w:rPr>
                <w:color w:val="000000"/>
                <w:sz w:val="24"/>
                <w:szCs w:val="24"/>
              </w:rPr>
              <w:t>3.59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221,224.69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102,066.16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32,121.45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882,281.83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1,237,694.13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1,063,879,949.55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81,407,861.27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247,844,462.85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897,443,347.97</w:t>
            </w:r>
          </w:p>
        </w:tc>
      </w:tr>
    </w:tbl>
    <w:p w:rsidR="00EB082C" w:rsidRDefault="00B15CB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14,776,472.35</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14,776,472.35</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1.65</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EB082C">
        <w:tc>
          <w:tcPr>
            <w:tcW w:w="993" w:type="dxa"/>
            <w:vMerge w:val="restart"/>
          </w:tcPr>
          <w:p w:rsidR="00EB082C" w:rsidRDefault="00EB082C"/>
          <w:p w:rsidR="00EB082C" w:rsidRDefault="00B15CB1">
            <w:r>
              <w:rPr>
                <w:rFonts w:ascii="宋体" w:hAnsi="宋体" w:hint="eastAsia"/>
                <w:bCs/>
                <w:color w:val="000000"/>
                <w:kern w:val="0"/>
              </w:rPr>
              <w:t>机构</w:t>
            </w:r>
          </w:p>
        </w:tc>
        <w:tc>
          <w:tcPr>
            <w:tcW w:w="992" w:type="dxa"/>
            <w:vAlign w:val="center"/>
          </w:tcPr>
          <w:p w:rsidR="00EB082C" w:rsidRDefault="00B15CB1">
            <w:pPr>
              <w:jc w:val="center"/>
            </w:pPr>
            <w:r>
              <w:rPr>
                <w:rFonts w:ascii="宋体" w:hAnsi="宋体"/>
                <w:color w:val="000000"/>
                <w:kern w:val="0"/>
              </w:rPr>
              <w:t>1</w:t>
            </w:r>
          </w:p>
        </w:tc>
        <w:tc>
          <w:tcPr>
            <w:tcW w:w="1843" w:type="dxa"/>
            <w:vAlign w:val="center"/>
          </w:tcPr>
          <w:p w:rsidR="00EB082C" w:rsidRDefault="00B15CB1">
            <w:pPr>
              <w:jc w:val="center"/>
            </w:pPr>
            <w:r>
              <w:rPr>
                <w:rFonts w:ascii="宋体" w:hAnsi="宋体"/>
                <w:color w:val="000000"/>
                <w:kern w:val="0"/>
              </w:rPr>
              <w:t>2017/7/1-2017/9/30</w:t>
            </w:r>
          </w:p>
        </w:tc>
        <w:tc>
          <w:tcPr>
            <w:tcW w:w="851" w:type="dxa"/>
            <w:vAlign w:val="center"/>
          </w:tcPr>
          <w:p w:rsidR="00EB082C" w:rsidRDefault="00B15CB1">
            <w:pPr>
              <w:jc w:val="center"/>
            </w:pPr>
            <w:r>
              <w:rPr>
                <w:rFonts w:ascii="宋体" w:hAnsi="宋体"/>
                <w:color w:val="000000"/>
                <w:kern w:val="0"/>
              </w:rPr>
              <w:t>267,378,787.88</w:t>
            </w:r>
          </w:p>
        </w:tc>
        <w:tc>
          <w:tcPr>
            <w:tcW w:w="850" w:type="dxa"/>
            <w:vAlign w:val="center"/>
          </w:tcPr>
          <w:p w:rsidR="00EB082C" w:rsidRDefault="00B15CB1">
            <w:pPr>
              <w:jc w:val="center"/>
            </w:pPr>
            <w:r>
              <w:rPr>
                <w:rFonts w:ascii="宋体" w:hAnsi="宋体"/>
                <w:color w:val="000000"/>
                <w:kern w:val="0"/>
              </w:rPr>
              <w:t>-</w:t>
            </w:r>
          </w:p>
        </w:tc>
        <w:tc>
          <w:tcPr>
            <w:tcW w:w="1134" w:type="dxa"/>
            <w:vAlign w:val="center"/>
          </w:tcPr>
          <w:p w:rsidR="00EB082C" w:rsidRDefault="00B15CB1">
            <w:pPr>
              <w:jc w:val="center"/>
            </w:pPr>
            <w:r>
              <w:rPr>
                <w:rFonts w:ascii="宋体" w:hAnsi="宋体"/>
                <w:color w:val="000000"/>
                <w:kern w:val="0"/>
              </w:rPr>
              <w:t>180,000,000.00</w:t>
            </w:r>
          </w:p>
        </w:tc>
        <w:tc>
          <w:tcPr>
            <w:tcW w:w="1419" w:type="dxa"/>
            <w:vAlign w:val="center"/>
          </w:tcPr>
          <w:p w:rsidR="00EB082C" w:rsidRDefault="00B15CB1">
            <w:pPr>
              <w:jc w:val="center"/>
            </w:pPr>
            <w:r>
              <w:rPr>
                <w:rFonts w:ascii="宋体" w:hAnsi="宋体"/>
                <w:color w:val="000000"/>
                <w:kern w:val="0"/>
              </w:rPr>
              <w:t>87,378,787.88</w:t>
            </w:r>
          </w:p>
        </w:tc>
        <w:tc>
          <w:tcPr>
            <w:tcW w:w="1130" w:type="dxa"/>
            <w:vAlign w:val="center"/>
          </w:tcPr>
          <w:p w:rsidR="00EB082C" w:rsidRDefault="00B15CB1">
            <w:pPr>
              <w:jc w:val="center"/>
            </w:pPr>
            <w:r>
              <w:rPr>
                <w:rFonts w:ascii="宋体" w:hAnsi="宋体"/>
                <w:color w:val="000000"/>
                <w:kern w:val="0"/>
              </w:rPr>
              <w:t>9.74%</w:t>
            </w:r>
          </w:p>
        </w:tc>
      </w:tr>
      <w:tr w:rsidR="00EB082C">
        <w:tc>
          <w:tcPr>
            <w:tcW w:w="993" w:type="dxa"/>
            <w:vMerge/>
          </w:tcPr>
          <w:p w:rsidR="00EB082C" w:rsidRDefault="00EB082C"/>
        </w:tc>
        <w:tc>
          <w:tcPr>
            <w:tcW w:w="992" w:type="dxa"/>
            <w:vAlign w:val="center"/>
          </w:tcPr>
          <w:p w:rsidR="00EB082C" w:rsidRDefault="00B15CB1">
            <w:pPr>
              <w:jc w:val="center"/>
            </w:pPr>
            <w:r>
              <w:rPr>
                <w:rFonts w:ascii="宋体" w:hAnsi="宋体"/>
                <w:color w:val="000000"/>
                <w:kern w:val="0"/>
              </w:rPr>
              <w:t>2</w:t>
            </w:r>
          </w:p>
        </w:tc>
        <w:tc>
          <w:tcPr>
            <w:tcW w:w="1843" w:type="dxa"/>
            <w:vAlign w:val="center"/>
          </w:tcPr>
          <w:p w:rsidR="00EB082C" w:rsidRDefault="00B15CB1">
            <w:pPr>
              <w:jc w:val="center"/>
            </w:pPr>
            <w:r>
              <w:rPr>
                <w:rFonts w:ascii="宋体" w:hAnsi="宋体"/>
                <w:color w:val="000000"/>
                <w:kern w:val="0"/>
              </w:rPr>
              <w:t>2017/7/1-2017/9/30</w:t>
            </w:r>
          </w:p>
        </w:tc>
        <w:tc>
          <w:tcPr>
            <w:tcW w:w="851" w:type="dxa"/>
            <w:vAlign w:val="center"/>
          </w:tcPr>
          <w:p w:rsidR="00EB082C" w:rsidRDefault="00B15CB1">
            <w:pPr>
              <w:jc w:val="center"/>
            </w:pPr>
            <w:r>
              <w:rPr>
                <w:rFonts w:ascii="宋体" w:hAnsi="宋体"/>
                <w:color w:val="000000"/>
                <w:kern w:val="0"/>
              </w:rPr>
              <w:t>187,163,992.87</w:t>
            </w:r>
          </w:p>
        </w:tc>
        <w:tc>
          <w:tcPr>
            <w:tcW w:w="850" w:type="dxa"/>
            <w:vAlign w:val="center"/>
          </w:tcPr>
          <w:p w:rsidR="00EB082C" w:rsidRDefault="00B15CB1">
            <w:pPr>
              <w:jc w:val="center"/>
            </w:pPr>
            <w:r>
              <w:rPr>
                <w:rFonts w:ascii="宋体" w:hAnsi="宋体"/>
                <w:color w:val="000000"/>
                <w:kern w:val="0"/>
              </w:rPr>
              <w:t>-</w:t>
            </w:r>
          </w:p>
        </w:tc>
        <w:tc>
          <w:tcPr>
            <w:tcW w:w="1134" w:type="dxa"/>
            <w:vAlign w:val="center"/>
          </w:tcPr>
          <w:p w:rsidR="00EB082C" w:rsidRDefault="00B15CB1">
            <w:pPr>
              <w:jc w:val="center"/>
            </w:pPr>
            <w:r>
              <w:rPr>
                <w:rFonts w:ascii="宋体" w:hAnsi="宋体"/>
                <w:color w:val="000000"/>
                <w:kern w:val="0"/>
              </w:rPr>
              <w:t>-</w:t>
            </w:r>
          </w:p>
        </w:tc>
        <w:tc>
          <w:tcPr>
            <w:tcW w:w="1419" w:type="dxa"/>
            <w:vAlign w:val="center"/>
          </w:tcPr>
          <w:p w:rsidR="00EB082C" w:rsidRDefault="00B15CB1">
            <w:pPr>
              <w:jc w:val="center"/>
            </w:pPr>
            <w:r>
              <w:rPr>
                <w:rFonts w:ascii="宋体" w:hAnsi="宋体"/>
                <w:color w:val="000000"/>
                <w:kern w:val="0"/>
              </w:rPr>
              <w:t>187,163,992.87</w:t>
            </w:r>
          </w:p>
        </w:tc>
        <w:tc>
          <w:tcPr>
            <w:tcW w:w="1130" w:type="dxa"/>
            <w:vAlign w:val="center"/>
          </w:tcPr>
          <w:p w:rsidR="00EB082C" w:rsidRDefault="00B15CB1">
            <w:pPr>
              <w:jc w:val="center"/>
            </w:pPr>
            <w:r>
              <w:rPr>
                <w:rFonts w:ascii="宋体" w:hAnsi="宋体"/>
                <w:color w:val="000000"/>
                <w:kern w:val="0"/>
              </w:rPr>
              <w:t>20.86%</w:t>
            </w:r>
          </w:p>
        </w:tc>
      </w:tr>
      <w:tr w:rsidR="00EB082C">
        <w:tc>
          <w:tcPr>
            <w:tcW w:w="993" w:type="dxa"/>
            <w:vMerge/>
          </w:tcPr>
          <w:p w:rsidR="00EB082C" w:rsidRDefault="00EB082C"/>
        </w:tc>
        <w:tc>
          <w:tcPr>
            <w:tcW w:w="992" w:type="dxa"/>
            <w:vAlign w:val="center"/>
          </w:tcPr>
          <w:p w:rsidR="00EB082C" w:rsidRDefault="00B15CB1">
            <w:pPr>
              <w:jc w:val="center"/>
            </w:pPr>
            <w:r>
              <w:rPr>
                <w:rFonts w:ascii="宋体" w:hAnsi="宋体"/>
                <w:color w:val="000000"/>
                <w:kern w:val="0"/>
              </w:rPr>
              <w:t>3</w:t>
            </w:r>
          </w:p>
        </w:tc>
        <w:tc>
          <w:tcPr>
            <w:tcW w:w="1843" w:type="dxa"/>
            <w:vAlign w:val="center"/>
          </w:tcPr>
          <w:p w:rsidR="00EB082C" w:rsidRDefault="00B15CB1">
            <w:pPr>
              <w:jc w:val="center"/>
            </w:pPr>
            <w:r>
              <w:rPr>
                <w:rFonts w:ascii="宋体" w:hAnsi="宋体"/>
                <w:color w:val="000000"/>
                <w:kern w:val="0"/>
              </w:rPr>
              <w:t>2017/7/1-2017/9/30</w:t>
            </w:r>
          </w:p>
        </w:tc>
        <w:tc>
          <w:tcPr>
            <w:tcW w:w="851" w:type="dxa"/>
            <w:vAlign w:val="center"/>
          </w:tcPr>
          <w:p w:rsidR="00EB082C" w:rsidRDefault="00B15CB1">
            <w:pPr>
              <w:jc w:val="center"/>
            </w:pPr>
            <w:r>
              <w:rPr>
                <w:rFonts w:ascii="宋体" w:hAnsi="宋体"/>
                <w:color w:val="000000"/>
                <w:kern w:val="0"/>
              </w:rPr>
              <w:t>178,093,499.55</w:t>
            </w:r>
          </w:p>
        </w:tc>
        <w:tc>
          <w:tcPr>
            <w:tcW w:w="850" w:type="dxa"/>
            <w:vAlign w:val="center"/>
          </w:tcPr>
          <w:p w:rsidR="00EB082C" w:rsidRDefault="00B15CB1">
            <w:pPr>
              <w:jc w:val="center"/>
            </w:pPr>
            <w:r>
              <w:rPr>
                <w:rFonts w:ascii="宋体" w:hAnsi="宋体"/>
                <w:color w:val="000000"/>
                <w:kern w:val="0"/>
              </w:rPr>
              <w:t>-</w:t>
            </w:r>
          </w:p>
        </w:tc>
        <w:tc>
          <w:tcPr>
            <w:tcW w:w="1134" w:type="dxa"/>
            <w:vAlign w:val="center"/>
          </w:tcPr>
          <w:p w:rsidR="00EB082C" w:rsidRDefault="00B15CB1">
            <w:pPr>
              <w:jc w:val="center"/>
            </w:pPr>
            <w:r>
              <w:rPr>
                <w:rFonts w:ascii="宋体" w:hAnsi="宋体"/>
                <w:color w:val="000000"/>
                <w:kern w:val="0"/>
              </w:rPr>
              <w:t>-</w:t>
            </w:r>
          </w:p>
        </w:tc>
        <w:tc>
          <w:tcPr>
            <w:tcW w:w="1419" w:type="dxa"/>
            <w:vAlign w:val="center"/>
          </w:tcPr>
          <w:p w:rsidR="00EB082C" w:rsidRDefault="00B15CB1">
            <w:pPr>
              <w:jc w:val="center"/>
            </w:pPr>
            <w:r>
              <w:rPr>
                <w:rFonts w:ascii="宋体" w:hAnsi="宋体"/>
                <w:color w:val="000000"/>
                <w:kern w:val="0"/>
              </w:rPr>
              <w:t>178,093,499.55</w:t>
            </w:r>
          </w:p>
        </w:tc>
        <w:tc>
          <w:tcPr>
            <w:tcW w:w="1130" w:type="dxa"/>
            <w:vAlign w:val="center"/>
          </w:tcPr>
          <w:p w:rsidR="00EB082C" w:rsidRDefault="00B15CB1">
            <w:pPr>
              <w:jc w:val="center"/>
            </w:pPr>
            <w:r>
              <w:rPr>
                <w:rFonts w:ascii="宋体" w:hAnsi="宋体"/>
                <w:color w:val="000000"/>
                <w:kern w:val="0"/>
              </w:rPr>
              <w:t>19.84%</w:t>
            </w:r>
          </w:p>
        </w:tc>
      </w:tr>
      <w:tr w:rsidR="00EB082C">
        <w:tc>
          <w:tcPr>
            <w:tcW w:w="993" w:type="dxa"/>
            <w:vMerge/>
          </w:tcPr>
          <w:p w:rsidR="00EB082C" w:rsidRDefault="00EB082C"/>
        </w:tc>
        <w:tc>
          <w:tcPr>
            <w:tcW w:w="992" w:type="dxa"/>
            <w:vAlign w:val="center"/>
          </w:tcPr>
          <w:p w:rsidR="00EB082C" w:rsidRDefault="00B15CB1">
            <w:pPr>
              <w:jc w:val="center"/>
            </w:pPr>
            <w:r>
              <w:rPr>
                <w:rFonts w:ascii="宋体" w:hAnsi="宋体"/>
                <w:color w:val="000000"/>
                <w:kern w:val="0"/>
              </w:rPr>
              <w:t>4</w:t>
            </w:r>
          </w:p>
        </w:tc>
        <w:tc>
          <w:tcPr>
            <w:tcW w:w="1843" w:type="dxa"/>
            <w:vAlign w:val="center"/>
          </w:tcPr>
          <w:p w:rsidR="00EB082C" w:rsidRDefault="00B15CB1">
            <w:pPr>
              <w:jc w:val="center"/>
            </w:pPr>
            <w:r>
              <w:rPr>
                <w:rFonts w:ascii="宋体" w:hAnsi="宋体"/>
                <w:color w:val="000000"/>
                <w:kern w:val="0"/>
              </w:rPr>
              <w:t>2017/7/1-2017/9/30</w:t>
            </w:r>
          </w:p>
        </w:tc>
        <w:tc>
          <w:tcPr>
            <w:tcW w:w="851" w:type="dxa"/>
            <w:vAlign w:val="center"/>
          </w:tcPr>
          <w:p w:rsidR="00EB082C" w:rsidRDefault="00B15CB1">
            <w:pPr>
              <w:jc w:val="center"/>
            </w:pPr>
            <w:r>
              <w:rPr>
                <w:rFonts w:ascii="宋体" w:hAnsi="宋体"/>
                <w:color w:val="000000"/>
                <w:kern w:val="0"/>
              </w:rPr>
              <w:t>178,252,228.16</w:t>
            </w:r>
          </w:p>
        </w:tc>
        <w:tc>
          <w:tcPr>
            <w:tcW w:w="850" w:type="dxa"/>
            <w:vAlign w:val="center"/>
          </w:tcPr>
          <w:p w:rsidR="00EB082C" w:rsidRDefault="00B15CB1">
            <w:pPr>
              <w:jc w:val="center"/>
            </w:pPr>
            <w:r>
              <w:rPr>
                <w:rFonts w:ascii="宋体" w:hAnsi="宋体"/>
                <w:color w:val="000000"/>
                <w:kern w:val="0"/>
              </w:rPr>
              <w:t>-</w:t>
            </w:r>
          </w:p>
        </w:tc>
        <w:tc>
          <w:tcPr>
            <w:tcW w:w="1134" w:type="dxa"/>
            <w:vAlign w:val="center"/>
          </w:tcPr>
          <w:p w:rsidR="00EB082C" w:rsidRDefault="00B15CB1">
            <w:pPr>
              <w:jc w:val="center"/>
            </w:pPr>
            <w:r>
              <w:rPr>
                <w:rFonts w:ascii="宋体" w:hAnsi="宋体"/>
                <w:color w:val="000000"/>
                <w:kern w:val="0"/>
              </w:rPr>
              <w:t>-</w:t>
            </w:r>
          </w:p>
        </w:tc>
        <w:tc>
          <w:tcPr>
            <w:tcW w:w="1419" w:type="dxa"/>
            <w:vAlign w:val="center"/>
          </w:tcPr>
          <w:p w:rsidR="00EB082C" w:rsidRDefault="00B15CB1">
            <w:pPr>
              <w:jc w:val="center"/>
            </w:pPr>
            <w:r>
              <w:rPr>
                <w:rFonts w:ascii="宋体" w:hAnsi="宋体"/>
                <w:color w:val="000000"/>
                <w:kern w:val="0"/>
              </w:rPr>
              <w:t>178,252,228.16</w:t>
            </w:r>
          </w:p>
        </w:tc>
        <w:tc>
          <w:tcPr>
            <w:tcW w:w="1130" w:type="dxa"/>
            <w:vAlign w:val="center"/>
          </w:tcPr>
          <w:p w:rsidR="00EB082C" w:rsidRDefault="00B15CB1">
            <w:pPr>
              <w:jc w:val="center"/>
            </w:pPr>
            <w:r>
              <w:rPr>
                <w:rFonts w:ascii="宋体" w:hAnsi="宋体"/>
                <w:color w:val="000000"/>
                <w:kern w:val="0"/>
              </w:rPr>
              <w:t>19.86%</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B082C" w:rsidRDefault="00B15CB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EB082C" w:rsidRDefault="00B15CB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EB082C" w:rsidRDefault="00B15CB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EB082C" w:rsidRDefault="00B15CB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EB082C" w:rsidRDefault="00B15CB1">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EB082C" w:rsidRDefault="00B15CB1">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EB082C" w:rsidRDefault="00B15CB1">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EB082C" w:rsidRDefault="00B15CB1">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EB082C" w:rsidRDefault="00B15CB1">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EB082C" w:rsidRDefault="00B15CB1">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w:t>
      </w:r>
      <w:r>
        <w:rPr>
          <w:color w:val="000000"/>
          <w:sz w:val="24"/>
          <w:szCs w:val="24"/>
        </w:rPr>
        <w:t>层等权重指数证券投资基金之法律意见书；</w:t>
      </w:r>
    </w:p>
    <w:p w:rsidR="00EB082C" w:rsidRDefault="00B15CB1">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B082C" w:rsidRDefault="00B15CB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A33" w:rsidRDefault="005A0A33" w:rsidP="00876D65">
      <w:r>
        <w:separator/>
      </w:r>
    </w:p>
  </w:endnote>
  <w:endnote w:type="continuationSeparator" w:id="0">
    <w:p w:rsidR="005A0A33" w:rsidRDefault="005A0A3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B15CB1">
      <w:rPr>
        <w:noProof/>
        <w:kern w:val="0"/>
        <w:szCs w:val="21"/>
      </w:rPr>
      <w:t>6</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B15CB1">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A33" w:rsidRDefault="005A0A33" w:rsidP="00876D65">
      <w:r>
        <w:separator/>
      </w:r>
    </w:p>
  </w:footnote>
  <w:footnote w:type="continuationSeparator" w:id="0">
    <w:p w:rsidR="005A0A33" w:rsidRDefault="005A0A3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5CB1"/>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082C"/>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B8E7DA49-4117-413A-985E-B5466CEC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AE59-999A-4BFC-8F87-10836336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12</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许琦欣</cp:lastModifiedBy>
  <cp:revision>566</cp:revision>
  <dcterms:created xsi:type="dcterms:W3CDTF">2012-10-16T06:07:00Z</dcterms:created>
  <dcterms:modified xsi:type="dcterms:W3CDTF">2017-10-19T10:51:00Z</dcterms:modified>
</cp:coreProperties>
</file>