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F1D4E" w:rsidRDefault="00CA7DC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F1D4E" w:rsidRDefault="00CA7DC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F1D4E" w:rsidRDefault="00CA7DC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F1D4E" w:rsidRDefault="00CA7DC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F1D4E" w:rsidRDefault="00CA7DC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458,243,437.14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7025A" w:rsidRPr="00414345" w:rsidTr="00C7025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7025A" w:rsidRPr="00414345" w:rsidTr="00C702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66,561,808.74</w:t>
            </w:r>
          </w:p>
        </w:tc>
      </w:tr>
      <w:tr w:rsidR="00C7025A" w:rsidRPr="00414345" w:rsidTr="00C702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74,170,851.94</w:t>
            </w:r>
          </w:p>
        </w:tc>
      </w:tr>
      <w:tr w:rsidR="00C7025A" w:rsidRPr="00414345" w:rsidTr="00C702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7025A" w:rsidP="00C15CAC">
            <w:pPr>
              <w:adjustRightInd w:val="0"/>
              <w:spacing w:before="29" w:line="288" w:lineRule="auto"/>
              <w:ind w:left="17"/>
              <w:jc w:val="right"/>
              <w:rPr>
                <w:color w:val="000000"/>
                <w:sz w:val="24"/>
                <w:szCs w:val="24"/>
              </w:rPr>
            </w:pPr>
            <w:r w:rsidRPr="00C7025A">
              <w:rPr>
                <w:color w:val="000000"/>
                <w:sz w:val="24"/>
                <w:szCs w:val="24"/>
              </w:rPr>
              <w:t>0.1699</w:t>
            </w:r>
          </w:p>
        </w:tc>
      </w:tr>
      <w:tr w:rsidR="00C7025A" w:rsidRPr="00414345" w:rsidTr="00C7025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828,909,641.91</w:t>
            </w:r>
          </w:p>
        </w:tc>
      </w:tr>
      <w:tr w:rsidR="00C7025A" w:rsidRPr="00414345" w:rsidTr="00C7025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1.809</w:t>
            </w:r>
          </w:p>
        </w:tc>
      </w:tr>
    </w:tbl>
    <w:p w:rsidR="003F1D4E" w:rsidRDefault="00CA7D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F1D4E">
        <w:trPr>
          <w:jc w:val="center"/>
        </w:trPr>
        <w:tc>
          <w:tcPr>
            <w:tcW w:w="1701" w:type="dxa"/>
            <w:vAlign w:val="center"/>
          </w:tcPr>
          <w:p w:rsidR="003F1D4E" w:rsidRDefault="00CA7DCE">
            <w:pPr>
              <w:jc w:val="left"/>
            </w:pPr>
            <w:r>
              <w:rPr>
                <w:color w:val="000000"/>
                <w:sz w:val="24"/>
                <w:szCs w:val="24"/>
              </w:rPr>
              <w:t>过去三个月</w:t>
            </w:r>
          </w:p>
        </w:tc>
        <w:tc>
          <w:tcPr>
            <w:tcW w:w="1045" w:type="dxa"/>
            <w:vAlign w:val="center"/>
          </w:tcPr>
          <w:p w:rsidR="003F1D4E" w:rsidRDefault="00CA7DCE">
            <w:pPr>
              <w:jc w:val="center"/>
            </w:pPr>
            <w:r>
              <w:rPr>
                <w:color w:val="000000"/>
                <w:sz w:val="24"/>
                <w:szCs w:val="24"/>
              </w:rPr>
              <w:t>10.78%</w:t>
            </w:r>
          </w:p>
        </w:tc>
        <w:tc>
          <w:tcPr>
            <w:tcW w:w="1344" w:type="dxa"/>
            <w:vAlign w:val="center"/>
          </w:tcPr>
          <w:p w:rsidR="003F1D4E" w:rsidRDefault="00CA7DCE">
            <w:pPr>
              <w:jc w:val="center"/>
            </w:pPr>
            <w:r>
              <w:rPr>
                <w:color w:val="000000"/>
                <w:sz w:val="24"/>
                <w:szCs w:val="24"/>
              </w:rPr>
              <w:t>1.00%</w:t>
            </w:r>
          </w:p>
        </w:tc>
        <w:tc>
          <w:tcPr>
            <w:tcW w:w="1194" w:type="dxa"/>
            <w:vAlign w:val="center"/>
          </w:tcPr>
          <w:p w:rsidR="003F1D4E" w:rsidRDefault="00CA7DCE">
            <w:pPr>
              <w:jc w:val="center"/>
            </w:pPr>
            <w:r>
              <w:rPr>
                <w:color w:val="000000"/>
                <w:sz w:val="24"/>
                <w:szCs w:val="24"/>
              </w:rPr>
              <w:t>3.64%</w:t>
            </w:r>
          </w:p>
        </w:tc>
        <w:tc>
          <w:tcPr>
            <w:tcW w:w="1492" w:type="dxa"/>
            <w:vAlign w:val="center"/>
          </w:tcPr>
          <w:p w:rsidR="003F1D4E" w:rsidRDefault="00CA7DCE">
            <w:pPr>
              <w:jc w:val="center"/>
            </w:pPr>
            <w:r>
              <w:rPr>
                <w:color w:val="000000"/>
                <w:sz w:val="24"/>
                <w:szCs w:val="24"/>
              </w:rPr>
              <w:t>0.44%</w:t>
            </w:r>
          </w:p>
        </w:tc>
        <w:tc>
          <w:tcPr>
            <w:tcW w:w="1194" w:type="dxa"/>
            <w:vAlign w:val="center"/>
          </w:tcPr>
          <w:p w:rsidR="003F1D4E" w:rsidRDefault="00CA7DCE">
            <w:pPr>
              <w:jc w:val="center"/>
            </w:pPr>
            <w:r>
              <w:rPr>
                <w:color w:val="000000"/>
                <w:sz w:val="24"/>
                <w:szCs w:val="24"/>
              </w:rPr>
              <w:t>7.14%</w:t>
            </w:r>
          </w:p>
        </w:tc>
        <w:tc>
          <w:tcPr>
            <w:tcW w:w="898" w:type="dxa"/>
            <w:vAlign w:val="center"/>
          </w:tcPr>
          <w:p w:rsidR="003F1D4E" w:rsidRDefault="00CA7DCE">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F1D4E">
        <w:trPr>
          <w:jc w:val="center"/>
        </w:trPr>
        <w:tc>
          <w:tcPr>
            <w:tcW w:w="846" w:type="dxa"/>
            <w:vAlign w:val="center"/>
          </w:tcPr>
          <w:p w:rsidR="003F1D4E" w:rsidRDefault="00CA7DCE">
            <w:pPr>
              <w:jc w:val="center"/>
            </w:pPr>
            <w:r>
              <w:rPr>
                <w:color w:val="000000"/>
                <w:sz w:val="24"/>
                <w:szCs w:val="24"/>
              </w:rPr>
              <w:t>何帅</w:t>
            </w:r>
          </w:p>
        </w:tc>
        <w:tc>
          <w:tcPr>
            <w:tcW w:w="845" w:type="dxa"/>
            <w:vAlign w:val="center"/>
          </w:tcPr>
          <w:p w:rsidR="003F1D4E" w:rsidRDefault="00CA7DCE">
            <w:pPr>
              <w:jc w:val="center"/>
            </w:pPr>
            <w:r>
              <w:rPr>
                <w:color w:val="000000"/>
                <w:sz w:val="24"/>
                <w:szCs w:val="24"/>
              </w:rPr>
              <w:t>交银优势行业混合、交银阿尔法核心混合的基金经理</w:t>
            </w:r>
          </w:p>
        </w:tc>
        <w:tc>
          <w:tcPr>
            <w:tcW w:w="1549" w:type="dxa"/>
            <w:vAlign w:val="center"/>
          </w:tcPr>
          <w:p w:rsidR="003F1D4E" w:rsidRDefault="00CA7DCE">
            <w:pPr>
              <w:jc w:val="center"/>
            </w:pPr>
            <w:r>
              <w:rPr>
                <w:color w:val="000000"/>
                <w:sz w:val="24"/>
                <w:szCs w:val="24"/>
              </w:rPr>
              <w:t>2015-09-16</w:t>
            </w:r>
          </w:p>
        </w:tc>
        <w:tc>
          <w:tcPr>
            <w:tcW w:w="1548" w:type="dxa"/>
            <w:vAlign w:val="center"/>
          </w:tcPr>
          <w:p w:rsidR="003F1D4E" w:rsidRDefault="00CA7DCE">
            <w:pPr>
              <w:jc w:val="center"/>
            </w:pPr>
            <w:r>
              <w:rPr>
                <w:color w:val="000000"/>
                <w:sz w:val="24"/>
                <w:szCs w:val="24"/>
              </w:rPr>
              <w:t>-</w:t>
            </w:r>
          </w:p>
        </w:tc>
        <w:tc>
          <w:tcPr>
            <w:tcW w:w="1407" w:type="dxa"/>
            <w:vAlign w:val="center"/>
          </w:tcPr>
          <w:p w:rsidR="003F1D4E" w:rsidRDefault="00CA7DCE">
            <w:pPr>
              <w:jc w:val="center"/>
            </w:pPr>
            <w:r>
              <w:rPr>
                <w:color w:val="000000"/>
                <w:sz w:val="24"/>
                <w:szCs w:val="24"/>
              </w:rPr>
              <w:t>7</w:t>
            </w:r>
            <w:r>
              <w:rPr>
                <w:color w:val="000000"/>
                <w:sz w:val="24"/>
                <w:szCs w:val="24"/>
              </w:rPr>
              <w:t>年</w:t>
            </w:r>
          </w:p>
        </w:tc>
        <w:tc>
          <w:tcPr>
            <w:tcW w:w="2673" w:type="dxa"/>
            <w:vAlign w:val="center"/>
          </w:tcPr>
          <w:p w:rsidR="003F1D4E" w:rsidRDefault="00CA7DCE">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F1D4E" w:rsidRDefault="00CA7DC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F1D4E" w:rsidRDefault="00CA7DC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F1D4E" w:rsidRDefault="00CA7DC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F1D4E" w:rsidRDefault="00CA7DCE">
      <w:pPr>
        <w:spacing w:before="29" w:line="288" w:lineRule="auto"/>
        <w:ind w:firstLineChars="200" w:firstLine="480"/>
        <w:rPr>
          <w:color w:val="000000"/>
          <w:sz w:val="24"/>
          <w:szCs w:val="24"/>
        </w:rPr>
      </w:pPr>
      <w:r>
        <w:rPr>
          <w:color w:val="000000"/>
          <w:sz w:val="24"/>
          <w:szCs w:val="24"/>
        </w:rPr>
        <w:t>报告期内本公司严格执行公平交易制度，公平对待旗下各投资组合，未发现任何违反公平交易的行为。</w:t>
      </w:r>
    </w:p>
    <w:p w:rsidR="003F1D4E" w:rsidRDefault="003F1D4E">
      <w:pPr>
        <w:spacing w:before="29" w:line="288" w:lineRule="auto"/>
        <w:ind w:firstLineChars="200" w:firstLine="480"/>
        <w:rPr>
          <w:color w:val="000000"/>
          <w:sz w:val="24"/>
          <w:szCs w:val="24"/>
        </w:rPr>
      </w:pPr>
    </w:p>
    <w:p w:rsidR="003F1D4E" w:rsidRDefault="003F1D4E">
      <w:pPr>
        <w:spacing w:before="29" w:line="288" w:lineRule="auto"/>
        <w:ind w:firstLineChars="200" w:firstLine="480"/>
        <w:rPr>
          <w:color w:val="000000"/>
          <w:sz w:val="24"/>
          <w:szCs w:val="24"/>
        </w:rPr>
      </w:pPr>
    </w:p>
    <w:p w:rsidR="003F1D4E" w:rsidRDefault="003F1D4E">
      <w:pPr>
        <w:spacing w:before="29" w:line="288" w:lineRule="auto"/>
        <w:ind w:firstLineChars="200" w:firstLine="480"/>
        <w:rPr>
          <w:color w:val="000000"/>
          <w:sz w:val="24"/>
          <w:szCs w:val="24"/>
        </w:rPr>
      </w:pPr>
    </w:p>
    <w:p w:rsidR="003F1D4E" w:rsidRDefault="003F1D4E">
      <w:pPr>
        <w:spacing w:before="29" w:line="288" w:lineRule="auto"/>
        <w:ind w:firstLineChars="200" w:firstLine="480"/>
        <w:rPr>
          <w:color w:val="000000"/>
          <w:sz w:val="24"/>
          <w:szCs w:val="24"/>
        </w:rPr>
      </w:pPr>
    </w:p>
    <w:p w:rsidR="003F1D4E" w:rsidRDefault="003F1D4E">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F1D4E" w:rsidRDefault="00CA7DCE">
      <w:pPr>
        <w:spacing w:before="29" w:line="288" w:lineRule="auto"/>
        <w:ind w:firstLineChars="200" w:firstLine="480"/>
        <w:rPr>
          <w:color w:val="000000"/>
          <w:sz w:val="24"/>
          <w:szCs w:val="24"/>
        </w:rPr>
      </w:pPr>
      <w:r>
        <w:rPr>
          <w:color w:val="000000"/>
          <w:sz w:val="24"/>
          <w:szCs w:val="24"/>
        </w:rPr>
        <w:t>2017</w:t>
      </w:r>
      <w:r>
        <w:rPr>
          <w:color w:val="000000"/>
          <w:sz w:val="24"/>
          <w:szCs w:val="24"/>
        </w:rPr>
        <w:t>年三季度</w:t>
      </w:r>
      <w:r>
        <w:rPr>
          <w:color w:val="000000"/>
          <w:sz w:val="24"/>
          <w:szCs w:val="24"/>
        </w:rPr>
        <w:t>A</w:t>
      </w:r>
      <w:r>
        <w:rPr>
          <w:color w:val="000000"/>
          <w:sz w:val="24"/>
          <w:szCs w:val="24"/>
        </w:rPr>
        <w:t>股市场机会较多，上证指数上涨</w:t>
      </w:r>
      <w:r>
        <w:rPr>
          <w:color w:val="000000"/>
          <w:sz w:val="24"/>
          <w:szCs w:val="24"/>
        </w:rPr>
        <w:t>4.9%</w:t>
      </w:r>
      <w:r>
        <w:rPr>
          <w:color w:val="000000"/>
          <w:sz w:val="24"/>
          <w:szCs w:val="24"/>
        </w:rPr>
        <w:t>，创业板指数上涨</w:t>
      </w:r>
      <w:r>
        <w:rPr>
          <w:color w:val="000000"/>
          <w:sz w:val="24"/>
          <w:szCs w:val="24"/>
        </w:rPr>
        <w:t>2.7%</w:t>
      </w:r>
      <w:r>
        <w:rPr>
          <w:color w:val="000000"/>
          <w:sz w:val="24"/>
          <w:szCs w:val="24"/>
        </w:rPr>
        <w:t>。其中新能源车产业链、周期板块、白酒等上涨明显。</w:t>
      </w:r>
    </w:p>
    <w:p w:rsidR="003F1D4E" w:rsidRDefault="00CA7DCE">
      <w:pPr>
        <w:spacing w:before="29" w:line="288" w:lineRule="auto"/>
        <w:ind w:firstLineChars="200" w:firstLine="480"/>
        <w:rPr>
          <w:color w:val="000000"/>
          <w:sz w:val="24"/>
          <w:szCs w:val="24"/>
        </w:rPr>
      </w:pPr>
      <w:r>
        <w:rPr>
          <w:color w:val="000000"/>
          <w:sz w:val="24"/>
          <w:szCs w:val="24"/>
        </w:rPr>
        <w:t>本基金在三季度获得一定超额收益，主要原因在于部分周期性板块以及计算机服务、光通讯等成长类个股的配置带来的收益。</w:t>
      </w:r>
    </w:p>
    <w:p w:rsidR="003F1D4E" w:rsidRDefault="00CA7DCE">
      <w:pPr>
        <w:spacing w:before="29" w:line="288" w:lineRule="auto"/>
        <w:ind w:firstLineChars="200" w:firstLine="480"/>
        <w:rPr>
          <w:color w:val="000000"/>
          <w:sz w:val="24"/>
          <w:szCs w:val="24"/>
        </w:rPr>
      </w:pPr>
      <w:r>
        <w:rPr>
          <w:color w:val="000000"/>
          <w:sz w:val="24"/>
          <w:szCs w:val="24"/>
        </w:rPr>
        <w:t>三季度供给侧改革持续发力，同时叠加环保压力，使得部分工业品价格持续上涨，而行业中龙头企业则受益明显。三季度周期类公司的业绩明显超越市场预期。不过大量企业关停及限产，也影响了三季度工业增加值的恢复，使得经济增长速度略低于此前预期。我们预计后续经济增长仍具备较大韧性。在货币中性，特别是金融去杠杆较为稳定的环境下，市场流动性边际趋紧，市场大幅上涨较难，但大量优质成长股估值处于较合理甚至低估状态，市场大的下跌风险不大。市场整体预计震荡走势概率较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进入第四季度后，我们将把更多目光聚焦于明后年具有较大增长潜力的公司。而选择可持续成长的行业及公司，也一直是本基金主要的选股方式，如计算机服务、出版传媒、光通讯、一线景区酒店等未来几年仍将保持较快增长速度和前景的行业。我们将坚持挖掘具备持续成长性及竞争力的公司，并在合理的估值体系下进行配置，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1.809</w:t>
      </w:r>
      <w:r w:rsidRPr="00414345">
        <w:rPr>
          <w:color w:val="000000"/>
          <w:sz w:val="24"/>
          <w:szCs w:val="24"/>
        </w:rPr>
        <w:t>元，本报告期份额净值增长率为</w:t>
      </w:r>
      <w:r w:rsidRPr="00414345">
        <w:rPr>
          <w:color w:val="000000"/>
          <w:sz w:val="24"/>
          <w:szCs w:val="24"/>
        </w:rPr>
        <w:t>10.78%</w:t>
      </w:r>
      <w:r w:rsidRPr="00414345">
        <w:rPr>
          <w:color w:val="000000"/>
          <w:sz w:val="24"/>
          <w:szCs w:val="24"/>
        </w:rPr>
        <w:t>，同期业绩比较基准增长率为</w:t>
      </w:r>
      <w:r w:rsidRPr="00414345">
        <w:rPr>
          <w:color w:val="000000"/>
          <w:sz w:val="24"/>
          <w:szCs w:val="24"/>
        </w:rPr>
        <w:t>3.64%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697,174,067.37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697,174,067.37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29,966,052.60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29,966,052.60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92,853,358.65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18,571,739.52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838,565,218.14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410,890.00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324,745,600.33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1,591,393.44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29,640,950.00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68,650.23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32,364,136.99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138,963,377.46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5,180,243.90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830,460.00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171,484.30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40,347,094.18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27,866,445.18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94,883,961.36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109,380.00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697,174,067.37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84.11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F1D4E">
        <w:trPr>
          <w:jc w:val="center"/>
        </w:trPr>
        <w:tc>
          <w:tcPr>
            <w:tcW w:w="855" w:type="dxa"/>
            <w:vAlign w:val="center"/>
          </w:tcPr>
          <w:p w:rsidR="003F1D4E" w:rsidRDefault="00CA7DCE">
            <w:pPr>
              <w:jc w:val="center"/>
            </w:pPr>
            <w:r>
              <w:rPr>
                <w:color w:val="000000"/>
                <w:sz w:val="24"/>
                <w:szCs w:val="24"/>
              </w:rPr>
              <w:t>1</w:t>
            </w:r>
          </w:p>
        </w:tc>
        <w:tc>
          <w:tcPr>
            <w:tcW w:w="1334" w:type="dxa"/>
            <w:vAlign w:val="center"/>
          </w:tcPr>
          <w:p w:rsidR="003F1D4E" w:rsidRDefault="00CA7DCE">
            <w:pPr>
              <w:jc w:val="center"/>
            </w:pPr>
            <w:r>
              <w:rPr>
                <w:color w:val="000000"/>
                <w:sz w:val="24"/>
                <w:szCs w:val="24"/>
              </w:rPr>
              <w:t>300365</w:t>
            </w:r>
          </w:p>
        </w:tc>
        <w:tc>
          <w:tcPr>
            <w:tcW w:w="1777" w:type="dxa"/>
            <w:vAlign w:val="center"/>
          </w:tcPr>
          <w:p w:rsidR="003F1D4E" w:rsidRDefault="00CA7DCE">
            <w:pPr>
              <w:jc w:val="center"/>
            </w:pPr>
            <w:r>
              <w:rPr>
                <w:color w:val="000000"/>
                <w:sz w:val="24"/>
                <w:szCs w:val="24"/>
              </w:rPr>
              <w:t>恒华科技</w:t>
            </w:r>
          </w:p>
        </w:tc>
        <w:tc>
          <w:tcPr>
            <w:tcW w:w="1334" w:type="dxa"/>
            <w:vAlign w:val="center"/>
          </w:tcPr>
          <w:p w:rsidR="003F1D4E" w:rsidRDefault="00CA7DCE">
            <w:pPr>
              <w:jc w:val="right"/>
            </w:pPr>
            <w:r>
              <w:rPr>
                <w:color w:val="000000"/>
                <w:sz w:val="24"/>
                <w:szCs w:val="24"/>
              </w:rPr>
              <w:t>1,799,722</w:t>
            </w:r>
          </w:p>
        </w:tc>
        <w:tc>
          <w:tcPr>
            <w:tcW w:w="1924" w:type="dxa"/>
            <w:vAlign w:val="center"/>
          </w:tcPr>
          <w:p w:rsidR="003F1D4E" w:rsidRDefault="00CA7DCE">
            <w:pPr>
              <w:jc w:val="right"/>
            </w:pPr>
            <w:r>
              <w:rPr>
                <w:color w:val="000000"/>
                <w:sz w:val="24"/>
                <w:szCs w:val="24"/>
              </w:rPr>
              <w:t>67,435,583.34</w:t>
            </w:r>
          </w:p>
        </w:tc>
        <w:tc>
          <w:tcPr>
            <w:tcW w:w="1644" w:type="dxa"/>
            <w:vAlign w:val="center"/>
          </w:tcPr>
          <w:p w:rsidR="003F1D4E" w:rsidRDefault="00CA7DCE">
            <w:pPr>
              <w:jc w:val="right"/>
            </w:pPr>
            <w:r>
              <w:rPr>
                <w:color w:val="000000"/>
                <w:sz w:val="24"/>
                <w:szCs w:val="24"/>
              </w:rPr>
              <w:t>8.14</w:t>
            </w:r>
          </w:p>
        </w:tc>
      </w:tr>
      <w:tr w:rsidR="003F1D4E">
        <w:trPr>
          <w:jc w:val="center"/>
        </w:trPr>
        <w:tc>
          <w:tcPr>
            <w:tcW w:w="855" w:type="dxa"/>
            <w:vAlign w:val="center"/>
          </w:tcPr>
          <w:p w:rsidR="003F1D4E" w:rsidRDefault="00CA7DCE">
            <w:pPr>
              <w:jc w:val="center"/>
            </w:pPr>
            <w:r>
              <w:rPr>
                <w:color w:val="000000"/>
                <w:sz w:val="24"/>
                <w:szCs w:val="24"/>
              </w:rPr>
              <w:t>2</w:t>
            </w:r>
          </w:p>
        </w:tc>
        <w:tc>
          <w:tcPr>
            <w:tcW w:w="1334" w:type="dxa"/>
            <w:vAlign w:val="center"/>
          </w:tcPr>
          <w:p w:rsidR="003F1D4E" w:rsidRDefault="00CA7DCE">
            <w:pPr>
              <w:jc w:val="center"/>
            </w:pPr>
            <w:r>
              <w:rPr>
                <w:color w:val="000000"/>
                <w:sz w:val="24"/>
                <w:szCs w:val="24"/>
              </w:rPr>
              <w:t>002343</w:t>
            </w:r>
          </w:p>
        </w:tc>
        <w:tc>
          <w:tcPr>
            <w:tcW w:w="1777" w:type="dxa"/>
            <w:vAlign w:val="center"/>
          </w:tcPr>
          <w:p w:rsidR="003F1D4E" w:rsidRDefault="00CA7DCE">
            <w:pPr>
              <w:jc w:val="center"/>
            </w:pPr>
            <w:r>
              <w:rPr>
                <w:color w:val="000000"/>
                <w:sz w:val="24"/>
                <w:szCs w:val="24"/>
              </w:rPr>
              <w:t>慈文传媒</w:t>
            </w:r>
          </w:p>
        </w:tc>
        <w:tc>
          <w:tcPr>
            <w:tcW w:w="1334" w:type="dxa"/>
            <w:vAlign w:val="center"/>
          </w:tcPr>
          <w:p w:rsidR="003F1D4E" w:rsidRDefault="00CA7DCE">
            <w:pPr>
              <w:jc w:val="right"/>
            </w:pPr>
            <w:r>
              <w:rPr>
                <w:color w:val="000000"/>
                <w:sz w:val="24"/>
                <w:szCs w:val="24"/>
              </w:rPr>
              <w:t>1,475,837</w:t>
            </w:r>
          </w:p>
        </w:tc>
        <w:tc>
          <w:tcPr>
            <w:tcW w:w="1924" w:type="dxa"/>
            <w:vAlign w:val="center"/>
          </w:tcPr>
          <w:p w:rsidR="003F1D4E" w:rsidRDefault="00CA7DCE">
            <w:pPr>
              <w:jc w:val="right"/>
            </w:pPr>
            <w:r>
              <w:rPr>
                <w:color w:val="000000"/>
                <w:sz w:val="24"/>
                <w:szCs w:val="24"/>
              </w:rPr>
              <w:t>57,129,650.27</w:t>
            </w:r>
          </w:p>
        </w:tc>
        <w:tc>
          <w:tcPr>
            <w:tcW w:w="1644" w:type="dxa"/>
            <w:vAlign w:val="center"/>
          </w:tcPr>
          <w:p w:rsidR="003F1D4E" w:rsidRDefault="00CA7DCE">
            <w:pPr>
              <w:jc w:val="right"/>
            </w:pPr>
            <w:r>
              <w:rPr>
                <w:color w:val="000000"/>
                <w:sz w:val="24"/>
                <w:szCs w:val="24"/>
              </w:rPr>
              <w:t>6.89</w:t>
            </w:r>
          </w:p>
        </w:tc>
      </w:tr>
      <w:tr w:rsidR="003F1D4E">
        <w:trPr>
          <w:jc w:val="center"/>
        </w:trPr>
        <w:tc>
          <w:tcPr>
            <w:tcW w:w="855" w:type="dxa"/>
            <w:vAlign w:val="center"/>
          </w:tcPr>
          <w:p w:rsidR="003F1D4E" w:rsidRDefault="00CA7DCE">
            <w:pPr>
              <w:jc w:val="center"/>
            </w:pPr>
            <w:r>
              <w:rPr>
                <w:color w:val="000000"/>
                <w:sz w:val="24"/>
                <w:szCs w:val="24"/>
              </w:rPr>
              <w:t>3</w:t>
            </w:r>
          </w:p>
        </w:tc>
        <w:tc>
          <w:tcPr>
            <w:tcW w:w="1334" w:type="dxa"/>
            <w:vAlign w:val="center"/>
          </w:tcPr>
          <w:p w:rsidR="003F1D4E" w:rsidRDefault="00CA7DCE">
            <w:pPr>
              <w:jc w:val="center"/>
            </w:pPr>
            <w:r>
              <w:rPr>
                <w:color w:val="000000"/>
                <w:sz w:val="24"/>
                <w:szCs w:val="24"/>
              </w:rPr>
              <w:t>300271</w:t>
            </w:r>
          </w:p>
        </w:tc>
        <w:tc>
          <w:tcPr>
            <w:tcW w:w="1777" w:type="dxa"/>
            <w:vAlign w:val="center"/>
          </w:tcPr>
          <w:p w:rsidR="003F1D4E" w:rsidRDefault="00CA7DCE">
            <w:pPr>
              <w:jc w:val="center"/>
            </w:pPr>
            <w:r>
              <w:rPr>
                <w:color w:val="000000"/>
                <w:sz w:val="24"/>
                <w:szCs w:val="24"/>
              </w:rPr>
              <w:t>华宇软件</w:t>
            </w:r>
          </w:p>
        </w:tc>
        <w:tc>
          <w:tcPr>
            <w:tcW w:w="1334" w:type="dxa"/>
            <w:vAlign w:val="center"/>
          </w:tcPr>
          <w:p w:rsidR="003F1D4E" w:rsidRDefault="00CA7DCE">
            <w:pPr>
              <w:jc w:val="right"/>
            </w:pPr>
            <w:r>
              <w:rPr>
                <w:color w:val="000000"/>
                <w:sz w:val="24"/>
                <w:szCs w:val="24"/>
              </w:rPr>
              <w:t>2,883,562</w:t>
            </w:r>
          </w:p>
        </w:tc>
        <w:tc>
          <w:tcPr>
            <w:tcW w:w="1924" w:type="dxa"/>
            <w:vAlign w:val="center"/>
          </w:tcPr>
          <w:p w:rsidR="003F1D4E" w:rsidRDefault="00CA7DCE">
            <w:pPr>
              <w:jc w:val="right"/>
            </w:pPr>
            <w:r>
              <w:rPr>
                <w:color w:val="000000"/>
                <w:sz w:val="24"/>
                <w:szCs w:val="24"/>
              </w:rPr>
              <w:t>45,185,416.54</w:t>
            </w:r>
          </w:p>
        </w:tc>
        <w:tc>
          <w:tcPr>
            <w:tcW w:w="1644" w:type="dxa"/>
            <w:vAlign w:val="center"/>
          </w:tcPr>
          <w:p w:rsidR="003F1D4E" w:rsidRDefault="00CA7DCE">
            <w:pPr>
              <w:jc w:val="right"/>
            </w:pPr>
            <w:r>
              <w:rPr>
                <w:color w:val="000000"/>
                <w:sz w:val="24"/>
                <w:szCs w:val="24"/>
              </w:rPr>
              <w:t>5.45</w:t>
            </w:r>
          </w:p>
        </w:tc>
      </w:tr>
      <w:tr w:rsidR="003F1D4E">
        <w:trPr>
          <w:jc w:val="center"/>
        </w:trPr>
        <w:tc>
          <w:tcPr>
            <w:tcW w:w="855" w:type="dxa"/>
            <w:vAlign w:val="center"/>
          </w:tcPr>
          <w:p w:rsidR="003F1D4E" w:rsidRDefault="00CA7DCE">
            <w:pPr>
              <w:jc w:val="center"/>
            </w:pPr>
            <w:r>
              <w:rPr>
                <w:color w:val="000000"/>
                <w:sz w:val="24"/>
                <w:szCs w:val="24"/>
              </w:rPr>
              <w:t>4</w:t>
            </w:r>
          </w:p>
        </w:tc>
        <w:tc>
          <w:tcPr>
            <w:tcW w:w="1334" w:type="dxa"/>
            <w:vAlign w:val="center"/>
          </w:tcPr>
          <w:p w:rsidR="003F1D4E" w:rsidRDefault="00CA7DCE">
            <w:pPr>
              <w:jc w:val="center"/>
            </w:pPr>
            <w:r>
              <w:rPr>
                <w:color w:val="000000"/>
                <w:sz w:val="24"/>
                <w:szCs w:val="24"/>
              </w:rPr>
              <w:t>002045</w:t>
            </w:r>
          </w:p>
        </w:tc>
        <w:tc>
          <w:tcPr>
            <w:tcW w:w="1777" w:type="dxa"/>
            <w:vAlign w:val="center"/>
          </w:tcPr>
          <w:p w:rsidR="003F1D4E" w:rsidRDefault="00CA7DCE">
            <w:pPr>
              <w:jc w:val="center"/>
            </w:pPr>
            <w:r>
              <w:rPr>
                <w:color w:val="000000"/>
                <w:sz w:val="24"/>
                <w:szCs w:val="24"/>
              </w:rPr>
              <w:t>国光电器</w:t>
            </w:r>
          </w:p>
        </w:tc>
        <w:tc>
          <w:tcPr>
            <w:tcW w:w="1334" w:type="dxa"/>
            <w:vAlign w:val="center"/>
          </w:tcPr>
          <w:p w:rsidR="003F1D4E" w:rsidRDefault="00CA7DCE">
            <w:pPr>
              <w:jc w:val="right"/>
            </w:pPr>
            <w:r>
              <w:rPr>
                <w:color w:val="000000"/>
                <w:sz w:val="24"/>
                <w:szCs w:val="24"/>
              </w:rPr>
              <w:t>2,360,746</w:t>
            </w:r>
          </w:p>
        </w:tc>
        <w:tc>
          <w:tcPr>
            <w:tcW w:w="1924" w:type="dxa"/>
            <w:vAlign w:val="center"/>
          </w:tcPr>
          <w:p w:rsidR="003F1D4E" w:rsidRDefault="00CA7DCE">
            <w:pPr>
              <w:jc w:val="right"/>
            </w:pPr>
            <w:r>
              <w:rPr>
                <w:color w:val="000000"/>
                <w:sz w:val="24"/>
                <w:szCs w:val="24"/>
              </w:rPr>
              <w:t>40,699,261.04</w:t>
            </w:r>
          </w:p>
        </w:tc>
        <w:tc>
          <w:tcPr>
            <w:tcW w:w="1644" w:type="dxa"/>
            <w:vAlign w:val="center"/>
          </w:tcPr>
          <w:p w:rsidR="003F1D4E" w:rsidRDefault="00CA7DCE">
            <w:pPr>
              <w:jc w:val="right"/>
            </w:pPr>
            <w:r>
              <w:rPr>
                <w:color w:val="000000"/>
                <w:sz w:val="24"/>
                <w:szCs w:val="24"/>
              </w:rPr>
              <w:t>4.91</w:t>
            </w:r>
          </w:p>
        </w:tc>
      </w:tr>
      <w:tr w:rsidR="003F1D4E">
        <w:trPr>
          <w:jc w:val="center"/>
        </w:trPr>
        <w:tc>
          <w:tcPr>
            <w:tcW w:w="855" w:type="dxa"/>
            <w:vAlign w:val="center"/>
          </w:tcPr>
          <w:p w:rsidR="003F1D4E" w:rsidRDefault="00CA7DCE">
            <w:pPr>
              <w:jc w:val="center"/>
            </w:pPr>
            <w:r>
              <w:rPr>
                <w:color w:val="000000"/>
                <w:sz w:val="24"/>
                <w:szCs w:val="24"/>
              </w:rPr>
              <w:t>5</w:t>
            </w:r>
          </w:p>
        </w:tc>
        <w:tc>
          <w:tcPr>
            <w:tcW w:w="1334" w:type="dxa"/>
            <w:vAlign w:val="center"/>
          </w:tcPr>
          <w:p w:rsidR="003F1D4E" w:rsidRDefault="00CA7DCE">
            <w:pPr>
              <w:jc w:val="center"/>
            </w:pPr>
            <w:r>
              <w:rPr>
                <w:color w:val="000000"/>
                <w:sz w:val="24"/>
                <w:szCs w:val="24"/>
              </w:rPr>
              <w:t>600054</w:t>
            </w:r>
          </w:p>
        </w:tc>
        <w:tc>
          <w:tcPr>
            <w:tcW w:w="1777" w:type="dxa"/>
            <w:vAlign w:val="center"/>
          </w:tcPr>
          <w:p w:rsidR="003F1D4E" w:rsidRDefault="00CA7DCE">
            <w:pPr>
              <w:jc w:val="center"/>
            </w:pPr>
            <w:r>
              <w:rPr>
                <w:color w:val="000000"/>
                <w:sz w:val="24"/>
                <w:szCs w:val="24"/>
              </w:rPr>
              <w:t>黄山旅游</w:t>
            </w:r>
          </w:p>
        </w:tc>
        <w:tc>
          <w:tcPr>
            <w:tcW w:w="1334" w:type="dxa"/>
            <w:vAlign w:val="center"/>
          </w:tcPr>
          <w:p w:rsidR="003F1D4E" w:rsidRDefault="00CA7DCE">
            <w:pPr>
              <w:jc w:val="right"/>
            </w:pPr>
            <w:r>
              <w:rPr>
                <w:color w:val="000000"/>
                <w:sz w:val="24"/>
                <w:szCs w:val="24"/>
              </w:rPr>
              <w:t>2,258,757</w:t>
            </w:r>
          </w:p>
        </w:tc>
        <w:tc>
          <w:tcPr>
            <w:tcW w:w="1924" w:type="dxa"/>
            <w:vAlign w:val="center"/>
          </w:tcPr>
          <w:p w:rsidR="003F1D4E" w:rsidRDefault="00CA7DCE">
            <w:pPr>
              <w:jc w:val="right"/>
            </w:pPr>
            <w:r>
              <w:rPr>
                <w:color w:val="000000"/>
                <w:sz w:val="24"/>
                <w:szCs w:val="24"/>
              </w:rPr>
              <w:t>38,172,993.30</w:t>
            </w:r>
          </w:p>
        </w:tc>
        <w:tc>
          <w:tcPr>
            <w:tcW w:w="1644" w:type="dxa"/>
            <w:vAlign w:val="center"/>
          </w:tcPr>
          <w:p w:rsidR="003F1D4E" w:rsidRDefault="00CA7DCE">
            <w:pPr>
              <w:jc w:val="right"/>
            </w:pPr>
            <w:r>
              <w:rPr>
                <w:color w:val="000000"/>
                <w:sz w:val="24"/>
                <w:szCs w:val="24"/>
              </w:rPr>
              <w:t>4.61</w:t>
            </w:r>
          </w:p>
        </w:tc>
      </w:tr>
      <w:tr w:rsidR="003F1D4E">
        <w:trPr>
          <w:jc w:val="center"/>
        </w:trPr>
        <w:tc>
          <w:tcPr>
            <w:tcW w:w="855" w:type="dxa"/>
            <w:vAlign w:val="center"/>
          </w:tcPr>
          <w:p w:rsidR="003F1D4E" w:rsidRDefault="00CA7DCE">
            <w:pPr>
              <w:jc w:val="center"/>
            </w:pPr>
            <w:r>
              <w:rPr>
                <w:color w:val="000000"/>
                <w:sz w:val="24"/>
                <w:szCs w:val="24"/>
              </w:rPr>
              <w:t>6</w:t>
            </w:r>
          </w:p>
        </w:tc>
        <w:tc>
          <w:tcPr>
            <w:tcW w:w="1334" w:type="dxa"/>
            <w:vAlign w:val="center"/>
          </w:tcPr>
          <w:p w:rsidR="003F1D4E" w:rsidRDefault="00CA7DCE">
            <w:pPr>
              <w:jc w:val="center"/>
            </w:pPr>
            <w:r>
              <w:rPr>
                <w:color w:val="000000"/>
                <w:sz w:val="24"/>
                <w:szCs w:val="24"/>
              </w:rPr>
              <w:t>603096</w:t>
            </w:r>
          </w:p>
        </w:tc>
        <w:tc>
          <w:tcPr>
            <w:tcW w:w="1777" w:type="dxa"/>
            <w:vAlign w:val="center"/>
          </w:tcPr>
          <w:p w:rsidR="003F1D4E" w:rsidRDefault="00CA7DCE">
            <w:pPr>
              <w:jc w:val="center"/>
            </w:pPr>
            <w:r>
              <w:rPr>
                <w:color w:val="000000"/>
                <w:sz w:val="24"/>
                <w:szCs w:val="24"/>
              </w:rPr>
              <w:t>新经典</w:t>
            </w:r>
          </w:p>
        </w:tc>
        <w:tc>
          <w:tcPr>
            <w:tcW w:w="1334" w:type="dxa"/>
            <w:vAlign w:val="center"/>
          </w:tcPr>
          <w:p w:rsidR="003F1D4E" w:rsidRDefault="00CA7DCE">
            <w:pPr>
              <w:jc w:val="right"/>
            </w:pPr>
            <w:r>
              <w:rPr>
                <w:color w:val="000000"/>
                <w:sz w:val="24"/>
                <w:szCs w:val="24"/>
              </w:rPr>
              <w:t>628,188</w:t>
            </w:r>
          </w:p>
        </w:tc>
        <w:tc>
          <w:tcPr>
            <w:tcW w:w="1924" w:type="dxa"/>
            <w:vAlign w:val="center"/>
          </w:tcPr>
          <w:p w:rsidR="003F1D4E" w:rsidRDefault="00CA7DCE">
            <w:pPr>
              <w:jc w:val="right"/>
            </w:pPr>
            <w:r>
              <w:rPr>
                <w:color w:val="000000"/>
                <w:sz w:val="24"/>
                <w:szCs w:val="24"/>
              </w:rPr>
              <w:t>37,741,535.04</w:t>
            </w:r>
          </w:p>
        </w:tc>
        <w:tc>
          <w:tcPr>
            <w:tcW w:w="1644" w:type="dxa"/>
            <w:vAlign w:val="center"/>
          </w:tcPr>
          <w:p w:rsidR="003F1D4E" w:rsidRDefault="00CA7DCE">
            <w:pPr>
              <w:jc w:val="right"/>
            </w:pPr>
            <w:r>
              <w:rPr>
                <w:color w:val="000000"/>
                <w:sz w:val="24"/>
                <w:szCs w:val="24"/>
              </w:rPr>
              <w:t>4.55</w:t>
            </w:r>
          </w:p>
        </w:tc>
      </w:tr>
      <w:tr w:rsidR="003F1D4E">
        <w:trPr>
          <w:jc w:val="center"/>
        </w:trPr>
        <w:tc>
          <w:tcPr>
            <w:tcW w:w="855" w:type="dxa"/>
            <w:vAlign w:val="center"/>
          </w:tcPr>
          <w:p w:rsidR="003F1D4E" w:rsidRDefault="00CA7DCE">
            <w:pPr>
              <w:jc w:val="center"/>
            </w:pPr>
            <w:r>
              <w:rPr>
                <w:color w:val="000000"/>
                <w:sz w:val="24"/>
                <w:szCs w:val="24"/>
              </w:rPr>
              <w:t>7</w:t>
            </w:r>
          </w:p>
        </w:tc>
        <w:tc>
          <w:tcPr>
            <w:tcW w:w="1334" w:type="dxa"/>
            <w:vAlign w:val="center"/>
          </w:tcPr>
          <w:p w:rsidR="003F1D4E" w:rsidRDefault="00CA7DCE">
            <w:pPr>
              <w:jc w:val="center"/>
            </w:pPr>
            <w:r>
              <w:rPr>
                <w:color w:val="000000"/>
                <w:sz w:val="24"/>
                <w:szCs w:val="24"/>
              </w:rPr>
              <w:t>300308</w:t>
            </w:r>
          </w:p>
        </w:tc>
        <w:tc>
          <w:tcPr>
            <w:tcW w:w="1777" w:type="dxa"/>
            <w:vAlign w:val="center"/>
          </w:tcPr>
          <w:p w:rsidR="003F1D4E" w:rsidRDefault="00CA7DCE">
            <w:pPr>
              <w:jc w:val="center"/>
            </w:pPr>
            <w:r>
              <w:rPr>
                <w:color w:val="000000"/>
                <w:sz w:val="24"/>
                <w:szCs w:val="24"/>
              </w:rPr>
              <w:t>中际装备</w:t>
            </w:r>
          </w:p>
        </w:tc>
        <w:tc>
          <w:tcPr>
            <w:tcW w:w="1334" w:type="dxa"/>
            <w:vAlign w:val="center"/>
          </w:tcPr>
          <w:p w:rsidR="003F1D4E" w:rsidRDefault="00CA7DCE">
            <w:pPr>
              <w:jc w:val="right"/>
            </w:pPr>
            <w:r>
              <w:rPr>
                <w:color w:val="000000"/>
                <w:sz w:val="24"/>
                <w:szCs w:val="24"/>
              </w:rPr>
              <w:t>696,387</w:t>
            </w:r>
          </w:p>
        </w:tc>
        <w:tc>
          <w:tcPr>
            <w:tcW w:w="1924" w:type="dxa"/>
            <w:vAlign w:val="center"/>
          </w:tcPr>
          <w:p w:rsidR="003F1D4E" w:rsidRDefault="00CA7DCE">
            <w:pPr>
              <w:jc w:val="right"/>
            </w:pPr>
            <w:r>
              <w:rPr>
                <w:color w:val="000000"/>
                <w:sz w:val="24"/>
                <w:szCs w:val="24"/>
              </w:rPr>
              <w:t>33,837,444.33</w:t>
            </w:r>
          </w:p>
        </w:tc>
        <w:tc>
          <w:tcPr>
            <w:tcW w:w="1644" w:type="dxa"/>
            <w:vAlign w:val="center"/>
          </w:tcPr>
          <w:p w:rsidR="003F1D4E" w:rsidRDefault="00CA7DCE">
            <w:pPr>
              <w:jc w:val="right"/>
            </w:pPr>
            <w:r>
              <w:rPr>
                <w:color w:val="000000"/>
                <w:sz w:val="24"/>
                <w:szCs w:val="24"/>
              </w:rPr>
              <w:t>4.08</w:t>
            </w:r>
          </w:p>
        </w:tc>
      </w:tr>
      <w:tr w:rsidR="003F1D4E">
        <w:trPr>
          <w:jc w:val="center"/>
        </w:trPr>
        <w:tc>
          <w:tcPr>
            <w:tcW w:w="855" w:type="dxa"/>
            <w:vAlign w:val="center"/>
          </w:tcPr>
          <w:p w:rsidR="003F1D4E" w:rsidRDefault="00CA7DCE">
            <w:pPr>
              <w:jc w:val="center"/>
            </w:pPr>
            <w:r>
              <w:rPr>
                <w:color w:val="000000"/>
                <w:sz w:val="24"/>
                <w:szCs w:val="24"/>
              </w:rPr>
              <w:t>8</w:t>
            </w:r>
          </w:p>
        </w:tc>
        <w:tc>
          <w:tcPr>
            <w:tcW w:w="1334" w:type="dxa"/>
            <w:vAlign w:val="center"/>
          </w:tcPr>
          <w:p w:rsidR="003F1D4E" w:rsidRDefault="00CA7DCE">
            <w:pPr>
              <w:jc w:val="center"/>
            </w:pPr>
            <w:r>
              <w:rPr>
                <w:color w:val="000000"/>
                <w:sz w:val="24"/>
                <w:szCs w:val="24"/>
              </w:rPr>
              <w:t>300502</w:t>
            </w:r>
          </w:p>
        </w:tc>
        <w:tc>
          <w:tcPr>
            <w:tcW w:w="1777" w:type="dxa"/>
            <w:vAlign w:val="center"/>
          </w:tcPr>
          <w:p w:rsidR="003F1D4E" w:rsidRDefault="00CA7DCE">
            <w:pPr>
              <w:jc w:val="center"/>
            </w:pPr>
            <w:r>
              <w:rPr>
                <w:color w:val="000000"/>
                <w:sz w:val="24"/>
                <w:szCs w:val="24"/>
              </w:rPr>
              <w:t>新易盛</w:t>
            </w:r>
          </w:p>
        </w:tc>
        <w:tc>
          <w:tcPr>
            <w:tcW w:w="1334" w:type="dxa"/>
            <w:vAlign w:val="center"/>
          </w:tcPr>
          <w:p w:rsidR="003F1D4E" w:rsidRDefault="00CA7DCE">
            <w:pPr>
              <w:jc w:val="right"/>
            </w:pPr>
            <w:r>
              <w:rPr>
                <w:color w:val="000000"/>
                <w:sz w:val="24"/>
                <w:szCs w:val="24"/>
              </w:rPr>
              <w:t>933,366</w:t>
            </w:r>
          </w:p>
        </w:tc>
        <w:tc>
          <w:tcPr>
            <w:tcW w:w="1924" w:type="dxa"/>
            <w:vAlign w:val="center"/>
          </w:tcPr>
          <w:p w:rsidR="003F1D4E" w:rsidRDefault="00CA7DCE">
            <w:pPr>
              <w:jc w:val="right"/>
            </w:pPr>
            <w:r>
              <w:rPr>
                <w:color w:val="000000"/>
                <w:sz w:val="24"/>
                <w:szCs w:val="24"/>
              </w:rPr>
              <w:t>31,911,783.54</w:t>
            </w:r>
          </w:p>
        </w:tc>
        <w:tc>
          <w:tcPr>
            <w:tcW w:w="1644" w:type="dxa"/>
            <w:vAlign w:val="center"/>
          </w:tcPr>
          <w:p w:rsidR="003F1D4E" w:rsidRDefault="00CA7DCE">
            <w:pPr>
              <w:jc w:val="right"/>
            </w:pPr>
            <w:r>
              <w:rPr>
                <w:color w:val="000000"/>
                <w:sz w:val="24"/>
                <w:szCs w:val="24"/>
              </w:rPr>
              <w:t>3.85</w:t>
            </w:r>
          </w:p>
        </w:tc>
      </w:tr>
      <w:tr w:rsidR="003F1D4E">
        <w:trPr>
          <w:jc w:val="center"/>
        </w:trPr>
        <w:tc>
          <w:tcPr>
            <w:tcW w:w="855" w:type="dxa"/>
            <w:vAlign w:val="center"/>
          </w:tcPr>
          <w:p w:rsidR="003F1D4E" w:rsidRDefault="00CA7DCE">
            <w:pPr>
              <w:jc w:val="center"/>
            </w:pPr>
            <w:r>
              <w:rPr>
                <w:color w:val="000000"/>
                <w:sz w:val="24"/>
                <w:szCs w:val="24"/>
              </w:rPr>
              <w:t>9</w:t>
            </w:r>
          </w:p>
        </w:tc>
        <w:tc>
          <w:tcPr>
            <w:tcW w:w="1334" w:type="dxa"/>
            <w:vAlign w:val="center"/>
          </w:tcPr>
          <w:p w:rsidR="003F1D4E" w:rsidRDefault="00CA7DCE">
            <w:pPr>
              <w:jc w:val="center"/>
            </w:pPr>
            <w:r>
              <w:rPr>
                <w:color w:val="000000"/>
                <w:sz w:val="24"/>
                <w:szCs w:val="24"/>
              </w:rPr>
              <w:t>002120</w:t>
            </w:r>
          </w:p>
        </w:tc>
        <w:tc>
          <w:tcPr>
            <w:tcW w:w="1777" w:type="dxa"/>
            <w:vAlign w:val="center"/>
          </w:tcPr>
          <w:p w:rsidR="003F1D4E" w:rsidRDefault="00CA7DCE">
            <w:pPr>
              <w:jc w:val="center"/>
            </w:pPr>
            <w:r>
              <w:rPr>
                <w:color w:val="000000"/>
                <w:sz w:val="24"/>
                <w:szCs w:val="24"/>
              </w:rPr>
              <w:t>韵达股份</w:t>
            </w:r>
          </w:p>
        </w:tc>
        <w:tc>
          <w:tcPr>
            <w:tcW w:w="1334" w:type="dxa"/>
            <w:vAlign w:val="center"/>
          </w:tcPr>
          <w:p w:rsidR="003F1D4E" w:rsidRDefault="00CA7DCE">
            <w:pPr>
              <w:jc w:val="right"/>
            </w:pPr>
            <w:r>
              <w:rPr>
                <w:color w:val="000000"/>
                <w:sz w:val="24"/>
                <w:szCs w:val="24"/>
              </w:rPr>
              <w:t>684,546</w:t>
            </w:r>
          </w:p>
        </w:tc>
        <w:tc>
          <w:tcPr>
            <w:tcW w:w="1924" w:type="dxa"/>
            <w:vAlign w:val="center"/>
          </w:tcPr>
          <w:p w:rsidR="003F1D4E" w:rsidRDefault="00CA7DCE">
            <w:pPr>
              <w:jc w:val="right"/>
            </w:pPr>
            <w:r>
              <w:rPr>
                <w:color w:val="000000"/>
                <w:sz w:val="24"/>
                <w:szCs w:val="24"/>
              </w:rPr>
              <w:t>31,543,879.68</w:t>
            </w:r>
          </w:p>
        </w:tc>
        <w:tc>
          <w:tcPr>
            <w:tcW w:w="1644" w:type="dxa"/>
            <w:vAlign w:val="center"/>
          </w:tcPr>
          <w:p w:rsidR="003F1D4E" w:rsidRDefault="00CA7DCE">
            <w:pPr>
              <w:jc w:val="right"/>
            </w:pPr>
            <w:r>
              <w:rPr>
                <w:color w:val="000000"/>
                <w:sz w:val="24"/>
                <w:szCs w:val="24"/>
              </w:rPr>
              <w:t>3.81</w:t>
            </w:r>
          </w:p>
        </w:tc>
      </w:tr>
      <w:tr w:rsidR="003F1D4E">
        <w:trPr>
          <w:jc w:val="center"/>
        </w:trPr>
        <w:tc>
          <w:tcPr>
            <w:tcW w:w="855" w:type="dxa"/>
            <w:vAlign w:val="center"/>
          </w:tcPr>
          <w:p w:rsidR="003F1D4E" w:rsidRDefault="00CA7DCE">
            <w:pPr>
              <w:jc w:val="center"/>
            </w:pPr>
            <w:r>
              <w:rPr>
                <w:color w:val="000000"/>
                <w:sz w:val="24"/>
                <w:szCs w:val="24"/>
              </w:rPr>
              <w:t>10</w:t>
            </w:r>
          </w:p>
        </w:tc>
        <w:tc>
          <w:tcPr>
            <w:tcW w:w="1334" w:type="dxa"/>
            <w:vAlign w:val="center"/>
          </w:tcPr>
          <w:p w:rsidR="003F1D4E" w:rsidRDefault="00CA7DCE">
            <w:pPr>
              <w:jc w:val="center"/>
            </w:pPr>
            <w:r>
              <w:rPr>
                <w:color w:val="000000"/>
                <w:sz w:val="24"/>
                <w:szCs w:val="24"/>
              </w:rPr>
              <w:t>300347</w:t>
            </w:r>
          </w:p>
        </w:tc>
        <w:tc>
          <w:tcPr>
            <w:tcW w:w="1777" w:type="dxa"/>
            <w:vAlign w:val="center"/>
          </w:tcPr>
          <w:p w:rsidR="003F1D4E" w:rsidRDefault="00CA7DCE">
            <w:pPr>
              <w:jc w:val="center"/>
            </w:pPr>
            <w:r>
              <w:rPr>
                <w:color w:val="000000"/>
                <w:sz w:val="24"/>
                <w:szCs w:val="24"/>
              </w:rPr>
              <w:t>泰格医药</w:t>
            </w:r>
          </w:p>
        </w:tc>
        <w:tc>
          <w:tcPr>
            <w:tcW w:w="1334" w:type="dxa"/>
            <w:vAlign w:val="center"/>
          </w:tcPr>
          <w:p w:rsidR="003F1D4E" w:rsidRDefault="00CA7DCE">
            <w:pPr>
              <w:jc w:val="right"/>
            </w:pPr>
            <w:r>
              <w:rPr>
                <w:color w:val="000000"/>
                <w:sz w:val="24"/>
                <w:szCs w:val="24"/>
              </w:rPr>
              <w:t>957,927</w:t>
            </w:r>
          </w:p>
        </w:tc>
        <w:tc>
          <w:tcPr>
            <w:tcW w:w="1924" w:type="dxa"/>
            <w:vAlign w:val="center"/>
          </w:tcPr>
          <w:p w:rsidR="003F1D4E" w:rsidRDefault="00CA7DCE">
            <w:pPr>
              <w:jc w:val="right"/>
            </w:pPr>
            <w:r>
              <w:rPr>
                <w:color w:val="000000"/>
                <w:sz w:val="24"/>
                <w:szCs w:val="24"/>
              </w:rPr>
              <w:t>27,751,145.19</w:t>
            </w:r>
          </w:p>
        </w:tc>
        <w:tc>
          <w:tcPr>
            <w:tcW w:w="1644" w:type="dxa"/>
            <w:vAlign w:val="center"/>
          </w:tcPr>
          <w:p w:rsidR="003F1D4E" w:rsidRDefault="00CA7DCE">
            <w:pPr>
              <w:jc w:val="right"/>
            </w:pPr>
            <w:r>
              <w:rPr>
                <w:color w:val="000000"/>
                <w:sz w:val="24"/>
                <w:szCs w:val="24"/>
              </w:rPr>
              <w:t>3.35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29,907,000.00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29,907,000.00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59,052.60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29,966,052.60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F1D4E">
        <w:trPr>
          <w:jc w:val="center"/>
        </w:trPr>
        <w:tc>
          <w:tcPr>
            <w:tcW w:w="850" w:type="dxa"/>
            <w:vAlign w:val="center"/>
          </w:tcPr>
          <w:p w:rsidR="003F1D4E" w:rsidRDefault="00CA7DCE">
            <w:pPr>
              <w:jc w:val="center"/>
            </w:pPr>
            <w:r>
              <w:rPr>
                <w:color w:val="000000"/>
                <w:sz w:val="24"/>
                <w:szCs w:val="24"/>
              </w:rPr>
              <w:t>1</w:t>
            </w:r>
          </w:p>
        </w:tc>
        <w:tc>
          <w:tcPr>
            <w:tcW w:w="1475" w:type="dxa"/>
            <w:vAlign w:val="center"/>
          </w:tcPr>
          <w:p w:rsidR="003F1D4E" w:rsidRDefault="00CA7DCE">
            <w:pPr>
              <w:jc w:val="center"/>
            </w:pPr>
            <w:r>
              <w:rPr>
                <w:color w:val="000000"/>
                <w:sz w:val="24"/>
                <w:szCs w:val="24"/>
              </w:rPr>
              <w:t>170207</w:t>
            </w:r>
          </w:p>
        </w:tc>
        <w:tc>
          <w:tcPr>
            <w:tcW w:w="1769" w:type="dxa"/>
            <w:vAlign w:val="center"/>
          </w:tcPr>
          <w:p w:rsidR="003F1D4E" w:rsidRDefault="00CA7DCE">
            <w:pPr>
              <w:jc w:val="center"/>
            </w:pPr>
            <w:r>
              <w:rPr>
                <w:color w:val="000000"/>
                <w:sz w:val="24"/>
                <w:szCs w:val="24"/>
              </w:rPr>
              <w:t>17</w:t>
            </w:r>
            <w:r>
              <w:rPr>
                <w:color w:val="000000"/>
                <w:sz w:val="24"/>
                <w:szCs w:val="24"/>
              </w:rPr>
              <w:t>国开</w:t>
            </w:r>
            <w:r>
              <w:rPr>
                <w:color w:val="000000"/>
                <w:sz w:val="24"/>
                <w:szCs w:val="24"/>
              </w:rPr>
              <w:t>07</w:t>
            </w:r>
          </w:p>
        </w:tc>
        <w:tc>
          <w:tcPr>
            <w:tcW w:w="1387" w:type="dxa"/>
            <w:vAlign w:val="center"/>
          </w:tcPr>
          <w:p w:rsidR="003F1D4E" w:rsidRDefault="00CA7DCE">
            <w:pPr>
              <w:jc w:val="right"/>
            </w:pPr>
            <w:r>
              <w:rPr>
                <w:color w:val="000000"/>
                <w:sz w:val="24"/>
                <w:szCs w:val="24"/>
              </w:rPr>
              <w:t>300,000</w:t>
            </w:r>
          </w:p>
        </w:tc>
        <w:tc>
          <w:tcPr>
            <w:tcW w:w="2150" w:type="dxa"/>
            <w:vAlign w:val="center"/>
          </w:tcPr>
          <w:p w:rsidR="003F1D4E" w:rsidRDefault="00CA7DCE">
            <w:pPr>
              <w:jc w:val="right"/>
            </w:pPr>
            <w:r>
              <w:rPr>
                <w:color w:val="000000"/>
                <w:sz w:val="24"/>
                <w:szCs w:val="24"/>
              </w:rPr>
              <w:t>29,907,000.00</w:t>
            </w:r>
          </w:p>
        </w:tc>
        <w:tc>
          <w:tcPr>
            <w:tcW w:w="1237" w:type="dxa"/>
            <w:vAlign w:val="center"/>
          </w:tcPr>
          <w:p w:rsidR="003F1D4E" w:rsidRDefault="00CA7DCE">
            <w:pPr>
              <w:jc w:val="right"/>
            </w:pPr>
            <w:r>
              <w:rPr>
                <w:color w:val="000000"/>
                <w:sz w:val="24"/>
                <w:szCs w:val="24"/>
              </w:rPr>
              <w:t>3.61</w:t>
            </w:r>
          </w:p>
        </w:tc>
      </w:tr>
      <w:tr w:rsidR="003F1D4E">
        <w:trPr>
          <w:jc w:val="center"/>
        </w:trPr>
        <w:tc>
          <w:tcPr>
            <w:tcW w:w="850" w:type="dxa"/>
            <w:vAlign w:val="center"/>
          </w:tcPr>
          <w:p w:rsidR="003F1D4E" w:rsidRDefault="00CA7DCE">
            <w:pPr>
              <w:jc w:val="center"/>
            </w:pPr>
            <w:r>
              <w:rPr>
                <w:color w:val="000000"/>
                <w:sz w:val="24"/>
                <w:szCs w:val="24"/>
              </w:rPr>
              <w:t>2</w:t>
            </w:r>
          </w:p>
        </w:tc>
        <w:tc>
          <w:tcPr>
            <w:tcW w:w="1475" w:type="dxa"/>
            <w:vAlign w:val="center"/>
          </w:tcPr>
          <w:p w:rsidR="003F1D4E" w:rsidRDefault="00CA7DCE">
            <w:pPr>
              <w:jc w:val="center"/>
            </w:pPr>
            <w:r>
              <w:rPr>
                <w:color w:val="000000"/>
                <w:sz w:val="24"/>
                <w:szCs w:val="24"/>
              </w:rPr>
              <w:t>113011</w:t>
            </w:r>
          </w:p>
        </w:tc>
        <w:tc>
          <w:tcPr>
            <w:tcW w:w="1769" w:type="dxa"/>
            <w:vAlign w:val="center"/>
          </w:tcPr>
          <w:p w:rsidR="003F1D4E" w:rsidRDefault="00CA7DCE">
            <w:pPr>
              <w:jc w:val="center"/>
            </w:pPr>
            <w:r>
              <w:rPr>
                <w:color w:val="000000"/>
                <w:sz w:val="24"/>
                <w:szCs w:val="24"/>
              </w:rPr>
              <w:t>光大转债</w:t>
            </w:r>
          </w:p>
        </w:tc>
        <w:tc>
          <w:tcPr>
            <w:tcW w:w="1387" w:type="dxa"/>
            <w:vAlign w:val="center"/>
          </w:tcPr>
          <w:p w:rsidR="003F1D4E" w:rsidRDefault="00CA7DCE">
            <w:pPr>
              <w:jc w:val="right"/>
            </w:pPr>
            <w:r>
              <w:rPr>
                <w:color w:val="000000"/>
                <w:sz w:val="24"/>
                <w:szCs w:val="24"/>
              </w:rPr>
              <w:t>530</w:t>
            </w:r>
          </w:p>
        </w:tc>
        <w:tc>
          <w:tcPr>
            <w:tcW w:w="2150" w:type="dxa"/>
            <w:vAlign w:val="center"/>
          </w:tcPr>
          <w:p w:rsidR="003F1D4E" w:rsidRDefault="00CA7DCE">
            <w:pPr>
              <w:jc w:val="right"/>
            </w:pPr>
            <w:r>
              <w:rPr>
                <w:color w:val="000000"/>
                <w:sz w:val="24"/>
                <w:szCs w:val="24"/>
              </w:rPr>
              <w:t>59,052.60</w:t>
            </w:r>
          </w:p>
        </w:tc>
        <w:tc>
          <w:tcPr>
            <w:tcW w:w="1237" w:type="dxa"/>
            <w:vAlign w:val="center"/>
          </w:tcPr>
          <w:p w:rsidR="003F1D4E" w:rsidRDefault="00CA7DCE">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455,113.28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17,653,052.00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272,416.12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191,083.12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18,571,739.52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3F1D4E">
        <w:trPr>
          <w:jc w:val="center"/>
        </w:trPr>
        <w:tc>
          <w:tcPr>
            <w:tcW w:w="1883" w:type="dxa"/>
            <w:vAlign w:val="center"/>
          </w:tcPr>
          <w:p w:rsidR="003F1D4E" w:rsidRDefault="00CA7DCE">
            <w:pPr>
              <w:jc w:val="center"/>
            </w:pPr>
            <w:r>
              <w:rPr>
                <w:color w:val="000000"/>
                <w:sz w:val="24"/>
                <w:szCs w:val="24"/>
              </w:rPr>
              <w:t>1</w:t>
            </w:r>
          </w:p>
        </w:tc>
        <w:tc>
          <w:tcPr>
            <w:tcW w:w="1801" w:type="dxa"/>
            <w:vAlign w:val="center"/>
          </w:tcPr>
          <w:p w:rsidR="003F1D4E" w:rsidRDefault="00CA7DCE">
            <w:pPr>
              <w:jc w:val="center"/>
            </w:pPr>
            <w:r>
              <w:rPr>
                <w:color w:val="000000"/>
                <w:sz w:val="24"/>
                <w:szCs w:val="24"/>
              </w:rPr>
              <w:t>113011</w:t>
            </w:r>
          </w:p>
        </w:tc>
        <w:tc>
          <w:tcPr>
            <w:tcW w:w="1727" w:type="dxa"/>
            <w:vAlign w:val="center"/>
          </w:tcPr>
          <w:p w:rsidR="003F1D4E" w:rsidRDefault="00CA7DCE">
            <w:pPr>
              <w:jc w:val="center"/>
            </w:pPr>
            <w:r>
              <w:rPr>
                <w:color w:val="000000"/>
                <w:sz w:val="24"/>
                <w:szCs w:val="24"/>
              </w:rPr>
              <w:t>光大转债</w:t>
            </w:r>
          </w:p>
        </w:tc>
        <w:tc>
          <w:tcPr>
            <w:tcW w:w="1768" w:type="dxa"/>
            <w:vAlign w:val="center"/>
          </w:tcPr>
          <w:p w:rsidR="003F1D4E" w:rsidRDefault="00CA7DCE">
            <w:pPr>
              <w:jc w:val="right"/>
            </w:pPr>
            <w:r>
              <w:rPr>
                <w:color w:val="000000"/>
                <w:sz w:val="24"/>
                <w:szCs w:val="24"/>
              </w:rPr>
              <w:t>59,052.60</w:t>
            </w:r>
          </w:p>
        </w:tc>
        <w:tc>
          <w:tcPr>
            <w:tcW w:w="1689" w:type="dxa"/>
            <w:vAlign w:val="center"/>
          </w:tcPr>
          <w:p w:rsidR="003F1D4E" w:rsidRDefault="00CA7DCE">
            <w:pPr>
              <w:jc w:val="right"/>
            </w:pPr>
            <w:r>
              <w:rPr>
                <w:color w:val="000000"/>
                <w:sz w:val="24"/>
                <w:szCs w:val="24"/>
              </w:rPr>
              <w:t>0.01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503,920,576.39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60,628,880.47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106,306,019.72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458,243,437.14</w:t>
            </w:r>
          </w:p>
        </w:tc>
      </w:tr>
    </w:tbl>
    <w:p w:rsidR="003F1D4E" w:rsidRDefault="00CA7D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F1D4E">
        <w:tc>
          <w:tcPr>
            <w:tcW w:w="993" w:type="dxa"/>
            <w:vMerge w:val="restart"/>
          </w:tcPr>
          <w:p w:rsidR="003F1D4E" w:rsidRDefault="003F1D4E"/>
          <w:p w:rsidR="003F1D4E" w:rsidRDefault="00CA7DCE">
            <w:r>
              <w:rPr>
                <w:rFonts w:ascii="宋体" w:hAnsi="宋体" w:hint="eastAsia"/>
                <w:bCs/>
                <w:color w:val="000000"/>
                <w:kern w:val="0"/>
              </w:rPr>
              <w:t>机构</w:t>
            </w:r>
          </w:p>
        </w:tc>
        <w:tc>
          <w:tcPr>
            <w:tcW w:w="992" w:type="dxa"/>
            <w:vAlign w:val="center"/>
          </w:tcPr>
          <w:p w:rsidR="003F1D4E" w:rsidRDefault="00CA7DCE">
            <w:pPr>
              <w:jc w:val="center"/>
            </w:pPr>
            <w:r>
              <w:rPr>
                <w:rFonts w:ascii="宋体" w:hAnsi="宋体"/>
                <w:color w:val="000000"/>
                <w:kern w:val="0"/>
              </w:rPr>
              <w:t>1</w:t>
            </w:r>
          </w:p>
        </w:tc>
        <w:tc>
          <w:tcPr>
            <w:tcW w:w="1843" w:type="dxa"/>
            <w:vAlign w:val="center"/>
          </w:tcPr>
          <w:p w:rsidR="003F1D4E" w:rsidRDefault="00CA7DCE">
            <w:pPr>
              <w:jc w:val="center"/>
            </w:pPr>
            <w:r>
              <w:rPr>
                <w:rFonts w:ascii="宋体" w:hAnsi="宋体"/>
                <w:color w:val="000000"/>
                <w:kern w:val="0"/>
              </w:rPr>
              <w:t>2017/7/1-2017/9/30</w:t>
            </w:r>
          </w:p>
        </w:tc>
        <w:tc>
          <w:tcPr>
            <w:tcW w:w="851" w:type="dxa"/>
            <w:vAlign w:val="center"/>
          </w:tcPr>
          <w:p w:rsidR="003F1D4E" w:rsidRDefault="00CA7DCE">
            <w:pPr>
              <w:jc w:val="center"/>
            </w:pPr>
            <w:r>
              <w:rPr>
                <w:rFonts w:ascii="宋体" w:hAnsi="宋体"/>
                <w:color w:val="000000"/>
                <w:kern w:val="0"/>
              </w:rPr>
              <w:t>104,634,352.90</w:t>
            </w:r>
          </w:p>
        </w:tc>
        <w:tc>
          <w:tcPr>
            <w:tcW w:w="850" w:type="dxa"/>
            <w:vAlign w:val="center"/>
          </w:tcPr>
          <w:p w:rsidR="003F1D4E" w:rsidRDefault="00CA7DCE">
            <w:pPr>
              <w:jc w:val="center"/>
            </w:pPr>
            <w:r>
              <w:rPr>
                <w:rFonts w:ascii="宋体" w:hAnsi="宋体"/>
                <w:color w:val="000000"/>
                <w:kern w:val="0"/>
              </w:rPr>
              <w:t>50,079,010.89</w:t>
            </w:r>
          </w:p>
        </w:tc>
        <w:tc>
          <w:tcPr>
            <w:tcW w:w="1134" w:type="dxa"/>
            <w:vAlign w:val="center"/>
          </w:tcPr>
          <w:p w:rsidR="003F1D4E" w:rsidRDefault="00CA7DCE">
            <w:pPr>
              <w:jc w:val="center"/>
            </w:pPr>
            <w:r>
              <w:rPr>
                <w:rFonts w:ascii="宋体" w:hAnsi="宋体"/>
                <w:color w:val="000000"/>
                <w:kern w:val="0"/>
              </w:rPr>
              <w:t>-</w:t>
            </w:r>
          </w:p>
        </w:tc>
        <w:tc>
          <w:tcPr>
            <w:tcW w:w="1419" w:type="dxa"/>
            <w:vAlign w:val="center"/>
          </w:tcPr>
          <w:p w:rsidR="003F1D4E" w:rsidRDefault="00CA7DCE">
            <w:pPr>
              <w:jc w:val="center"/>
            </w:pPr>
            <w:r>
              <w:rPr>
                <w:rFonts w:ascii="宋体" w:hAnsi="宋体"/>
                <w:color w:val="000000"/>
                <w:kern w:val="0"/>
              </w:rPr>
              <w:t>154,713,363.79</w:t>
            </w:r>
          </w:p>
        </w:tc>
        <w:tc>
          <w:tcPr>
            <w:tcW w:w="1130" w:type="dxa"/>
            <w:vAlign w:val="center"/>
          </w:tcPr>
          <w:p w:rsidR="003F1D4E" w:rsidRDefault="00CA7DCE">
            <w:pPr>
              <w:jc w:val="center"/>
            </w:pPr>
            <w:r>
              <w:rPr>
                <w:rFonts w:ascii="宋体" w:hAnsi="宋体"/>
                <w:color w:val="000000"/>
                <w:kern w:val="0"/>
              </w:rPr>
              <w:t>33.76%</w:t>
            </w:r>
          </w:p>
        </w:tc>
      </w:tr>
      <w:tr w:rsidR="003F1D4E">
        <w:tc>
          <w:tcPr>
            <w:tcW w:w="993" w:type="dxa"/>
            <w:vMerge/>
          </w:tcPr>
          <w:p w:rsidR="003F1D4E" w:rsidRDefault="003F1D4E"/>
        </w:tc>
        <w:tc>
          <w:tcPr>
            <w:tcW w:w="992" w:type="dxa"/>
            <w:vAlign w:val="center"/>
          </w:tcPr>
          <w:p w:rsidR="003F1D4E" w:rsidRDefault="00CA7DCE">
            <w:pPr>
              <w:jc w:val="center"/>
            </w:pPr>
            <w:r>
              <w:rPr>
                <w:rFonts w:ascii="宋体" w:hAnsi="宋体"/>
                <w:color w:val="000000"/>
                <w:kern w:val="0"/>
              </w:rPr>
              <w:t>2</w:t>
            </w:r>
          </w:p>
        </w:tc>
        <w:tc>
          <w:tcPr>
            <w:tcW w:w="1843" w:type="dxa"/>
            <w:vAlign w:val="center"/>
          </w:tcPr>
          <w:p w:rsidR="003F1D4E" w:rsidRDefault="00CA7DCE">
            <w:pPr>
              <w:jc w:val="center"/>
            </w:pPr>
            <w:r>
              <w:rPr>
                <w:rFonts w:ascii="宋体" w:hAnsi="宋体"/>
                <w:color w:val="000000"/>
                <w:kern w:val="0"/>
              </w:rPr>
              <w:t>2017/7/1-2017/9/30</w:t>
            </w:r>
          </w:p>
        </w:tc>
        <w:tc>
          <w:tcPr>
            <w:tcW w:w="851" w:type="dxa"/>
            <w:vAlign w:val="center"/>
          </w:tcPr>
          <w:p w:rsidR="003F1D4E" w:rsidRDefault="00CA7DCE">
            <w:pPr>
              <w:jc w:val="center"/>
            </w:pPr>
            <w:r>
              <w:rPr>
                <w:rFonts w:ascii="宋体" w:hAnsi="宋体"/>
                <w:color w:val="000000"/>
                <w:kern w:val="0"/>
              </w:rPr>
              <w:t>172,301,106.33</w:t>
            </w:r>
          </w:p>
        </w:tc>
        <w:tc>
          <w:tcPr>
            <w:tcW w:w="850" w:type="dxa"/>
            <w:vAlign w:val="center"/>
          </w:tcPr>
          <w:p w:rsidR="003F1D4E" w:rsidRDefault="00CA7DCE">
            <w:pPr>
              <w:jc w:val="center"/>
            </w:pPr>
            <w:r>
              <w:rPr>
                <w:rFonts w:ascii="宋体" w:hAnsi="宋体"/>
                <w:color w:val="000000"/>
                <w:kern w:val="0"/>
              </w:rPr>
              <w:t>-</w:t>
            </w:r>
          </w:p>
        </w:tc>
        <w:tc>
          <w:tcPr>
            <w:tcW w:w="1134" w:type="dxa"/>
            <w:vAlign w:val="center"/>
          </w:tcPr>
          <w:p w:rsidR="003F1D4E" w:rsidRDefault="00CA7DCE">
            <w:pPr>
              <w:jc w:val="center"/>
            </w:pPr>
            <w:r>
              <w:rPr>
                <w:rFonts w:ascii="宋体" w:hAnsi="宋体"/>
                <w:color w:val="000000"/>
                <w:kern w:val="0"/>
              </w:rPr>
              <w:t>-</w:t>
            </w:r>
          </w:p>
        </w:tc>
        <w:tc>
          <w:tcPr>
            <w:tcW w:w="1419" w:type="dxa"/>
            <w:vAlign w:val="center"/>
          </w:tcPr>
          <w:p w:rsidR="003F1D4E" w:rsidRDefault="00CA7DCE">
            <w:pPr>
              <w:jc w:val="center"/>
            </w:pPr>
            <w:r>
              <w:rPr>
                <w:rFonts w:ascii="宋体" w:hAnsi="宋体"/>
                <w:color w:val="000000"/>
                <w:kern w:val="0"/>
              </w:rPr>
              <w:t>172,301,106.33</w:t>
            </w:r>
          </w:p>
        </w:tc>
        <w:tc>
          <w:tcPr>
            <w:tcW w:w="1130" w:type="dxa"/>
            <w:vAlign w:val="center"/>
          </w:tcPr>
          <w:p w:rsidR="003F1D4E" w:rsidRDefault="00CA7DCE">
            <w:pPr>
              <w:jc w:val="center"/>
            </w:pPr>
            <w:r>
              <w:rPr>
                <w:rFonts w:ascii="宋体" w:hAnsi="宋体"/>
                <w:color w:val="000000"/>
                <w:kern w:val="0"/>
              </w:rPr>
              <w:t>37.60%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F1D4E" w:rsidRDefault="00CA7DC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3F1D4E" w:rsidRDefault="00CA7DC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3F1D4E" w:rsidRDefault="00CA7DC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3F1D4E" w:rsidRDefault="00CA7DC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3F1D4E" w:rsidRDefault="00CA7DC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3F1D4E" w:rsidRDefault="00CA7DC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3F1D4E" w:rsidRDefault="00CA7DC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w:t>
      </w:r>
      <w:r w:rsidRPr="00414345">
        <w:rPr>
          <w:color w:val="000000"/>
          <w:sz w:val="24"/>
          <w:szCs w:val="24"/>
        </w:rPr>
        <w:lastRenderedPageBreak/>
        <w:t>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F1D4E" w:rsidRDefault="00CA7DC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0E" w:rsidRDefault="00025D0E" w:rsidP="00876D65">
      <w:r>
        <w:separator/>
      </w:r>
    </w:p>
  </w:endnote>
  <w:endnote w:type="continuationSeparator" w:id="0">
    <w:p w:rsidR="00025D0E" w:rsidRDefault="00025D0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D44A19">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D44A19">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0E" w:rsidRDefault="00025D0E" w:rsidP="00876D65">
      <w:r>
        <w:separator/>
      </w:r>
    </w:p>
  </w:footnote>
  <w:footnote w:type="continuationSeparator" w:id="0">
    <w:p w:rsidR="00025D0E" w:rsidRDefault="00025D0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25D0E"/>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D4E"/>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25A"/>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A7DCE"/>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A19"/>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600D57-F54A-4086-913B-406F3807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25D2-73C3-4547-93DB-3477752A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568</cp:revision>
  <dcterms:created xsi:type="dcterms:W3CDTF">2012-10-16T06:07:00Z</dcterms:created>
  <dcterms:modified xsi:type="dcterms:W3CDTF">2017-10-23T05:53:00Z</dcterms:modified>
</cp:coreProperties>
</file>