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bookmarkStart w:id="0" w:name="_GoBack"/>
      <w:bookmarkEnd w:id="0"/>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2017</w:t>
      </w:r>
      <w:r w:rsidRPr="006C615F">
        <w:rPr>
          <w:b/>
          <w:sz w:val="36"/>
          <w:szCs w:val="36"/>
        </w:rPr>
        <w:t>年第</w:t>
      </w:r>
      <w:r w:rsidRPr="006C615F">
        <w:rPr>
          <w:b/>
          <w:sz w:val="36"/>
          <w:szCs w:val="36"/>
        </w:rPr>
        <w:t>3</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2017</w:t>
      </w:r>
      <w:r w:rsidRPr="006C615F">
        <w:rPr>
          <w:b/>
          <w:sz w:val="36"/>
          <w:szCs w:val="36"/>
        </w:rPr>
        <w:t>年</w:t>
      </w:r>
      <w:r w:rsidRPr="006C615F">
        <w:rPr>
          <w:b/>
          <w:sz w:val="36"/>
          <w:szCs w:val="36"/>
        </w:rPr>
        <w:t>9</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二〇一七年十月二十五日</w:t>
      </w:r>
    </w:p>
    <w:p w:rsidR="00220542" w:rsidRPr="00324C76" w:rsidRDefault="00220542" w:rsidP="0047622F">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FD3FF1" w:rsidRDefault="00D7167C">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FD3FF1" w:rsidRDefault="00D7167C">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FD3FF1" w:rsidRDefault="00D7167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D3FF1" w:rsidRDefault="00D7167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FD3FF1" w:rsidRDefault="00D7167C">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2017</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9</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47622F">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1" w:name="_Toc245193810"/>
      <w:r w:rsidRPr="00324C76">
        <w:rPr>
          <w:rFonts w:ascii="Times New Roman" w:hAnsi="Times New Roman" w:cs="Times New Roman"/>
          <w:szCs w:val="24"/>
        </w:rPr>
        <w:t>2.1</w:t>
      </w:r>
      <w:bookmarkEnd w:id="1"/>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36,593,907.97</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lastRenderedPageBreak/>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47622F">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B65724" w:rsidRPr="00324C76" w:rsidTr="00B6572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2017</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w:t>
            </w:r>
            <w:r w:rsidRPr="00324C76">
              <w:rPr>
                <w:color w:val="000000"/>
                <w:sz w:val="24"/>
              </w:rPr>
              <w:t>-2017</w:t>
            </w:r>
            <w:r w:rsidRPr="00324C76">
              <w:rPr>
                <w:color w:val="000000"/>
                <w:sz w:val="24"/>
              </w:rPr>
              <w:t>年</w:t>
            </w:r>
            <w:r w:rsidRPr="00324C76">
              <w:rPr>
                <w:color w:val="000000"/>
                <w:sz w:val="24"/>
              </w:rPr>
              <w:t>9</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B65724" w:rsidRPr="00324C76" w:rsidTr="00B6572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307,559.66</w:t>
            </w:r>
          </w:p>
        </w:tc>
      </w:tr>
      <w:tr w:rsidR="00B65724" w:rsidRPr="00324C76" w:rsidTr="00B6572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2,091,548.61</w:t>
            </w:r>
          </w:p>
        </w:tc>
      </w:tr>
      <w:tr w:rsidR="00B65724" w:rsidRPr="00324C76" w:rsidTr="00B6572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0.0565</w:t>
            </w:r>
          </w:p>
        </w:tc>
      </w:tr>
      <w:tr w:rsidR="00B65724" w:rsidRPr="00324C76" w:rsidTr="00B6572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59,722,979.55</w:t>
            </w:r>
          </w:p>
        </w:tc>
      </w:tr>
      <w:tr w:rsidR="00B65724" w:rsidRPr="00324C76" w:rsidTr="00B65724">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1.632</w:t>
            </w:r>
          </w:p>
        </w:tc>
      </w:tr>
    </w:tbl>
    <w:p w:rsidR="00FD3FF1" w:rsidRDefault="00D7167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FD3FF1">
        <w:trPr>
          <w:jc w:val="center"/>
        </w:trPr>
        <w:tc>
          <w:tcPr>
            <w:tcW w:w="1469" w:type="dxa"/>
            <w:vAlign w:val="center"/>
          </w:tcPr>
          <w:p w:rsidR="00FD3FF1" w:rsidRDefault="00D7167C">
            <w:pPr>
              <w:jc w:val="left"/>
            </w:pPr>
            <w:r>
              <w:rPr>
                <w:color w:val="000000"/>
                <w:sz w:val="24"/>
              </w:rPr>
              <w:t>过去三个月</w:t>
            </w:r>
          </w:p>
        </w:tc>
        <w:tc>
          <w:tcPr>
            <w:tcW w:w="1150" w:type="dxa"/>
            <w:vAlign w:val="center"/>
          </w:tcPr>
          <w:p w:rsidR="00FD3FF1" w:rsidRDefault="00D7167C">
            <w:pPr>
              <w:jc w:val="center"/>
            </w:pPr>
            <w:r>
              <w:rPr>
                <w:color w:val="000000"/>
                <w:sz w:val="24"/>
              </w:rPr>
              <w:t>3.62%</w:t>
            </w:r>
          </w:p>
        </w:tc>
        <w:tc>
          <w:tcPr>
            <w:tcW w:w="1223" w:type="dxa"/>
            <w:vAlign w:val="center"/>
          </w:tcPr>
          <w:p w:rsidR="00FD3FF1" w:rsidRDefault="00D7167C">
            <w:pPr>
              <w:jc w:val="center"/>
            </w:pPr>
            <w:r>
              <w:rPr>
                <w:color w:val="000000"/>
                <w:sz w:val="24"/>
              </w:rPr>
              <w:t>0.71%</w:t>
            </w:r>
          </w:p>
        </w:tc>
        <w:tc>
          <w:tcPr>
            <w:tcW w:w="1244" w:type="dxa"/>
            <w:vAlign w:val="center"/>
          </w:tcPr>
          <w:p w:rsidR="00FD3FF1" w:rsidRDefault="00D7167C">
            <w:pPr>
              <w:jc w:val="center"/>
            </w:pPr>
            <w:r>
              <w:rPr>
                <w:color w:val="000000"/>
                <w:sz w:val="24"/>
              </w:rPr>
              <w:t>3.19%</w:t>
            </w:r>
          </w:p>
        </w:tc>
        <w:tc>
          <w:tcPr>
            <w:tcW w:w="1251" w:type="dxa"/>
            <w:vAlign w:val="center"/>
          </w:tcPr>
          <w:p w:rsidR="00FD3FF1" w:rsidRDefault="00D7167C">
            <w:pPr>
              <w:jc w:val="center"/>
            </w:pPr>
            <w:r>
              <w:rPr>
                <w:color w:val="000000"/>
                <w:sz w:val="24"/>
              </w:rPr>
              <w:t>0.73%</w:t>
            </w:r>
          </w:p>
        </w:tc>
        <w:tc>
          <w:tcPr>
            <w:tcW w:w="1263" w:type="dxa"/>
            <w:vAlign w:val="center"/>
          </w:tcPr>
          <w:p w:rsidR="00FD3FF1" w:rsidRDefault="00D7167C">
            <w:pPr>
              <w:jc w:val="center"/>
            </w:pPr>
            <w:r>
              <w:rPr>
                <w:color w:val="000000"/>
                <w:sz w:val="24"/>
              </w:rPr>
              <w:t>0.43%</w:t>
            </w:r>
          </w:p>
        </w:tc>
        <w:tc>
          <w:tcPr>
            <w:tcW w:w="1268" w:type="dxa"/>
            <w:vAlign w:val="center"/>
          </w:tcPr>
          <w:p w:rsidR="00FD3FF1" w:rsidRDefault="00D7167C">
            <w:pPr>
              <w:jc w:val="center"/>
            </w:pPr>
            <w:r>
              <w:rPr>
                <w:color w:val="000000"/>
                <w:sz w:val="24"/>
              </w:rPr>
              <w:t>-0.02%</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2017</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47622F">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FD3FF1">
        <w:trPr>
          <w:jc w:val="center"/>
        </w:trPr>
        <w:tc>
          <w:tcPr>
            <w:tcW w:w="846" w:type="dxa"/>
            <w:vAlign w:val="center"/>
          </w:tcPr>
          <w:p w:rsidR="00FD3FF1" w:rsidRDefault="00D7167C">
            <w:pPr>
              <w:jc w:val="center"/>
            </w:pPr>
            <w:r>
              <w:rPr>
                <w:color w:val="000000"/>
                <w:sz w:val="24"/>
              </w:rPr>
              <w:t>蔡铮</w:t>
            </w:r>
          </w:p>
        </w:tc>
        <w:tc>
          <w:tcPr>
            <w:tcW w:w="845" w:type="dxa"/>
            <w:vAlign w:val="center"/>
          </w:tcPr>
          <w:p w:rsidR="00FD3FF1" w:rsidRDefault="00D7167C">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w:t>
            </w:r>
            <w:r>
              <w:rPr>
                <w:color w:val="000000"/>
                <w:sz w:val="24"/>
              </w:rPr>
              <w:lastRenderedPageBreak/>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w:t>
            </w:r>
            <w:r w:rsidR="00AD10EC" w:rsidRPr="00AD10EC">
              <w:rPr>
                <w:rFonts w:hint="eastAsia"/>
                <w:color w:val="000000"/>
                <w:sz w:val="24"/>
              </w:rPr>
              <w:t>公司量化投资副总监兼多元资产管理副总监</w:t>
            </w:r>
          </w:p>
        </w:tc>
        <w:tc>
          <w:tcPr>
            <w:tcW w:w="1549" w:type="dxa"/>
            <w:vAlign w:val="center"/>
          </w:tcPr>
          <w:p w:rsidR="00FD3FF1" w:rsidRDefault="00D7167C">
            <w:pPr>
              <w:jc w:val="center"/>
            </w:pPr>
            <w:r>
              <w:rPr>
                <w:color w:val="000000"/>
                <w:sz w:val="24"/>
              </w:rPr>
              <w:lastRenderedPageBreak/>
              <w:t>2012-12-27</w:t>
            </w:r>
          </w:p>
        </w:tc>
        <w:tc>
          <w:tcPr>
            <w:tcW w:w="1548" w:type="dxa"/>
            <w:vAlign w:val="center"/>
          </w:tcPr>
          <w:p w:rsidR="00FD3FF1" w:rsidRDefault="00D7167C">
            <w:pPr>
              <w:jc w:val="center"/>
            </w:pPr>
            <w:r>
              <w:rPr>
                <w:color w:val="000000"/>
                <w:sz w:val="24"/>
              </w:rPr>
              <w:t>-</w:t>
            </w:r>
          </w:p>
        </w:tc>
        <w:tc>
          <w:tcPr>
            <w:tcW w:w="1407" w:type="dxa"/>
            <w:vAlign w:val="center"/>
          </w:tcPr>
          <w:p w:rsidR="00FD3FF1" w:rsidRDefault="00D7167C">
            <w:pPr>
              <w:jc w:val="center"/>
            </w:pPr>
            <w:r>
              <w:rPr>
                <w:color w:val="000000"/>
                <w:sz w:val="24"/>
              </w:rPr>
              <w:t>8</w:t>
            </w:r>
            <w:r>
              <w:rPr>
                <w:color w:val="000000"/>
                <w:sz w:val="24"/>
              </w:rPr>
              <w:t>年</w:t>
            </w:r>
          </w:p>
        </w:tc>
        <w:tc>
          <w:tcPr>
            <w:tcW w:w="2673" w:type="dxa"/>
            <w:vAlign w:val="center"/>
          </w:tcPr>
          <w:p w:rsidR="00FD3FF1" w:rsidRDefault="00D7167C" w:rsidP="00717B89">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sidR="00717B89">
              <w:rPr>
                <w:rFonts w:hint="eastAsia"/>
                <w:color w:val="000000"/>
                <w:sz w:val="24"/>
              </w:rPr>
              <w:t>、</w:t>
            </w:r>
            <w:r w:rsidR="00717B89" w:rsidRPr="00717B89">
              <w:rPr>
                <w:rFonts w:hint="eastAsia"/>
                <w:color w:val="000000"/>
                <w:sz w:val="24"/>
              </w:rPr>
              <w:t>量化投资部副总经理</w:t>
            </w:r>
            <w:r>
              <w:rPr>
                <w:color w:val="000000"/>
                <w:sz w:val="24"/>
              </w:rPr>
              <w:t>。</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lastRenderedPageBreak/>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lastRenderedPageBreak/>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lastRenderedPageBreak/>
        <w:t>4.2</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24C76">
          <w:rPr>
            <w:sz w:val="24"/>
          </w:rPr>
          <w:t>4.3.1</w:t>
        </w:r>
      </w:smartTag>
      <w:r w:rsidRPr="00324C76">
        <w:rPr>
          <w:sz w:val="24"/>
        </w:rPr>
        <w:t>公平交易制度的执行情况</w:t>
      </w:r>
    </w:p>
    <w:p w:rsidR="00FD3FF1" w:rsidRDefault="00D7167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D3FF1" w:rsidRDefault="00D7167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D3FF1" w:rsidRDefault="00D7167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FD3FF1" w:rsidRDefault="00D7167C">
      <w:pPr>
        <w:spacing w:before="29" w:line="288" w:lineRule="auto"/>
        <w:ind w:firstLineChars="200" w:firstLine="480"/>
        <w:rPr>
          <w:color w:val="000000"/>
          <w:sz w:val="24"/>
        </w:rPr>
      </w:pPr>
      <w:r>
        <w:rPr>
          <w:color w:val="000000"/>
          <w:sz w:val="24"/>
        </w:rPr>
        <w:t>2017</w:t>
      </w:r>
      <w:r>
        <w:rPr>
          <w:color w:val="000000"/>
          <w:sz w:val="24"/>
        </w:rPr>
        <w:t>年三季度全球主要经济体均呈现较好增长，国内方面，金融去杠杆暂告段落，人民币有一定幅度升值，外需走强，国内经济的复苏趋势较为明显。在此经济背景下，三季度</w:t>
      </w:r>
      <w:r>
        <w:rPr>
          <w:color w:val="000000"/>
          <w:sz w:val="24"/>
        </w:rPr>
        <w:t>A</w:t>
      </w:r>
      <w:r>
        <w:rPr>
          <w:color w:val="000000"/>
          <w:sz w:val="24"/>
        </w:rPr>
        <w:t>股市场涨幅明显，作为跟踪基准指数的指数基金，三季度基金总体呈现出震荡上行的走势。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展望下一季度，我们认为市场有诸多不确定因素，包括经济是否会继续复苏还是会阶段性回落，重大政治社会事件对市场风险偏好将产生何种影响等。总体而言，我们对</w:t>
      </w:r>
      <w:r w:rsidRPr="00324C76">
        <w:rPr>
          <w:color w:val="000000"/>
          <w:sz w:val="24"/>
        </w:rPr>
        <w:t>A</w:t>
      </w:r>
      <w:r w:rsidRPr="00324C76">
        <w:rPr>
          <w:color w:val="000000"/>
          <w:sz w:val="24"/>
        </w:rPr>
        <w:t>股市场仍维持谨慎乐观的看法。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2017</w:t>
      </w:r>
      <w:r w:rsidRPr="00324C76">
        <w:rPr>
          <w:color w:val="000000"/>
          <w:sz w:val="24"/>
        </w:rPr>
        <w:t>年</w:t>
      </w:r>
      <w:r w:rsidRPr="00324C76">
        <w:rPr>
          <w:color w:val="000000"/>
          <w:sz w:val="24"/>
        </w:rPr>
        <w:t>9</w:t>
      </w:r>
      <w:r w:rsidRPr="00324C76">
        <w:rPr>
          <w:color w:val="000000"/>
          <w:sz w:val="24"/>
        </w:rPr>
        <w:t>月</w:t>
      </w:r>
      <w:r w:rsidRPr="00324C76">
        <w:rPr>
          <w:color w:val="000000"/>
          <w:sz w:val="24"/>
        </w:rPr>
        <w:t>30</w:t>
      </w:r>
      <w:r w:rsidRPr="00324C76">
        <w:rPr>
          <w:color w:val="000000"/>
          <w:sz w:val="24"/>
        </w:rPr>
        <w:t>日，本基金份额净值为</w:t>
      </w:r>
      <w:r w:rsidRPr="00324C76">
        <w:rPr>
          <w:color w:val="000000"/>
          <w:sz w:val="24"/>
        </w:rPr>
        <w:t>1.632</w:t>
      </w:r>
      <w:r w:rsidRPr="00324C76">
        <w:rPr>
          <w:color w:val="000000"/>
          <w:sz w:val="24"/>
        </w:rPr>
        <w:t>元，本报告期份额净值增长率为</w:t>
      </w:r>
      <w:r w:rsidRPr="00324C76">
        <w:rPr>
          <w:color w:val="000000"/>
          <w:sz w:val="24"/>
        </w:rPr>
        <w:t>3.62%</w:t>
      </w:r>
      <w:r w:rsidRPr="00324C76">
        <w:rPr>
          <w:color w:val="000000"/>
          <w:sz w:val="24"/>
        </w:rPr>
        <w:t>，同期业绩比较基准增长率为</w:t>
      </w:r>
      <w:r w:rsidRPr="00324C76">
        <w:rPr>
          <w:color w:val="000000"/>
          <w:sz w:val="24"/>
        </w:rPr>
        <w:t>3.19%</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47622F">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1,223,647.90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2.04</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1,223,647.90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2.04</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55,145,535.00</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92.00</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3,523,432.18</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5.88</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51,270.93</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0.09</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59,943,886.01</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FD3FF1">
        <w:trPr>
          <w:jc w:val="center"/>
        </w:trPr>
        <w:tc>
          <w:tcPr>
            <w:tcW w:w="1265" w:type="dxa"/>
            <w:vAlign w:val="center"/>
          </w:tcPr>
          <w:p w:rsidR="00FD3FF1" w:rsidRDefault="00D7167C">
            <w:pPr>
              <w:jc w:val="center"/>
            </w:pPr>
            <w:r>
              <w:rPr>
                <w:sz w:val="24"/>
              </w:rPr>
              <w:t>1</w:t>
            </w:r>
          </w:p>
        </w:tc>
        <w:tc>
          <w:tcPr>
            <w:tcW w:w="1266" w:type="dxa"/>
            <w:vAlign w:val="center"/>
          </w:tcPr>
          <w:p w:rsidR="00FD3FF1" w:rsidRDefault="00D7167C">
            <w:pPr>
              <w:jc w:val="center"/>
            </w:pPr>
            <w:r>
              <w:rPr>
                <w:sz w:val="24"/>
              </w:rPr>
              <w:t>深证</w:t>
            </w:r>
            <w:r>
              <w:rPr>
                <w:sz w:val="24"/>
              </w:rPr>
              <w:t>300</w:t>
            </w:r>
            <w:r>
              <w:rPr>
                <w:sz w:val="24"/>
              </w:rPr>
              <w:t>价值交易</w:t>
            </w:r>
            <w:r>
              <w:rPr>
                <w:sz w:val="24"/>
              </w:rPr>
              <w:lastRenderedPageBreak/>
              <w:t>型开放式指数证券投资基金</w:t>
            </w:r>
          </w:p>
        </w:tc>
        <w:tc>
          <w:tcPr>
            <w:tcW w:w="1267" w:type="dxa"/>
            <w:vAlign w:val="center"/>
          </w:tcPr>
          <w:p w:rsidR="00FD3FF1" w:rsidRDefault="00D7167C">
            <w:pPr>
              <w:jc w:val="center"/>
            </w:pPr>
            <w:r>
              <w:rPr>
                <w:sz w:val="24"/>
              </w:rPr>
              <w:lastRenderedPageBreak/>
              <w:t>股票型</w:t>
            </w:r>
          </w:p>
        </w:tc>
        <w:tc>
          <w:tcPr>
            <w:tcW w:w="1267" w:type="dxa"/>
            <w:vAlign w:val="center"/>
          </w:tcPr>
          <w:p w:rsidR="00FD3FF1" w:rsidRDefault="00D7167C">
            <w:pPr>
              <w:jc w:val="center"/>
            </w:pPr>
            <w:r>
              <w:rPr>
                <w:sz w:val="24"/>
              </w:rPr>
              <w:t>交易型开放式</w:t>
            </w:r>
          </w:p>
        </w:tc>
        <w:tc>
          <w:tcPr>
            <w:tcW w:w="1267" w:type="dxa"/>
            <w:vAlign w:val="center"/>
          </w:tcPr>
          <w:p w:rsidR="00FD3FF1" w:rsidRDefault="00D7167C">
            <w:pPr>
              <w:jc w:val="center"/>
            </w:pPr>
            <w:r>
              <w:rPr>
                <w:sz w:val="24"/>
              </w:rPr>
              <w:t>交银施罗德基金管</w:t>
            </w:r>
            <w:r>
              <w:rPr>
                <w:sz w:val="24"/>
              </w:rPr>
              <w:lastRenderedPageBreak/>
              <w:t>理有限公司</w:t>
            </w:r>
          </w:p>
        </w:tc>
        <w:tc>
          <w:tcPr>
            <w:tcW w:w="1268" w:type="dxa"/>
            <w:vAlign w:val="center"/>
          </w:tcPr>
          <w:p w:rsidR="00FD3FF1" w:rsidRDefault="00D7167C">
            <w:pPr>
              <w:jc w:val="right"/>
            </w:pPr>
            <w:r>
              <w:rPr>
                <w:sz w:val="24"/>
              </w:rPr>
              <w:lastRenderedPageBreak/>
              <w:t>55,145,535.00</w:t>
            </w:r>
          </w:p>
        </w:tc>
        <w:tc>
          <w:tcPr>
            <w:tcW w:w="1268" w:type="dxa"/>
            <w:vAlign w:val="center"/>
          </w:tcPr>
          <w:p w:rsidR="00FD3FF1" w:rsidRDefault="00D7167C">
            <w:pPr>
              <w:jc w:val="right"/>
            </w:pPr>
            <w:r>
              <w:rPr>
                <w:sz w:val="24"/>
              </w:rPr>
              <w:t>92.34</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49,644.00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0.08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12,352.00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B65724" w:rsidP="00B04217">
            <w:pPr>
              <w:spacing w:before="29" w:line="288" w:lineRule="auto"/>
              <w:jc w:val="right"/>
              <w:rPr>
                <w:sz w:val="24"/>
              </w:rPr>
            </w:pPr>
            <w:r w:rsidRPr="00B65724">
              <w:rPr>
                <w:sz w:val="24"/>
              </w:rPr>
              <w:t>792,497.30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1.33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25,679.00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11,722.00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11,734.00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5,498.00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6,135.00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B65724" w:rsidP="00B04217">
            <w:pPr>
              <w:spacing w:before="29" w:line="288" w:lineRule="auto"/>
              <w:jc w:val="right"/>
              <w:rPr>
                <w:sz w:val="24"/>
              </w:rPr>
            </w:pPr>
            <w:r w:rsidRPr="00B65724">
              <w:rPr>
                <w:sz w:val="24"/>
              </w:rPr>
              <w:t>139,459.60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0.23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142,304.00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0.24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5,296.00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12,255.00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9,072.00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1,223,647.90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2.05</w:t>
            </w:r>
          </w:p>
        </w:tc>
      </w:tr>
    </w:tbl>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w:t>
      </w:r>
      <w:r w:rsidR="0047622F">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本基金本报告期末未持有通过港股通投资的股票。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lastRenderedPageBreak/>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FD3FF1">
        <w:trPr>
          <w:jc w:val="center"/>
        </w:trPr>
        <w:tc>
          <w:tcPr>
            <w:tcW w:w="849" w:type="dxa"/>
            <w:vAlign w:val="center"/>
          </w:tcPr>
          <w:p w:rsidR="00FD3FF1" w:rsidRDefault="00D7167C">
            <w:pPr>
              <w:jc w:val="center"/>
            </w:pPr>
            <w:r>
              <w:rPr>
                <w:color w:val="000000"/>
                <w:sz w:val="24"/>
              </w:rPr>
              <w:t>1</w:t>
            </w:r>
          </w:p>
        </w:tc>
        <w:tc>
          <w:tcPr>
            <w:tcW w:w="1327" w:type="dxa"/>
            <w:vAlign w:val="center"/>
          </w:tcPr>
          <w:p w:rsidR="00FD3FF1" w:rsidRDefault="00D7167C">
            <w:pPr>
              <w:jc w:val="center"/>
            </w:pPr>
            <w:r>
              <w:rPr>
                <w:color w:val="000000"/>
                <w:sz w:val="24"/>
              </w:rPr>
              <w:t>000333</w:t>
            </w:r>
          </w:p>
        </w:tc>
        <w:tc>
          <w:tcPr>
            <w:tcW w:w="1621" w:type="dxa"/>
            <w:vAlign w:val="center"/>
          </w:tcPr>
          <w:p w:rsidR="00FD3FF1" w:rsidRDefault="00D7167C">
            <w:pPr>
              <w:jc w:val="center"/>
            </w:pPr>
            <w:r>
              <w:rPr>
                <w:color w:val="000000"/>
                <w:sz w:val="24"/>
              </w:rPr>
              <w:t>美的集团</w:t>
            </w:r>
          </w:p>
        </w:tc>
        <w:tc>
          <w:tcPr>
            <w:tcW w:w="1769" w:type="dxa"/>
            <w:vAlign w:val="center"/>
          </w:tcPr>
          <w:p w:rsidR="00FD3FF1" w:rsidRDefault="00D7167C">
            <w:pPr>
              <w:jc w:val="right"/>
            </w:pPr>
            <w:r>
              <w:rPr>
                <w:color w:val="000000"/>
                <w:sz w:val="24"/>
              </w:rPr>
              <w:t>2,000</w:t>
            </w:r>
          </w:p>
        </w:tc>
        <w:tc>
          <w:tcPr>
            <w:tcW w:w="2211" w:type="dxa"/>
            <w:vAlign w:val="center"/>
          </w:tcPr>
          <w:p w:rsidR="00FD3FF1" w:rsidRDefault="00D7167C">
            <w:pPr>
              <w:jc w:val="right"/>
            </w:pPr>
            <w:r>
              <w:rPr>
                <w:color w:val="000000"/>
                <w:sz w:val="24"/>
              </w:rPr>
              <w:t>88,380.00</w:t>
            </w:r>
          </w:p>
        </w:tc>
        <w:tc>
          <w:tcPr>
            <w:tcW w:w="1091" w:type="dxa"/>
            <w:vAlign w:val="center"/>
          </w:tcPr>
          <w:p w:rsidR="00FD3FF1" w:rsidRDefault="00D7167C">
            <w:pPr>
              <w:jc w:val="right"/>
            </w:pPr>
            <w:r>
              <w:rPr>
                <w:color w:val="000000"/>
                <w:sz w:val="24"/>
              </w:rPr>
              <w:t>0.15</w:t>
            </w:r>
          </w:p>
        </w:tc>
      </w:tr>
      <w:tr w:rsidR="00FD3FF1">
        <w:trPr>
          <w:jc w:val="center"/>
        </w:trPr>
        <w:tc>
          <w:tcPr>
            <w:tcW w:w="849" w:type="dxa"/>
            <w:vAlign w:val="center"/>
          </w:tcPr>
          <w:p w:rsidR="00FD3FF1" w:rsidRDefault="00D7167C">
            <w:pPr>
              <w:jc w:val="center"/>
            </w:pPr>
            <w:r>
              <w:rPr>
                <w:color w:val="000000"/>
                <w:sz w:val="24"/>
              </w:rPr>
              <w:t>2</w:t>
            </w:r>
          </w:p>
        </w:tc>
        <w:tc>
          <w:tcPr>
            <w:tcW w:w="1327" w:type="dxa"/>
            <w:vAlign w:val="center"/>
          </w:tcPr>
          <w:p w:rsidR="00FD3FF1" w:rsidRDefault="00D7167C">
            <w:pPr>
              <w:jc w:val="center"/>
            </w:pPr>
            <w:r>
              <w:rPr>
                <w:color w:val="000000"/>
                <w:sz w:val="24"/>
              </w:rPr>
              <w:t>000651</w:t>
            </w:r>
          </w:p>
        </w:tc>
        <w:tc>
          <w:tcPr>
            <w:tcW w:w="1621" w:type="dxa"/>
            <w:vAlign w:val="center"/>
          </w:tcPr>
          <w:p w:rsidR="00FD3FF1" w:rsidRDefault="00D7167C">
            <w:pPr>
              <w:jc w:val="center"/>
            </w:pPr>
            <w:r>
              <w:rPr>
                <w:color w:val="000000"/>
                <w:sz w:val="24"/>
              </w:rPr>
              <w:t>格力电器</w:t>
            </w:r>
          </w:p>
        </w:tc>
        <w:tc>
          <w:tcPr>
            <w:tcW w:w="1769" w:type="dxa"/>
            <w:vAlign w:val="center"/>
          </w:tcPr>
          <w:p w:rsidR="00FD3FF1" w:rsidRDefault="00D7167C">
            <w:pPr>
              <w:jc w:val="right"/>
            </w:pPr>
            <w:r>
              <w:rPr>
                <w:color w:val="000000"/>
                <w:sz w:val="24"/>
              </w:rPr>
              <w:t>2,200</w:t>
            </w:r>
          </w:p>
        </w:tc>
        <w:tc>
          <w:tcPr>
            <w:tcW w:w="2211" w:type="dxa"/>
            <w:vAlign w:val="center"/>
          </w:tcPr>
          <w:p w:rsidR="00FD3FF1" w:rsidRDefault="00D7167C">
            <w:pPr>
              <w:jc w:val="right"/>
            </w:pPr>
            <w:r>
              <w:rPr>
                <w:color w:val="000000"/>
                <w:sz w:val="24"/>
              </w:rPr>
              <w:t>83,380.00</w:t>
            </w:r>
          </w:p>
        </w:tc>
        <w:tc>
          <w:tcPr>
            <w:tcW w:w="1091" w:type="dxa"/>
            <w:vAlign w:val="center"/>
          </w:tcPr>
          <w:p w:rsidR="00FD3FF1" w:rsidRDefault="00D7167C">
            <w:pPr>
              <w:jc w:val="right"/>
            </w:pPr>
            <w:r>
              <w:rPr>
                <w:color w:val="000000"/>
                <w:sz w:val="24"/>
              </w:rPr>
              <w:t>0.14</w:t>
            </w:r>
          </w:p>
        </w:tc>
      </w:tr>
      <w:tr w:rsidR="00FD3FF1">
        <w:trPr>
          <w:jc w:val="center"/>
        </w:trPr>
        <w:tc>
          <w:tcPr>
            <w:tcW w:w="849" w:type="dxa"/>
            <w:vAlign w:val="center"/>
          </w:tcPr>
          <w:p w:rsidR="00FD3FF1" w:rsidRDefault="00D7167C">
            <w:pPr>
              <w:jc w:val="center"/>
            </w:pPr>
            <w:r>
              <w:rPr>
                <w:color w:val="000000"/>
                <w:sz w:val="24"/>
              </w:rPr>
              <w:t>3</w:t>
            </w:r>
          </w:p>
        </w:tc>
        <w:tc>
          <w:tcPr>
            <w:tcW w:w="1327" w:type="dxa"/>
            <w:vAlign w:val="center"/>
          </w:tcPr>
          <w:p w:rsidR="00FD3FF1" w:rsidRDefault="00D7167C">
            <w:pPr>
              <w:jc w:val="center"/>
            </w:pPr>
            <w:r>
              <w:rPr>
                <w:color w:val="000000"/>
                <w:sz w:val="24"/>
              </w:rPr>
              <w:t>000858</w:t>
            </w:r>
          </w:p>
        </w:tc>
        <w:tc>
          <w:tcPr>
            <w:tcW w:w="1621" w:type="dxa"/>
            <w:vAlign w:val="center"/>
          </w:tcPr>
          <w:p w:rsidR="00FD3FF1" w:rsidRDefault="00D7167C">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769" w:type="dxa"/>
            <w:vAlign w:val="center"/>
          </w:tcPr>
          <w:p w:rsidR="00FD3FF1" w:rsidRDefault="00D7167C">
            <w:pPr>
              <w:jc w:val="right"/>
            </w:pPr>
            <w:r>
              <w:rPr>
                <w:color w:val="000000"/>
                <w:sz w:val="24"/>
              </w:rPr>
              <w:t>900</w:t>
            </w:r>
          </w:p>
        </w:tc>
        <w:tc>
          <w:tcPr>
            <w:tcW w:w="2211" w:type="dxa"/>
            <w:vAlign w:val="center"/>
          </w:tcPr>
          <w:p w:rsidR="00FD3FF1" w:rsidRDefault="00D7167C">
            <w:pPr>
              <w:jc w:val="right"/>
            </w:pPr>
            <w:r>
              <w:rPr>
                <w:color w:val="000000"/>
                <w:sz w:val="24"/>
              </w:rPr>
              <w:t>51,552.00</w:t>
            </w:r>
          </w:p>
        </w:tc>
        <w:tc>
          <w:tcPr>
            <w:tcW w:w="1091" w:type="dxa"/>
            <w:vAlign w:val="center"/>
          </w:tcPr>
          <w:p w:rsidR="00FD3FF1" w:rsidRDefault="00D7167C">
            <w:pPr>
              <w:jc w:val="right"/>
            </w:pPr>
            <w:r>
              <w:rPr>
                <w:color w:val="000000"/>
                <w:sz w:val="24"/>
              </w:rPr>
              <w:t>0.09</w:t>
            </w:r>
          </w:p>
        </w:tc>
      </w:tr>
      <w:tr w:rsidR="00FD3FF1">
        <w:trPr>
          <w:jc w:val="center"/>
        </w:trPr>
        <w:tc>
          <w:tcPr>
            <w:tcW w:w="849" w:type="dxa"/>
            <w:vAlign w:val="center"/>
          </w:tcPr>
          <w:p w:rsidR="00FD3FF1" w:rsidRDefault="00D7167C">
            <w:pPr>
              <w:jc w:val="center"/>
            </w:pPr>
            <w:r>
              <w:rPr>
                <w:color w:val="000000"/>
                <w:sz w:val="24"/>
              </w:rPr>
              <w:t>4</w:t>
            </w:r>
          </w:p>
        </w:tc>
        <w:tc>
          <w:tcPr>
            <w:tcW w:w="1327" w:type="dxa"/>
            <w:vAlign w:val="center"/>
          </w:tcPr>
          <w:p w:rsidR="00FD3FF1" w:rsidRDefault="00D7167C">
            <w:pPr>
              <w:jc w:val="center"/>
            </w:pPr>
            <w:r>
              <w:rPr>
                <w:color w:val="000000"/>
                <w:sz w:val="24"/>
              </w:rPr>
              <w:t>000725</w:t>
            </w:r>
          </w:p>
        </w:tc>
        <w:tc>
          <w:tcPr>
            <w:tcW w:w="1621" w:type="dxa"/>
            <w:vAlign w:val="center"/>
          </w:tcPr>
          <w:p w:rsidR="00FD3FF1" w:rsidRDefault="00D7167C">
            <w:pPr>
              <w:jc w:val="center"/>
            </w:pPr>
            <w:r>
              <w:rPr>
                <w:color w:val="000000"/>
                <w:sz w:val="24"/>
              </w:rPr>
              <w:t>京东方Ａ</w:t>
            </w:r>
          </w:p>
        </w:tc>
        <w:tc>
          <w:tcPr>
            <w:tcW w:w="1769" w:type="dxa"/>
            <w:vAlign w:val="center"/>
          </w:tcPr>
          <w:p w:rsidR="00FD3FF1" w:rsidRDefault="00D7167C">
            <w:pPr>
              <w:jc w:val="right"/>
            </w:pPr>
            <w:r>
              <w:rPr>
                <w:color w:val="000000"/>
                <w:sz w:val="24"/>
              </w:rPr>
              <w:t>11,500</w:t>
            </w:r>
          </w:p>
        </w:tc>
        <w:tc>
          <w:tcPr>
            <w:tcW w:w="2211" w:type="dxa"/>
            <w:vAlign w:val="center"/>
          </w:tcPr>
          <w:p w:rsidR="00FD3FF1" w:rsidRDefault="00D7167C">
            <w:pPr>
              <w:jc w:val="right"/>
            </w:pPr>
            <w:r>
              <w:rPr>
                <w:color w:val="000000"/>
                <w:sz w:val="24"/>
              </w:rPr>
              <w:t>50,600.00</w:t>
            </w:r>
          </w:p>
        </w:tc>
        <w:tc>
          <w:tcPr>
            <w:tcW w:w="1091" w:type="dxa"/>
            <w:vAlign w:val="center"/>
          </w:tcPr>
          <w:p w:rsidR="00FD3FF1" w:rsidRDefault="00D7167C">
            <w:pPr>
              <w:jc w:val="right"/>
            </w:pPr>
            <w:r>
              <w:rPr>
                <w:color w:val="000000"/>
                <w:sz w:val="24"/>
              </w:rPr>
              <w:t>0.08</w:t>
            </w:r>
          </w:p>
        </w:tc>
      </w:tr>
      <w:tr w:rsidR="00FD3FF1">
        <w:trPr>
          <w:jc w:val="center"/>
        </w:trPr>
        <w:tc>
          <w:tcPr>
            <w:tcW w:w="849" w:type="dxa"/>
            <w:vAlign w:val="center"/>
          </w:tcPr>
          <w:p w:rsidR="00FD3FF1" w:rsidRDefault="00D7167C">
            <w:pPr>
              <w:jc w:val="center"/>
            </w:pPr>
            <w:r>
              <w:rPr>
                <w:color w:val="000000"/>
                <w:sz w:val="24"/>
              </w:rPr>
              <w:t>5</w:t>
            </w:r>
          </w:p>
        </w:tc>
        <w:tc>
          <w:tcPr>
            <w:tcW w:w="1327" w:type="dxa"/>
            <w:vAlign w:val="center"/>
          </w:tcPr>
          <w:p w:rsidR="00FD3FF1" w:rsidRDefault="00D7167C">
            <w:pPr>
              <w:jc w:val="center"/>
            </w:pPr>
            <w:r>
              <w:rPr>
                <w:color w:val="000000"/>
                <w:sz w:val="24"/>
              </w:rPr>
              <w:t>000002</w:t>
            </w:r>
          </w:p>
        </w:tc>
        <w:tc>
          <w:tcPr>
            <w:tcW w:w="1621" w:type="dxa"/>
            <w:vAlign w:val="center"/>
          </w:tcPr>
          <w:p w:rsidR="00FD3FF1" w:rsidRDefault="00D7167C">
            <w:pPr>
              <w:jc w:val="center"/>
            </w:pPr>
            <w:r>
              <w:rPr>
                <w:color w:val="000000"/>
                <w:sz w:val="24"/>
              </w:rPr>
              <w:t>万</w:t>
            </w:r>
            <w:r>
              <w:rPr>
                <w:color w:val="000000"/>
                <w:sz w:val="24"/>
              </w:rPr>
              <w:t xml:space="preserve">  </w:t>
            </w:r>
            <w:r>
              <w:rPr>
                <w:color w:val="000000"/>
                <w:sz w:val="24"/>
              </w:rPr>
              <w:t>科Ａ</w:t>
            </w:r>
          </w:p>
        </w:tc>
        <w:tc>
          <w:tcPr>
            <w:tcW w:w="1769" w:type="dxa"/>
            <w:vAlign w:val="center"/>
          </w:tcPr>
          <w:p w:rsidR="00FD3FF1" w:rsidRDefault="00D7167C">
            <w:pPr>
              <w:jc w:val="right"/>
            </w:pPr>
            <w:r>
              <w:rPr>
                <w:color w:val="000000"/>
                <w:sz w:val="24"/>
              </w:rPr>
              <w:t>1,900</w:t>
            </w:r>
          </w:p>
        </w:tc>
        <w:tc>
          <w:tcPr>
            <w:tcW w:w="2211" w:type="dxa"/>
            <w:vAlign w:val="center"/>
          </w:tcPr>
          <w:p w:rsidR="00FD3FF1" w:rsidRDefault="00D7167C">
            <w:pPr>
              <w:jc w:val="right"/>
            </w:pPr>
            <w:r>
              <w:rPr>
                <w:color w:val="000000"/>
                <w:sz w:val="24"/>
              </w:rPr>
              <w:t>49,875.00</w:t>
            </w:r>
          </w:p>
        </w:tc>
        <w:tc>
          <w:tcPr>
            <w:tcW w:w="1091" w:type="dxa"/>
            <w:vAlign w:val="center"/>
          </w:tcPr>
          <w:p w:rsidR="00FD3FF1" w:rsidRDefault="00D7167C">
            <w:pPr>
              <w:jc w:val="right"/>
            </w:pPr>
            <w:r>
              <w:rPr>
                <w:color w:val="000000"/>
                <w:sz w:val="24"/>
              </w:rPr>
              <w:t>0.08</w:t>
            </w:r>
          </w:p>
        </w:tc>
      </w:tr>
      <w:tr w:rsidR="00FD3FF1">
        <w:trPr>
          <w:jc w:val="center"/>
        </w:trPr>
        <w:tc>
          <w:tcPr>
            <w:tcW w:w="849" w:type="dxa"/>
            <w:vAlign w:val="center"/>
          </w:tcPr>
          <w:p w:rsidR="00FD3FF1" w:rsidRDefault="00D7167C">
            <w:pPr>
              <w:jc w:val="center"/>
            </w:pPr>
            <w:r>
              <w:rPr>
                <w:color w:val="000000"/>
                <w:sz w:val="24"/>
              </w:rPr>
              <w:t>6</w:t>
            </w:r>
          </w:p>
        </w:tc>
        <w:tc>
          <w:tcPr>
            <w:tcW w:w="1327" w:type="dxa"/>
            <w:vAlign w:val="center"/>
          </w:tcPr>
          <w:p w:rsidR="00FD3FF1" w:rsidRDefault="00D7167C">
            <w:pPr>
              <w:jc w:val="center"/>
            </w:pPr>
            <w:r>
              <w:rPr>
                <w:color w:val="000000"/>
                <w:sz w:val="24"/>
              </w:rPr>
              <w:t>002415</w:t>
            </w:r>
          </w:p>
        </w:tc>
        <w:tc>
          <w:tcPr>
            <w:tcW w:w="1621" w:type="dxa"/>
            <w:vAlign w:val="center"/>
          </w:tcPr>
          <w:p w:rsidR="00FD3FF1" w:rsidRDefault="00D7167C">
            <w:pPr>
              <w:jc w:val="center"/>
            </w:pPr>
            <w:r>
              <w:rPr>
                <w:color w:val="000000"/>
                <w:sz w:val="24"/>
              </w:rPr>
              <w:t>海康威视</w:t>
            </w:r>
          </w:p>
        </w:tc>
        <w:tc>
          <w:tcPr>
            <w:tcW w:w="1769" w:type="dxa"/>
            <w:vAlign w:val="center"/>
          </w:tcPr>
          <w:p w:rsidR="00FD3FF1" w:rsidRDefault="00D7167C">
            <w:pPr>
              <w:jc w:val="right"/>
            </w:pPr>
            <w:r>
              <w:rPr>
                <w:color w:val="000000"/>
                <w:sz w:val="24"/>
              </w:rPr>
              <w:t>1,500</w:t>
            </w:r>
          </w:p>
        </w:tc>
        <w:tc>
          <w:tcPr>
            <w:tcW w:w="2211" w:type="dxa"/>
            <w:vAlign w:val="center"/>
          </w:tcPr>
          <w:p w:rsidR="00FD3FF1" w:rsidRDefault="00D7167C">
            <w:pPr>
              <w:jc w:val="right"/>
            </w:pPr>
            <w:r>
              <w:rPr>
                <w:color w:val="000000"/>
                <w:sz w:val="24"/>
              </w:rPr>
              <w:t>48,000.00</w:t>
            </w:r>
          </w:p>
        </w:tc>
        <w:tc>
          <w:tcPr>
            <w:tcW w:w="1091" w:type="dxa"/>
            <w:vAlign w:val="center"/>
          </w:tcPr>
          <w:p w:rsidR="00FD3FF1" w:rsidRDefault="00D7167C">
            <w:pPr>
              <w:jc w:val="right"/>
            </w:pPr>
            <w:r>
              <w:rPr>
                <w:color w:val="000000"/>
                <w:sz w:val="24"/>
              </w:rPr>
              <w:t>0.08</w:t>
            </w:r>
          </w:p>
        </w:tc>
      </w:tr>
      <w:tr w:rsidR="00FD3FF1">
        <w:trPr>
          <w:jc w:val="center"/>
        </w:trPr>
        <w:tc>
          <w:tcPr>
            <w:tcW w:w="849" w:type="dxa"/>
            <w:vAlign w:val="center"/>
          </w:tcPr>
          <w:p w:rsidR="00FD3FF1" w:rsidRDefault="00D7167C">
            <w:pPr>
              <w:jc w:val="center"/>
            </w:pPr>
            <w:r>
              <w:rPr>
                <w:color w:val="000000"/>
                <w:sz w:val="24"/>
              </w:rPr>
              <w:t>7</w:t>
            </w:r>
          </w:p>
        </w:tc>
        <w:tc>
          <w:tcPr>
            <w:tcW w:w="1327" w:type="dxa"/>
            <w:vAlign w:val="center"/>
          </w:tcPr>
          <w:p w:rsidR="00FD3FF1" w:rsidRDefault="00D7167C">
            <w:pPr>
              <w:jc w:val="center"/>
            </w:pPr>
            <w:r>
              <w:rPr>
                <w:color w:val="000000"/>
                <w:sz w:val="24"/>
              </w:rPr>
              <w:t>000001</w:t>
            </w:r>
          </w:p>
        </w:tc>
        <w:tc>
          <w:tcPr>
            <w:tcW w:w="1621" w:type="dxa"/>
            <w:vAlign w:val="center"/>
          </w:tcPr>
          <w:p w:rsidR="00FD3FF1" w:rsidRDefault="00D7167C">
            <w:pPr>
              <w:jc w:val="center"/>
            </w:pPr>
            <w:r>
              <w:rPr>
                <w:color w:val="000000"/>
                <w:sz w:val="24"/>
              </w:rPr>
              <w:t>平安银行</w:t>
            </w:r>
          </w:p>
        </w:tc>
        <w:tc>
          <w:tcPr>
            <w:tcW w:w="1769" w:type="dxa"/>
            <w:vAlign w:val="center"/>
          </w:tcPr>
          <w:p w:rsidR="00FD3FF1" w:rsidRDefault="00D7167C">
            <w:pPr>
              <w:jc w:val="right"/>
            </w:pPr>
            <w:r>
              <w:rPr>
                <w:color w:val="000000"/>
                <w:sz w:val="24"/>
              </w:rPr>
              <w:t>3,800</w:t>
            </w:r>
          </w:p>
        </w:tc>
        <w:tc>
          <w:tcPr>
            <w:tcW w:w="2211" w:type="dxa"/>
            <w:vAlign w:val="center"/>
          </w:tcPr>
          <w:p w:rsidR="00FD3FF1" w:rsidRDefault="00D7167C">
            <w:pPr>
              <w:jc w:val="right"/>
            </w:pPr>
            <w:r>
              <w:rPr>
                <w:color w:val="000000"/>
                <w:sz w:val="24"/>
              </w:rPr>
              <w:t>42,218.00</w:t>
            </w:r>
          </w:p>
        </w:tc>
        <w:tc>
          <w:tcPr>
            <w:tcW w:w="1091" w:type="dxa"/>
            <w:vAlign w:val="center"/>
          </w:tcPr>
          <w:p w:rsidR="00FD3FF1" w:rsidRDefault="00D7167C">
            <w:pPr>
              <w:jc w:val="right"/>
            </w:pPr>
            <w:r>
              <w:rPr>
                <w:color w:val="000000"/>
                <w:sz w:val="24"/>
              </w:rPr>
              <w:t>0.07</w:t>
            </w:r>
          </w:p>
        </w:tc>
      </w:tr>
      <w:tr w:rsidR="00FD3FF1">
        <w:trPr>
          <w:jc w:val="center"/>
        </w:trPr>
        <w:tc>
          <w:tcPr>
            <w:tcW w:w="849" w:type="dxa"/>
            <w:vAlign w:val="center"/>
          </w:tcPr>
          <w:p w:rsidR="00FD3FF1" w:rsidRDefault="00D7167C">
            <w:pPr>
              <w:jc w:val="center"/>
            </w:pPr>
            <w:r>
              <w:rPr>
                <w:color w:val="000000"/>
                <w:sz w:val="24"/>
              </w:rPr>
              <w:t>8</w:t>
            </w:r>
          </w:p>
        </w:tc>
        <w:tc>
          <w:tcPr>
            <w:tcW w:w="1327" w:type="dxa"/>
            <w:vAlign w:val="center"/>
          </w:tcPr>
          <w:p w:rsidR="00FD3FF1" w:rsidRDefault="00D7167C">
            <w:pPr>
              <w:jc w:val="center"/>
            </w:pPr>
            <w:r>
              <w:rPr>
                <w:color w:val="000000"/>
                <w:sz w:val="24"/>
              </w:rPr>
              <w:t>300498</w:t>
            </w:r>
          </w:p>
        </w:tc>
        <w:tc>
          <w:tcPr>
            <w:tcW w:w="1621" w:type="dxa"/>
            <w:vAlign w:val="center"/>
          </w:tcPr>
          <w:p w:rsidR="00FD3FF1" w:rsidRDefault="00D7167C">
            <w:pPr>
              <w:jc w:val="center"/>
            </w:pPr>
            <w:r>
              <w:rPr>
                <w:color w:val="000000"/>
                <w:sz w:val="24"/>
              </w:rPr>
              <w:t>温氏股份</w:t>
            </w:r>
          </w:p>
        </w:tc>
        <w:tc>
          <w:tcPr>
            <w:tcW w:w="1769" w:type="dxa"/>
            <w:vAlign w:val="center"/>
          </w:tcPr>
          <w:p w:rsidR="00FD3FF1" w:rsidRDefault="00D7167C">
            <w:pPr>
              <w:jc w:val="right"/>
            </w:pPr>
            <w:r>
              <w:rPr>
                <w:color w:val="000000"/>
                <w:sz w:val="24"/>
              </w:rPr>
              <w:t>1,800</w:t>
            </w:r>
          </w:p>
        </w:tc>
        <w:tc>
          <w:tcPr>
            <w:tcW w:w="2211" w:type="dxa"/>
            <w:vAlign w:val="center"/>
          </w:tcPr>
          <w:p w:rsidR="00FD3FF1" w:rsidRDefault="00D7167C">
            <w:pPr>
              <w:jc w:val="right"/>
            </w:pPr>
            <w:r>
              <w:rPr>
                <w:color w:val="000000"/>
                <w:sz w:val="24"/>
              </w:rPr>
              <w:t>38,718.00</w:t>
            </w:r>
          </w:p>
        </w:tc>
        <w:tc>
          <w:tcPr>
            <w:tcW w:w="1091" w:type="dxa"/>
            <w:vAlign w:val="center"/>
          </w:tcPr>
          <w:p w:rsidR="00FD3FF1" w:rsidRDefault="00D7167C">
            <w:pPr>
              <w:jc w:val="right"/>
            </w:pPr>
            <w:r>
              <w:rPr>
                <w:color w:val="000000"/>
                <w:sz w:val="24"/>
              </w:rPr>
              <w:t>0.06</w:t>
            </w:r>
          </w:p>
        </w:tc>
      </w:tr>
      <w:tr w:rsidR="00FD3FF1">
        <w:trPr>
          <w:jc w:val="center"/>
        </w:trPr>
        <w:tc>
          <w:tcPr>
            <w:tcW w:w="849" w:type="dxa"/>
            <w:vAlign w:val="center"/>
          </w:tcPr>
          <w:p w:rsidR="00FD3FF1" w:rsidRDefault="00D7167C">
            <w:pPr>
              <w:jc w:val="center"/>
            </w:pPr>
            <w:r>
              <w:rPr>
                <w:color w:val="000000"/>
                <w:sz w:val="24"/>
              </w:rPr>
              <w:t>9</w:t>
            </w:r>
          </w:p>
        </w:tc>
        <w:tc>
          <w:tcPr>
            <w:tcW w:w="1327" w:type="dxa"/>
            <w:vAlign w:val="center"/>
          </w:tcPr>
          <w:p w:rsidR="00FD3FF1" w:rsidRDefault="00D7167C">
            <w:pPr>
              <w:jc w:val="center"/>
            </w:pPr>
            <w:r>
              <w:rPr>
                <w:color w:val="000000"/>
                <w:sz w:val="24"/>
              </w:rPr>
              <w:t>002304</w:t>
            </w:r>
          </w:p>
        </w:tc>
        <w:tc>
          <w:tcPr>
            <w:tcW w:w="1621" w:type="dxa"/>
            <w:vAlign w:val="center"/>
          </w:tcPr>
          <w:p w:rsidR="00FD3FF1" w:rsidRDefault="00D7167C">
            <w:pPr>
              <w:jc w:val="center"/>
            </w:pPr>
            <w:r>
              <w:rPr>
                <w:color w:val="000000"/>
                <w:sz w:val="24"/>
              </w:rPr>
              <w:t>洋河股份</w:t>
            </w:r>
          </w:p>
        </w:tc>
        <w:tc>
          <w:tcPr>
            <w:tcW w:w="1769" w:type="dxa"/>
            <w:vAlign w:val="center"/>
          </w:tcPr>
          <w:p w:rsidR="00FD3FF1" w:rsidRDefault="00D7167C">
            <w:pPr>
              <w:jc w:val="right"/>
            </w:pPr>
            <w:r>
              <w:rPr>
                <w:color w:val="000000"/>
                <w:sz w:val="24"/>
              </w:rPr>
              <w:t>300</w:t>
            </w:r>
          </w:p>
        </w:tc>
        <w:tc>
          <w:tcPr>
            <w:tcW w:w="2211" w:type="dxa"/>
            <w:vAlign w:val="center"/>
          </w:tcPr>
          <w:p w:rsidR="00FD3FF1" w:rsidRDefault="00D7167C">
            <w:pPr>
              <w:jc w:val="right"/>
            </w:pPr>
            <w:r>
              <w:rPr>
                <w:color w:val="000000"/>
                <w:sz w:val="24"/>
              </w:rPr>
              <w:t>30,450.00</w:t>
            </w:r>
          </w:p>
        </w:tc>
        <w:tc>
          <w:tcPr>
            <w:tcW w:w="1091" w:type="dxa"/>
            <w:vAlign w:val="center"/>
          </w:tcPr>
          <w:p w:rsidR="00FD3FF1" w:rsidRDefault="00D7167C">
            <w:pPr>
              <w:jc w:val="right"/>
            </w:pPr>
            <w:r>
              <w:rPr>
                <w:color w:val="000000"/>
                <w:sz w:val="24"/>
              </w:rPr>
              <w:t>0.05</w:t>
            </w:r>
          </w:p>
        </w:tc>
      </w:tr>
      <w:tr w:rsidR="00FD3FF1">
        <w:trPr>
          <w:jc w:val="center"/>
        </w:trPr>
        <w:tc>
          <w:tcPr>
            <w:tcW w:w="849" w:type="dxa"/>
            <w:vAlign w:val="center"/>
          </w:tcPr>
          <w:p w:rsidR="00FD3FF1" w:rsidRDefault="00D7167C">
            <w:pPr>
              <w:jc w:val="center"/>
            </w:pPr>
            <w:r>
              <w:rPr>
                <w:color w:val="000000"/>
                <w:sz w:val="24"/>
              </w:rPr>
              <w:t>10</w:t>
            </w:r>
          </w:p>
        </w:tc>
        <w:tc>
          <w:tcPr>
            <w:tcW w:w="1327" w:type="dxa"/>
            <w:vAlign w:val="center"/>
          </w:tcPr>
          <w:p w:rsidR="00FD3FF1" w:rsidRDefault="00D7167C">
            <w:pPr>
              <w:jc w:val="center"/>
            </w:pPr>
            <w:r>
              <w:rPr>
                <w:color w:val="000000"/>
                <w:sz w:val="24"/>
              </w:rPr>
              <w:t>000776</w:t>
            </w:r>
          </w:p>
        </w:tc>
        <w:tc>
          <w:tcPr>
            <w:tcW w:w="1621" w:type="dxa"/>
            <w:vAlign w:val="center"/>
          </w:tcPr>
          <w:p w:rsidR="00FD3FF1" w:rsidRDefault="00D7167C">
            <w:pPr>
              <w:jc w:val="center"/>
            </w:pPr>
            <w:r>
              <w:rPr>
                <w:color w:val="000000"/>
                <w:sz w:val="24"/>
              </w:rPr>
              <w:t>广发证券</w:t>
            </w:r>
          </w:p>
        </w:tc>
        <w:tc>
          <w:tcPr>
            <w:tcW w:w="1769" w:type="dxa"/>
            <w:vAlign w:val="center"/>
          </w:tcPr>
          <w:p w:rsidR="00FD3FF1" w:rsidRDefault="00D7167C">
            <w:pPr>
              <w:jc w:val="right"/>
            </w:pPr>
            <w:r>
              <w:rPr>
                <w:color w:val="000000"/>
                <w:sz w:val="24"/>
              </w:rPr>
              <w:t>1,400</w:t>
            </w:r>
          </w:p>
        </w:tc>
        <w:tc>
          <w:tcPr>
            <w:tcW w:w="2211" w:type="dxa"/>
            <w:vAlign w:val="center"/>
          </w:tcPr>
          <w:p w:rsidR="00FD3FF1" w:rsidRDefault="00D7167C">
            <w:pPr>
              <w:jc w:val="right"/>
            </w:pPr>
            <w:r>
              <w:rPr>
                <w:color w:val="000000"/>
                <w:sz w:val="24"/>
              </w:rPr>
              <w:t>26,572.00</w:t>
            </w:r>
          </w:p>
        </w:tc>
        <w:tc>
          <w:tcPr>
            <w:tcW w:w="1091" w:type="dxa"/>
            <w:vAlign w:val="center"/>
          </w:tcPr>
          <w:p w:rsidR="00FD3FF1" w:rsidRDefault="00D7167C">
            <w:pPr>
              <w:jc w:val="right"/>
            </w:pPr>
            <w:r>
              <w:rPr>
                <w:color w:val="000000"/>
                <w:sz w:val="24"/>
              </w:rPr>
              <w:t>0.04</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报告期内本基金投资的前十名证券的发行主体除广发证券（证券代码：</w:t>
      </w:r>
      <w:r w:rsidRPr="00120EC8">
        <w:rPr>
          <w:kern w:val="0"/>
          <w:sz w:val="24"/>
        </w:rPr>
        <w:t>000776</w:t>
      </w:r>
      <w:r w:rsidRPr="00120EC8">
        <w:rPr>
          <w:kern w:val="0"/>
          <w:sz w:val="24"/>
        </w:rPr>
        <w:t>）外，未出现被监管部门立案调查，或在报告编制日前一年内受到公开谴责、处罚的情形。</w:t>
      </w:r>
    </w:p>
    <w:p w:rsidR="00FD3FF1" w:rsidRDefault="00D7167C">
      <w:pPr>
        <w:autoSpaceDE w:val="0"/>
        <w:autoSpaceDN w:val="0"/>
        <w:adjustRightInd w:val="0"/>
        <w:spacing w:before="29" w:line="288" w:lineRule="auto"/>
        <w:rPr>
          <w:kern w:val="0"/>
          <w:sz w:val="24"/>
        </w:rPr>
      </w:pPr>
      <w:r>
        <w:rPr>
          <w:kern w:val="0"/>
          <w:sz w:val="24"/>
        </w:rPr>
        <w:t>报告期内本基金投资的前十名证券之一广发证券（证券代码：</w:t>
      </w:r>
      <w:r>
        <w:rPr>
          <w:kern w:val="0"/>
          <w:sz w:val="24"/>
        </w:rPr>
        <w:t>000776</w:t>
      </w:r>
      <w:r>
        <w:rPr>
          <w:kern w:val="0"/>
          <w:sz w:val="24"/>
        </w:rPr>
        <w:t>）于</w:t>
      </w:r>
      <w:r>
        <w:rPr>
          <w:kern w:val="0"/>
          <w:sz w:val="24"/>
        </w:rPr>
        <w:t>2016</w:t>
      </w:r>
      <w:r>
        <w:rPr>
          <w:kern w:val="0"/>
          <w:sz w:val="24"/>
        </w:rPr>
        <w:t>年</w:t>
      </w:r>
      <w:r>
        <w:rPr>
          <w:kern w:val="0"/>
          <w:sz w:val="24"/>
        </w:rPr>
        <w:t>11</w:t>
      </w:r>
      <w:r>
        <w:rPr>
          <w:kern w:val="0"/>
          <w:sz w:val="24"/>
        </w:rPr>
        <w:t>月</w:t>
      </w:r>
      <w:r>
        <w:rPr>
          <w:kern w:val="0"/>
          <w:sz w:val="24"/>
        </w:rPr>
        <w:t>28</w:t>
      </w:r>
      <w:r>
        <w:rPr>
          <w:kern w:val="0"/>
          <w:sz w:val="24"/>
        </w:rPr>
        <w:t>日公告，公司因未按规定审查、了解客户身份等违法违规行为于</w:t>
      </w:r>
      <w:r>
        <w:rPr>
          <w:kern w:val="0"/>
          <w:sz w:val="24"/>
        </w:rPr>
        <w:t>2016</w:t>
      </w:r>
      <w:r>
        <w:rPr>
          <w:kern w:val="0"/>
          <w:sz w:val="24"/>
        </w:rPr>
        <w:t>年</w:t>
      </w:r>
      <w:r>
        <w:rPr>
          <w:kern w:val="0"/>
          <w:sz w:val="24"/>
        </w:rPr>
        <w:t>11</w:t>
      </w:r>
      <w:r>
        <w:rPr>
          <w:kern w:val="0"/>
          <w:sz w:val="24"/>
        </w:rPr>
        <w:t>月</w:t>
      </w:r>
      <w:r>
        <w:rPr>
          <w:kern w:val="0"/>
          <w:sz w:val="24"/>
        </w:rPr>
        <w:t>26</w:t>
      </w:r>
      <w:r>
        <w:rPr>
          <w:kern w:val="0"/>
          <w:sz w:val="24"/>
        </w:rPr>
        <w:t>日收到中国证监会《行政处罚决定书》（</w:t>
      </w:r>
      <w:r>
        <w:rPr>
          <w:kern w:val="0"/>
          <w:sz w:val="24"/>
        </w:rPr>
        <w:t>[2016]128</w:t>
      </w:r>
      <w:r>
        <w:rPr>
          <w:kern w:val="0"/>
          <w:sz w:val="24"/>
        </w:rPr>
        <w:t>号）。据此，中国证监会决定对公司责令改正，给予警告，没收违法所得</w:t>
      </w:r>
      <w:r>
        <w:rPr>
          <w:kern w:val="0"/>
          <w:sz w:val="24"/>
        </w:rPr>
        <w:t>6,805,135.75</w:t>
      </w:r>
      <w:r>
        <w:rPr>
          <w:kern w:val="0"/>
          <w:sz w:val="24"/>
        </w:rPr>
        <w:t>元，并处以</w:t>
      </w:r>
      <w:r>
        <w:rPr>
          <w:kern w:val="0"/>
          <w:sz w:val="24"/>
        </w:rPr>
        <w:t>20,415,407.25</w:t>
      </w:r>
      <w:r>
        <w:rPr>
          <w:kern w:val="0"/>
          <w:sz w:val="24"/>
        </w:rPr>
        <w:t>元罚款。</w:t>
      </w:r>
    </w:p>
    <w:p w:rsidR="00FD3FF1" w:rsidRDefault="00D7167C">
      <w:pPr>
        <w:autoSpaceDE w:val="0"/>
        <w:autoSpaceDN w:val="0"/>
        <w:adjustRightInd w:val="0"/>
        <w:spacing w:before="29" w:line="288" w:lineRule="auto"/>
        <w:rPr>
          <w:kern w:val="0"/>
          <w:sz w:val="24"/>
        </w:rPr>
      </w:pPr>
      <w:r>
        <w:rPr>
          <w:kern w:val="0"/>
          <w:sz w:val="24"/>
        </w:rPr>
        <w:t>本基金遵循指数化投资理念，本基金通过把全部或接近全部的基金资产投资于目标</w:t>
      </w:r>
      <w:r>
        <w:rPr>
          <w:kern w:val="0"/>
          <w:sz w:val="24"/>
        </w:rPr>
        <w:t>ETF</w:t>
      </w:r>
      <w:r>
        <w:rPr>
          <w:kern w:val="0"/>
          <w:sz w:val="24"/>
        </w:rPr>
        <w:t>、标的指数成份股和备选成份股进行被动式指数化投资。本基金对该证券的投资遵守本基金管理人基金投资管理相关制度及被动式指数化投资策略。</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1,991.91</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694.86</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48,584.16</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51,270.93</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220542" w:rsidRPr="00324C76">
        <w:rPr>
          <w:bCs/>
          <w:sz w:val="24"/>
        </w:rPr>
        <w:t>报告期末前十名股票中存在流通受限情况的说明</w:t>
      </w:r>
    </w:p>
    <w:p w:rsidR="00220542" w:rsidRPr="00324C76" w:rsidRDefault="00A40C1C" w:rsidP="00B04217">
      <w:pPr>
        <w:autoSpaceDE w:val="0"/>
        <w:autoSpaceDN w:val="0"/>
        <w:adjustRightInd w:val="0"/>
        <w:spacing w:before="29" w:line="288" w:lineRule="auto"/>
        <w:jc w:val="left"/>
        <w:rPr>
          <w:sz w:val="24"/>
        </w:rPr>
      </w:pPr>
      <w:r w:rsidRPr="00324C76">
        <w:rPr>
          <w:sz w:val="24"/>
        </w:rPr>
        <w:t>本基金本报告期末前十名股票中不存在流通受限情况。</w:t>
      </w:r>
    </w:p>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lastRenderedPageBreak/>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47622F">
      <w:pPr>
        <w:pStyle w:val="1"/>
        <w:spacing w:beforeLines="100" w:before="312" w:afterLines="100" w:after="312" w:line="288" w:lineRule="auto"/>
        <w:jc w:val="center"/>
        <w:rPr>
          <w:kern w:val="0"/>
          <w:sz w:val="24"/>
          <w:szCs w:val="24"/>
        </w:rPr>
      </w:pPr>
      <w:r w:rsidRPr="00324C76">
        <w:rPr>
          <w:kern w:val="0"/>
          <w:sz w:val="24"/>
          <w:szCs w:val="24"/>
        </w:rPr>
        <w:t>§6</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37,228,058.38</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2,934,816.39</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3,568,966.80</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36,593,907.97</w:t>
            </w:r>
          </w:p>
        </w:tc>
      </w:tr>
    </w:tbl>
    <w:p w:rsidR="00FD3FF1" w:rsidRDefault="00D7167C">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47622F">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29B7" w:rsidRPr="00F229B7" w:rsidRDefault="00F229B7" w:rsidP="00B0421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买入</w:t>
            </w:r>
            <w:r w:rsidRPr="00F229B7">
              <w:rPr>
                <w:color w:val="000000"/>
                <w:sz w:val="24"/>
              </w:rPr>
              <w:t>/</w:t>
            </w:r>
            <w:r w:rsidRPr="00F229B7">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t>%</w:t>
            </w:r>
            <w:r w:rsidRPr="00F229B7">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35.86</w:t>
            </w:r>
          </w:p>
        </w:tc>
      </w:tr>
    </w:tbl>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96A7B" w:rsidRDefault="00696A7B" w:rsidP="0047622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§8影响投资者决策的其他重要信息</w:t>
      </w:r>
    </w:p>
    <w:p w:rsidR="00696A7B" w:rsidRDefault="00696A7B" w:rsidP="00696A7B">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696A7B" w:rsidTr="00696A7B">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报告期末持有基金情况</w:t>
            </w:r>
          </w:p>
        </w:tc>
      </w:tr>
      <w:tr w:rsidR="00696A7B" w:rsidTr="00696A7B">
        <w:tc>
          <w:tcPr>
            <w:tcW w:w="993" w:type="dxa"/>
            <w:vMerge/>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left"/>
              <w:rPr>
                <w:rFonts w:ascii="宋体" w:hAnsi="宋体"/>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份额占比</w:t>
            </w:r>
          </w:p>
        </w:tc>
      </w:tr>
      <w:tr w:rsidR="00FD3FF1">
        <w:tc>
          <w:tcPr>
            <w:tcW w:w="992" w:type="dxa"/>
          </w:tcPr>
          <w:p w:rsidR="00FD3FF1" w:rsidRDefault="00FD3FF1"/>
          <w:p w:rsidR="00FD3FF1" w:rsidRDefault="00D7167C">
            <w:r>
              <w:rPr>
                <w:rFonts w:ascii="宋体" w:hAnsi="宋体" w:hint="eastAsia"/>
                <w:bCs/>
                <w:color w:val="000000"/>
                <w:kern w:val="0"/>
                <w:sz w:val="24"/>
              </w:rPr>
              <w:t>机构</w:t>
            </w:r>
          </w:p>
        </w:tc>
        <w:tc>
          <w:tcPr>
            <w:tcW w:w="991" w:type="dxa"/>
            <w:vAlign w:val="center"/>
          </w:tcPr>
          <w:p w:rsidR="00FD3FF1" w:rsidRDefault="00D7167C">
            <w:pPr>
              <w:jc w:val="center"/>
            </w:pPr>
            <w:r>
              <w:rPr>
                <w:rFonts w:ascii="宋体" w:hAnsi="宋体" w:hint="eastAsia"/>
                <w:color w:val="000000"/>
                <w:kern w:val="0"/>
                <w:sz w:val="24"/>
              </w:rPr>
              <w:t>1</w:t>
            </w:r>
          </w:p>
        </w:tc>
        <w:tc>
          <w:tcPr>
            <w:tcW w:w="1843" w:type="dxa"/>
            <w:vAlign w:val="center"/>
          </w:tcPr>
          <w:p w:rsidR="00FD3FF1" w:rsidRDefault="00D7167C">
            <w:pPr>
              <w:jc w:val="center"/>
            </w:pPr>
            <w:r>
              <w:rPr>
                <w:rFonts w:ascii="宋体" w:hAnsi="宋体" w:hint="eastAsia"/>
                <w:color w:val="000000"/>
                <w:kern w:val="0"/>
                <w:sz w:val="24"/>
              </w:rPr>
              <w:t>2017/7/1-2017/9/30</w:t>
            </w:r>
          </w:p>
        </w:tc>
        <w:tc>
          <w:tcPr>
            <w:tcW w:w="851" w:type="dxa"/>
            <w:vAlign w:val="center"/>
          </w:tcPr>
          <w:p w:rsidR="00FD3FF1" w:rsidRDefault="00D7167C">
            <w:pPr>
              <w:jc w:val="center"/>
            </w:pPr>
            <w:r>
              <w:rPr>
                <w:rFonts w:ascii="宋体" w:hAnsi="宋体" w:hint="eastAsia"/>
                <w:color w:val="000000"/>
                <w:kern w:val="0"/>
                <w:sz w:val="24"/>
              </w:rPr>
              <w:t>13,122,703.41</w:t>
            </w:r>
          </w:p>
        </w:tc>
        <w:tc>
          <w:tcPr>
            <w:tcW w:w="850" w:type="dxa"/>
            <w:vAlign w:val="center"/>
          </w:tcPr>
          <w:p w:rsidR="00FD3FF1" w:rsidRDefault="00D7167C">
            <w:pPr>
              <w:jc w:val="center"/>
            </w:pPr>
            <w:r>
              <w:rPr>
                <w:rFonts w:ascii="宋体" w:hAnsi="宋体" w:hint="eastAsia"/>
                <w:color w:val="000000"/>
                <w:kern w:val="0"/>
                <w:sz w:val="24"/>
              </w:rPr>
              <w:t>-</w:t>
            </w:r>
          </w:p>
        </w:tc>
        <w:tc>
          <w:tcPr>
            <w:tcW w:w="1134" w:type="dxa"/>
            <w:vAlign w:val="center"/>
          </w:tcPr>
          <w:p w:rsidR="00FD3FF1" w:rsidRDefault="00D7167C">
            <w:pPr>
              <w:jc w:val="center"/>
            </w:pPr>
            <w:r>
              <w:rPr>
                <w:rFonts w:ascii="宋体" w:hAnsi="宋体" w:hint="eastAsia"/>
                <w:color w:val="000000"/>
                <w:kern w:val="0"/>
                <w:sz w:val="24"/>
              </w:rPr>
              <w:t>-</w:t>
            </w:r>
          </w:p>
        </w:tc>
        <w:tc>
          <w:tcPr>
            <w:tcW w:w="1419" w:type="dxa"/>
            <w:vAlign w:val="center"/>
          </w:tcPr>
          <w:p w:rsidR="00FD3FF1" w:rsidRDefault="00D7167C">
            <w:pPr>
              <w:jc w:val="center"/>
            </w:pPr>
            <w:r>
              <w:rPr>
                <w:rFonts w:ascii="宋体" w:hAnsi="宋体" w:hint="eastAsia"/>
                <w:color w:val="000000"/>
                <w:kern w:val="0"/>
                <w:sz w:val="24"/>
              </w:rPr>
              <w:t>13,122,703.41</w:t>
            </w:r>
          </w:p>
        </w:tc>
        <w:tc>
          <w:tcPr>
            <w:tcW w:w="1130" w:type="dxa"/>
            <w:vAlign w:val="center"/>
          </w:tcPr>
          <w:p w:rsidR="00FD3FF1" w:rsidRDefault="00D7167C">
            <w:pPr>
              <w:jc w:val="center"/>
            </w:pPr>
            <w:r>
              <w:rPr>
                <w:rFonts w:ascii="宋体" w:hAnsi="宋体" w:hint="eastAsia"/>
                <w:color w:val="000000"/>
                <w:kern w:val="0"/>
                <w:sz w:val="24"/>
              </w:rPr>
              <w:t>35.86%</w:t>
            </w:r>
          </w:p>
        </w:tc>
      </w:tr>
      <w:tr w:rsidR="00696A7B" w:rsidTr="00696A7B">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kern w:val="0"/>
                <w:sz w:val="24"/>
              </w:rPr>
            </w:pPr>
            <w:r>
              <w:rPr>
                <w:rFonts w:ascii="宋体" w:hAnsi="宋体" w:hint="eastAsia"/>
                <w:color w:val="000000"/>
                <w:kern w:val="0"/>
                <w:sz w:val="24"/>
              </w:rPr>
              <w:t>产品特有风险</w:t>
            </w:r>
          </w:p>
        </w:tc>
      </w:tr>
      <w:tr w:rsidR="00696A7B" w:rsidTr="00696A7B">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left"/>
              <w:rPr>
                <w:rFonts w:ascii="宋体" w:hAnsi="宋体"/>
                <w:kern w:val="0"/>
                <w:sz w:val="24"/>
              </w:rPr>
            </w:pPr>
            <w:r>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A0A24" w:rsidRPr="00495FAB" w:rsidRDefault="00220542" w:rsidP="0047622F">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9</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9</w:t>
      </w:r>
      <w:r w:rsidR="00220542" w:rsidRPr="00324C76">
        <w:rPr>
          <w:b/>
          <w:sz w:val="24"/>
        </w:rPr>
        <w:t>.</w:t>
      </w:r>
      <w:r w:rsidR="0083066D" w:rsidRPr="00324C76">
        <w:rPr>
          <w:b/>
          <w:sz w:val="24"/>
        </w:rPr>
        <w:t>1</w:t>
      </w:r>
      <w:r w:rsidR="00220542" w:rsidRPr="00324C76">
        <w:rPr>
          <w:b/>
          <w:sz w:val="24"/>
        </w:rPr>
        <w:t>备查文件目录</w:t>
      </w:r>
    </w:p>
    <w:p w:rsidR="00FD3FF1" w:rsidRDefault="00D7167C">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FD3FF1" w:rsidRDefault="00D7167C">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FD3FF1" w:rsidRDefault="00D7167C">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FD3FF1" w:rsidRDefault="00D7167C">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FD3FF1" w:rsidRDefault="00D7167C">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FD3FF1" w:rsidRDefault="00D7167C">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FD3FF1" w:rsidRDefault="00D7167C">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9.2</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9.3</w:t>
      </w:r>
      <w:r w:rsidR="00220542" w:rsidRPr="00324C76">
        <w:rPr>
          <w:b/>
          <w:sz w:val="24"/>
        </w:rPr>
        <w:t>查阅方式</w:t>
      </w:r>
    </w:p>
    <w:p w:rsidR="00FD3FF1" w:rsidRDefault="00D7167C">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FAD" w:rsidRDefault="00130FAD">
      <w:r>
        <w:separator/>
      </w:r>
    </w:p>
  </w:endnote>
  <w:endnote w:type="continuationSeparator" w:id="0">
    <w:p w:rsidR="00130FAD" w:rsidRDefault="0013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178F5">
      <w:rPr>
        <w:kern w:val="0"/>
        <w:szCs w:val="21"/>
      </w:rPr>
      <w:fldChar w:fldCharType="begin"/>
    </w:r>
    <w:r>
      <w:rPr>
        <w:kern w:val="0"/>
        <w:szCs w:val="21"/>
      </w:rPr>
      <w:instrText xml:space="preserve"> PAGE </w:instrText>
    </w:r>
    <w:r w:rsidR="00D178F5">
      <w:rPr>
        <w:kern w:val="0"/>
        <w:szCs w:val="21"/>
      </w:rPr>
      <w:fldChar w:fldCharType="separate"/>
    </w:r>
    <w:r w:rsidR="008E114B">
      <w:rPr>
        <w:noProof/>
        <w:kern w:val="0"/>
        <w:szCs w:val="21"/>
      </w:rPr>
      <w:t>1</w:t>
    </w:r>
    <w:r w:rsidR="00D178F5">
      <w:rPr>
        <w:kern w:val="0"/>
        <w:szCs w:val="21"/>
      </w:rPr>
      <w:fldChar w:fldCharType="end"/>
    </w:r>
    <w:r>
      <w:rPr>
        <w:rFonts w:hint="eastAsia"/>
        <w:kern w:val="0"/>
        <w:szCs w:val="21"/>
      </w:rPr>
      <w:t>页共</w:t>
    </w:r>
    <w:r w:rsidR="00D178F5">
      <w:rPr>
        <w:kern w:val="0"/>
        <w:szCs w:val="21"/>
      </w:rPr>
      <w:fldChar w:fldCharType="begin"/>
    </w:r>
    <w:r>
      <w:rPr>
        <w:kern w:val="0"/>
        <w:szCs w:val="21"/>
      </w:rPr>
      <w:instrText xml:space="preserve"> NUMPAGES </w:instrText>
    </w:r>
    <w:r w:rsidR="00D178F5">
      <w:rPr>
        <w:kern w:val="0"/>
        <w:szCs w:val="21"/>
      </w:rPr>
      <w:fldChar w:fldCharType="separate"/>
    </w:r>
    <w:r w:rsidR="008E114B">
      <w:rPr>
        <w:noProof/>
        <w:kern w:val="0"/>
        <w:szCs w:val="21"/>
      </w:rPr>
      <w:t>14</w:t>
    </w:r>
    <w:r w:rsidR="00D178F5">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D178F5">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FAD" w:rsidRDefault="00130FAD">
      <w:r>
        <w:separator/>
      </w:r>
    </w:p>
  </w:footnote>
  <w:footnote w:type="continuationSeparator" w:id="0">
    <w:p w:rsidR="00130FAD" w:rsidRDefault="00130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0FAD"/>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17B89"/>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1C72"/>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114B"/>
    <w:rsid w:val="008E2450"/>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0EC"/>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724"/>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689"/>
    <w:rsid w:val="00BA3E48"/>
    <w:rsid w:val="00BA4BD3"/>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200BD"/>
    <w:rsid w:val="00D22399"/>
    <w:rsid w:val="00D260E1"/>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167C"/>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3FF1"/>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35DD4FE-0DC1-43CE-828F-9129F463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206D4-5630-4FD2-AF1E-B2CA869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Template>
  <TotalTime>333</TotalTime>
  <Pages>14</Pages>
  <Words>1174</Words>
  <Characters>6697</Characters>
  <Application>Microsoft Office Word</Application>
  <DocSecurity>0</DocSecurity>
  <Lines>55</Lines>
  <Paragraphs>15</Paragraphs>
  <ScaleCrop>false</ScaleCrop>
  <Company>TRT. Ltd. Co.</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398</cp:revision>
  <cp:lastPrinted>2007-07-19T00:46:00Z</cp:lastPrinted>
  <dcterms:created xsi:type="dcterms:W3CDTF">2012-11-13T02:08:00Z</dcterms:created>
  <dcterms:modified xsi:type="dcterms:W3CDTF">2017-10-23T07:05:00Z</dcterms:modified>
</cp:coreProperties>
</file>