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C2DBB" w:rsidRDefault="00BD62E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224,643,753.30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D62E1" w:rsidRPr="00414345" w:rsidTr="00BD62E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D62E1" w:rsidRPr="00414345" w:rsidTr="00BD6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35,275,029.55</w:t>
            </w:r>
          </w:p>
        </w:tc>
      </w:tr>
      <w:tr w:rsidR="00BD62E1" w:rsidRPr="00414345" w:rsidTr="00BD6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44,966,483.06</w:t>
            </w:r>
          </w:p>
        </w:tc>
      </w:tr>
      <w:tr w:rsidR="00BD62E1" w:rsidRPr="00414345" w:rsidTr="00BD6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0.1888</w:t>
            </w:r>
          </w:p>
        </w:tc>
      </w:tr>
      <w:tr w:rsidR="00BD62E1" w:rsidRPr="00414345" w:rsidTr="00BD62E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609,272,402.68</w:t>
            </w:r>
          </w:p>
        </w:tc>
      </w:tr>
      <w:tr w:rsidR="00BD62E1" w:rsidRPr="00414345" w:rsidTr="00BD62E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2.712</w:t>
            </w:r>
          </w:p>
        </w:tc>
      </w:tr>
    </w:tbl>
    <w:p w:rsidR="002C2DBB" w:rsidRDefault="00BD62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C2DBB">
        <w:trPr>
          <w:jc w:val="center"/>
        </w:trPr>
        <w:tc>
          <w:tcPr>
            <w:tcW w:w="1701" w:type="dxa"/>
            <w:vAlign w:val="center"/>
          </w:tcPr>
          <w:p w:rsidR="002C2DBB" w:rsidRDefault="00BD62E1">
            <w:pPr>
              <w:jc w:val="left"/>
            </w:pPr>
            <w:r>
              <w:rPr>
                <w:color w:val="000000"/>
                <w:sz w:val="24"/>
                <w:szCs w:val="24"/>
              </w:rPr>
              <w:t>过去三个月</w:t>
            </w:r>
          </w:p>
        </w:tc>
        <w:tc>
          <w:tcPr>
            <w:tcW w:w="1045" w:type="dxa"/>
            <w:vAlign w:val="center"/>
          </w:tcPr>
          <w:p w:rsidR="002C2DBB" w:rsidRDefault="00BD62E1">
            <w:pPr>
              <w:jc w:val="center"/>
            </w:pPr>
            <w:r>
              <w:rPr>
                <w:color w:val="000000"/>
                <w:sz w:val="24"/>
                <w:szCs w:val="24"/>
              </w:rPr>
              <w:t>7.83%</w:t>
            </w:r>
          </w:p>
        </w:tc>
        <w:tc>
          <w:tcPr>
            <w:tcW w:w="1344" w:type="dxa"/>
            <w:vAlign w:val="center"/>
          </w:tcPr>
          <w:p w:rsidR="002C2DBB" w:rsidRDefault="00BD62E1">
            <w:pPr>
              <w:jc w:val="center"/>
            </w:pPr>
            <w:r>
              <w:rPr>
                <w:color w:val="000000"/>
                <w:sz w:val="24"/>
                <w:szCs w:val="24"/>
              </w:rPr>
              <w:t>0.88%</w:t>
            </w:r>
          </w:p>
        </w:tc>
        <w:tc>
          <w:tcPr>
            <w:tcW w:w="1194" w:type="dxa"/>
            <w:vAlign w:val="center"/>
          </w:tcPr>
          <w:p w:rsidR="002C2DBB" w:rsidRDefault="00BD62E1">
            <w:pPr>
              <w:jc w:val="center"/>
            </w:pPr>
            <w:r>
              <w:rPr>
                <w:color w:val="000000"/>
                <w:sz w:val="24"/>
                <w:szCs w:val="24"/>
              </w:rPr>
              <w:t>3.04%</w:t>
            </w:r>
          </w:p>
        </w:tc>
        <w:tc>
          <w:tcPr>
            <w:tcW w:w="1492" w:type="dxa"/>
            <w:vAlign w:val="center"/>
          </w:tcPr>
          <w:p w:rsidR="002C2DBB" w:rsidRDefault="00BD62E1">
            <w:pPr>
              <w:jc w:val="center"/>
            </w:pPr>
            <w:r>
              <w:rPr>
                <w:color w:val="000000"/>
                <w:sz w:val="24"/>
                <w:szCs w:val="24"/>
              </w:rPr>
              <w:t>0.35%</w:t>
            </w:r>
          </w:p>
        </w:tc>
        <w:tc>
          <w:tcPr>
            <w:tcW w:w="1194" w:type="dxa"/>
            <w:vAlign w:val="center"/>
          </w:tcPr>
          <w:p w:rsidR="002C2DBB" w:rsidRDefault="00BD62E1">
            <w:pPr>
              <w:jc w:val="center"/>
            </w:pPr>
            <w:r>
              <w:rPr>
                <w:color w:val="000000"/>
                <w:sz w:val="24"/>
                <w:szCs w:val="24"/>
              </w:rPr>
              <w:t>4.79%</w:t>
            </w:r>
          </w:p>
        </w:tc>
        <w:tc>
          <w:tcPr>
            <w:tcW w:w="898" w:type="dxa"/>
            <w:vAlign w:val="center"/>
          </w:tcPr>
          <w:p w:rsidR="002C2DBB" w:rsidRDefault="00BD62E1">
            <w:pPr>
              <w:jc w:val="center"/>
            </w:pPr>
            <w:r>
              <w:rPr>
                <w:color w:val="000000"/>
                <w:sz w:val="24"/>
                <w:szCs w:val="24"/>
              </w:rPr>
              <w:t>0.53%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BD62E1">
        <w:rPr>
          <w:rFonts w:ascii="Times New Roman" w:hAnsi="Times New Roman" w:cs="Times New Roman" w:hint="eastAsia"/>
          <w:sz w:val="24"/>
          <w:szCs w:val="24"/>
        </w:rPr>
        <w:t>12</w:t>
      </w:r>
      <w:r w:rsidR="0042009D" w:rsidRPr="00414345">
        <w:rPr>
          <w:rFonts w:ascii="Times New Roman" w:hAnsi="Times New Roman" w:cs="Times New Roman"/>
          <w:sz w:val="24"/>
          <w:szCs w:val="24"/>
        </w:rPr>
        <w:t>年</w:t>
      </w:r>
      <w:r w:rsidR="00BD62E1">
        <w:rPr>
          <w:rFonts w:ascii="Times New Roman" w:hAnsi="Times New Roman" w:cs="Times New Roman" w:hint="eastAsia"/>
          <w:sz w:val="24"/>
          <w:szCs w:val="24"/>
        </w:rPr>
        <w:t>2</w:t>
      </w:r>
      <w:r w:rsidR="0042009D" w:rsidRPr="00414345">
        <w:rPr>
          <w:rFonts w:ascii="Times New Roman" w:hAnsi="Times New Roman" w:cs="Times New Roman"/>
          <w:sz w:val="24"/>
          <w:szCs w:val="24"/>
        </w:rPr>
        <w:t>月</w:t>
      </w:r>
      <w:r w:rsidR="00BD62E1">
        <w:rPr>
          <w:rFonts w:ascii="Times New Roman" w:hAnsi="Times New Roman" w:cs="Times New Roman" w:hint="eastAsia"/>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C2DBB">
        <w:trPr>
          <w:jc w:val="center"/>
        </w:trPr>
        <w:tc>
          <w:tcPr>
            <w:tcW w:w="846" w:type="dxa"/>
            <w:vAlign w:val="center"/>
          </w:tcPr>
          <w:p w:rsidR="002C2DBB" w:rsidRDefault="00BD62E1">
            <w:pPr>
              <w:jc w:val="center"/>
            </w:pPr>
            <w:r>
              <w:rPr>
                <w:color w:val="000000"/>
                <w:sz w:val="24"/>
                <w:szCs w:val="24"/>
              </w:rPr>
              <w:t>何帅</w:t>
            </w:r>
          </w:p>
        </w:tc>
        <w:tc>
          <w:tcPr>
            <w:tcW w:w="845" w:type="dxa"/>
            <w:vAlign w:val="center"/>
          </w:tcPr>
          <w:p w:rsidR="002C2DBB" w:rsidRDefault="00BD62E1">
            <w:pPr>
              <w:jc w:val="center"/>
            </w:pPr>
            <w:r>
              <w:rPr>
                <w:color w:val="000000"/>
                <w:sz w:val="24"/>
                <w:szCs w:val="24"/>
              </w:rPr>
              <w:t>交银优势行业混合、交银阿尔</w:t>
            </w:r>
            <w:r>
              <w:rPr>
                <w:color w:val="000000"/>
                <w:sz w:val="24"/>
                <w:szCs w:val="24"/>
              </w:rPr>
              <w:lastRenderedPageBreak/>
              <w:t>法核心混合的基金经理</w:t>
            </w:r>
          </w:p>
        </w:tc>
        <w:tc>
          <w:tcPr>
            <w:tcW w:w="1549" w:type="dxa"/>
            <w:vAlign w:val="center"/>
          </w:tcPr>
          <w:p w:rsidR="002C2DBB" w:rsidRDefault="00BD62E1">
            <w:pPr>
              <w:jc w:val="center"/>
            </w:pPr>
            <w:r>
              <w:rPr>
                <w:color w:val="000000"/>
                <w:sz w:val="24"/>
                <w:szCs w:val="24"/>
              </w:rPr>
              <w:lastRenderedPageBreak/>
              <w:t>2015-07-09</w:t>
            </w:r>
          </w:p>
        </w:tc>
        <w:tc>
          <w:tcPr>
            <w:tcW w:w="1548" w:type="dxa"/>
            <w:vAlign w:val="center"/>
          </w:tcPr>
          <w:p w:rsidR="002C2DBB" w:rsidRDefault="00BD62E1">
            <w:pPr>
              <w:jc w:val="center"/>
            </w:pPr>
            <w:r>
              <w:rPr>
                <w:color w:val="000000"/>
                <w:sz w:val="24"/>
                <w:szCs w:val="24"/>
              </w:rPr>
              <w:t>-</w:t>
            </w:r>
          </w:p>
        </w:tc>
        <w:tc>
          <w:tcPr>
            <w:tcW w:w="1407" w:type="dxa"/>
            <w:vAlign w:val="center"/>
          </w:tcPr>
          <w:p w:rsidR="002C2DBB" w:rsidRDefault="00BD62E1">
            <w:pPr>
              <w:jc w:val="center"/>
            </w:pPr>
            <w:r>
              <w:rPr>
                <w:color w:val="000000"/>
                <w:sz w:val="24"/>
                <w:szCs w:val="24"/>
              </w:rPr>
              <w:t>7</w:t>
            </w:r>
            <w:r>
              <w:rPr>
                <w:color w:val="000000"/>
                <w:sz w:val="24"/>
                <w:szCs w:val="24"/>
              </w:rPr>
              <w:t>年</w:t>
            </w:r>
          </w:p>
        </w:tc>
        <w:tc>
          <w:tcPr>
            <w:tcW w:w="2673" w:type="dxa"/>
            <w:vAlign w:val="center"/>
          </w:tcPr>
          <w:p w:rsidR="002C2DBB" w:rsidRDefault="00BD62E1">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C2DBB" w:rsidRDefault="00BD62E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C2DBB" w:rsidRDefault="00BD62E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C2DBB" w:rsidRDefault="00BD62E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2C2DBB" w:rsidRDefault="00BD62E1">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2C2DBB" w:rsidRDefault="002C2DBB">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C2DBB" w:rsidRDefault="00BD62E1">
      <w:pPr>
        <w:spacing w:before="29" w:line="288" w:lineRule="auto"/>
        <w:ind w:firstLineChars="200" w:firstLine="480"/>
        <w:rPr>
          <w:color w:val="000000"/>
          <w:sz w:val="24"/>
          <w:szCs w:val="24"/>
        </w:rPr>
      </w:pPr>
      <w:r>
        <w:rPr>
          <w:color w:val="000000"/>
          <w:sz w:val="24"/>
          <w:szCs w:val="24"/>
        </w:rPr>
        <w:t>2017</w:t>
      </w:r>
      <w:r>
        <w:rPr>
          <w:color w:val="000000"/>
          <w:sz w:val="24"/>
          <w:szCs w:val="24"/>
        </w:rPr>
        <w:t>年三季度</w:t>
      </w:r>
      <w:r>
        <w:rPr>
          <w:color w:val="000000"/>
          <w:sz w:val="24"/>
          <w:szCs w:val="24"/>
        </w:rPr>
        <w:t>A</w:t>
      </w:r>
      <w:r>
        <w:rPr>
          <w:color w:val="000000"/>
          <w:sz w:val="24"/>
          <w:szCs w:val="24"/>
        </w:rPr>
        <w:t>股市场机会较多，上证指数上涨</w:t>
      </w:r>
      <w:r>
        <w:rPr>
          <w:color w:val="000000"/>
          <w:sz w:val="24"/>
          <w:szCs w:val="24"/>
        </w:rPr>
        <w:t>4.9%</w:t>
      </w:r>
      <w:r>
        <w:rPr>
          <w:color w:val="000000"/>
          <w:sz w:val="24"/>
          <w:szCs w:val="24"/>
        </w:rPr>
        <w:t>，创业板指数上涨</w:t>
      </w:r>
      <w:r>
        <w:rPr>
          <w:color w:val="000000"/>
          <w:sz w:val="24"/>
          <w:szCs w:val="24"/>
        </w:rPr>
        <w:t>2.7%</w:t>
      </w:r>
      <w:r>
        <w:rPr>
          <w:color w:val="000000"/>
          <w:sz w:val="24"/>
          <w:szCs w:val="24"/>
        </w:rPr>
        <w:t>。其中新能源车产业链、周期板块、白酒等上涨明显。</w:t>
      </w:r>
    </w:p>
    <w:p w:rsidR="002C2DBB" w:rsidRDefault="00BD62E1">
      <w:pPr>
        <w:spacing w:before="29" w:line="288" w:lineRule="auto"/>
        <w:ind w:firstLineChars="200" w:firstLine="480"/>
        <w:rPr>
          <w:color w:val="000000"/>
          <w:sz w:val="24"/>
          <w:szCs w:val="24"/>
        </w:rPr>
      </w:pPr>
      <w:r>
        <w:rPr>
          <w:color w:val="000000"/>
          <w:sz w:val="24"/>
          <w:szCs w:val="24"/>
        </w:rPr>
        <w:t>本基金在三季度获得一定超额收益，主要原因在于钢铁等周期性板块以及光通讯等成长类个股的配置带来的收益。</w:t>
      </w:r>
    </w:p>
    <w:p w:rsidR="002C2DBB" w:rsidRDefault="00BD62E1">
      <w:pPr>
        <w:spacing w:before="29" w:line="288" w:lineRule="auto"/>
        <w:ind w:firstLineChars="200" w:firstLine="480"/>
        <w:rPr>
          <w:color w:val="000000"/>
          <w:sz w:val="24"/>
          <w:szCs w:val="24"/>
        </w:rPr>
      </w:pPr>
      <w:r>
        <w:rPr>
          <w:color w:val="000000"/>
          <w:sz w:val="24"/>
          <w:szCs w:val="24"/>
        </w:rPr>
        <w:t>三季度供给侧改革力度加深，同时环保压力加大，使得部分工业品价格持续上涨，而龙头企业则受益明显。三季度周期类公司的业绩明显超越市场预期。不过大量企业关停及限产，也影响了三季度工业增加值的恢复，使得经济增长速度略低于此前预期。我们预计后续经济增长仍具备较大韧性，持续处于不温不火的过程中。在货币中性，特别是金融去杠杆较为稳定的环境下，市场流动性边际趋紧，市场大幅上涨较难，但大量优质成长股估值处于较合理甚至低估状态，市场大的下跌风险不大。市场整体预计震荡走势概率较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进入第四季度后，我们将把更多目光聚焦于明后年具有较大增长潜力的公司。而选择可持续成长的行业及公司，也一直是本基金主要的选股方式，如光通讯、出版传媒、一线景区酒店、计算机服务等未来几年仍将保持较快增长速度和前景的行业。我们将坚持挖掘具备持续成长性及竞争力的公司，并在合理的估值体系下进行配置，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2.712</w:t>
      </w:r>
      <w:r w:rsidRPr="00414345">
        <w:rPr>
          <w:color w:val="000000"/>
          <w:sz w:val="24"/>
          <w:szCs w:val="24"/>
        </w:rPr>
        <w:t>元，本报告期份额净值增长率为</w:t>
      </w:r>
      <w:r w:rsidRPr="00414345">
        <w:rPr>
          <w:color w:val="000000"/>
          <w:sz w:val="24"/>
          <w:szCs w:val="24"/>
        </w:rPr>
        <w:t>7.83%</w:t>
      </w:r>
      <w:r w:rsidRPr="00414345">
        <w:rPr>
          <w:color w:val="000000"/>
          <w:sz w:val="24"/>
          <w:szCs w:val="24"/>
        </w:rPr>
        <w:t>，同期业绩比较基准增长率为</w:t>
      </w:r>
      <w:r w:rsidRPr="00414345">
        <w:rPr>
          <w:color w:val="000000"/>
          <w:sz w:val="24"/>
          <w:szCs w:val="24"/>
        </w:rPr>
        <w:t>3.04%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477,118,730.15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477,118,730.15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77.50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29,958,000.00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29,958,000.00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97,069,514.37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11,498,718.78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615,644,963.30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209,242,848.76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31,093.44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14,811,825.00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68,650.23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23,718,205.44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102,682,975.72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32,510,504.83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22,174,245.76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71,878,380.97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477,118,730.15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78.31</w:t>
            </w:r>
          </w:p>
        </w:tc>
      </w:tr>
    </w:tbl>
    <w:p w:rsidR="00EA1D60" w:rsidRDefault="00EA1D6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C2DBB">
        <w:trPr>
          <w:jc w:val="center"/>
        </w:trPr>
        <w:tc>
          <w:tcPr>
            <w:tcW w:w="855" w:type="dxa"/>
            <w:vAlign w:val="center"/>
          </w:tcPr>
          <w:p w:rsidR="002C2DBB" w:rsidRDefault="00BD62E1">
            <w:pPr>
              <w:jc w:val="center"/>
            </w:pPr>
            <w:r>
              <w:rPr>
                <w:color w:val="000000"/>
                <w:sz w:val="24"/>
                <w:szCs w:val="24"/>
              </w:rPr>
              <w:t>1</w:t>
            </w:r>
          </w:p>
        </w:tc>
        <w:tc>
          <w:tcPr>
            <w:tcW w:w="1334" w:type="dxa"/>
            <w:vAlign w:val="center"/>
          </w:tcPr>
          <w:p w:rsidR="002C2DBB" w:rsidRDefault="00BD62E1">
            <w:pPr>
              <w:jc w:val="center"/>
            </w:pPr>
            <w:r>
              <w:rPr>
                <w:color w:val="000000"/>
                <w:sz w:val="24"/>
                <w:szCs w:val="24"/>
              </w:rPr>
              <w:t>300365</w:t>
            </w:r>
          </w:p>
        </w:tc>
        <w:tc>
          <w:tcPr>
            <w:tcW w:w="1777" w:type="dxa"/>
            <w:vAlign w:val="center"/>
          </w:tcPr>
          <w:p w:rsidR="002C2DBB" w:rsidRDefault="00BD62E1">
            <w:pPr>
              <w:jc w:val="center"/>
            </w:pPr>
            <w:r>
              <w:rPr>
                <w:color w:val="000000"/>
                <w:sz w:val="24"/>
                <w:szCs w:val="24"/>
              </w:rPr>
              <w:t>恒华科技</w:t>
            </w:r>
          </w:p>
        </w:tc>
        <w:tc>
          <w:tcPr>
            <w:tcW w:w="1334" w:type="dxa"/>
            <w:vAlign w:val="center"/>
          </w:tcPr>
          <w:p w:rsidR="002C2DBB" w:rsidRDefault="00BD62E1">
            <w:pPr>
              <w:jc w:val="right"/>
            </w:pPr>
            <w:r>
              <w:rPr>
                <w:color w:val="000000"/>
                <w:sz w:val="24"/>
                <w:szCs w:val="24"/>
              </w:rPr>
              <w:t>1,450,227</w:t>
            </w:r>
          </w:p>
        </w:tc>
        <w:tc>
          <w:tcPr>
            <w:tcW w:w="1924" w:type="dxa"/>
            <w:vAlign w:val="center"/>
          </w:tcPr>
          <w:p w:rsidR="002C2DBB" w:rsidRDefault="00BD62E1">
            <w:pPr>
              <w:jc w:val="right"/>
            </w:pPr>
            <w:r>
              <w:rPr>
                <w:color w:val="000000"/>
                <w:sz w:val="24"/>
                <w:szCs w:val="24"/>
              </w:rPr>
              <w:t>54,340,005.69</w:t>
            </w:r>
          </w:p>
        </w:tc>
        <w:tc>
          <w:tcPr>
            <w:tcW w:w="1644" w:type="dxa"/>
            <w:vAlign w:val="center"/>
          </w:tcPr>
          <w:p w:rsidR="002C2DBB" w:rsidRDefault="00BD62E1">
            <w:pPr>
              <w:jc w:val="right"/>
            </w:pPr>
            <w:r>
              <w:rPr>
                <w:color w:val="000000"/>
                <w:sz w:val="24"/>
                <w:szCs w:val="24"/>
              </w:rPr>
              <w:t>8.92</w:t>
            </w:r>
          </w:p>
        </w:tc>
      </w:tr>
      <w:tr w:rsidR="002C2DBB">
        <w:trPr>
          <w:jc w:val="center"/>
        </w:trPr>
        <w:tc>
          <w:tcPr>
            <w:tcW w:w="855" w:type="dxa"/>
            <w:vAlign w:val="center"/>
          </w:tcPr>
          <w:p w:rsidR="002C2DBB" w:rsidRDefault="00BD62E1">
            <w:pPr>
              <w:jc w:val="center"/>
            </w:pPr>
            <w:r>
              <w:rPr>
                <w:color w:val="000000"/>
                <w:sz w:val="24"/>
                <w:szCs w:val="24"/>
              </w:rPr>
              <w:t>2</w:t>
            </w:r>
          </w:p>
        </w:tc>
        <w:tc>
          <w:tcPr>
            <w:tcW w:w="1334" w:type="dxa"/>
            <w:vAlign w:val="center"/>
          </w:tcPr>
          <w:p w:rsidR="002C2DBB" w:rsidRDefault="00BD62E1">
            <w:pPr>
              <w:jc w:val="center"/>
            </w:pPr>
            <w:r>
              <w:rPr>
                <w:color w:val="000000"/>
                <w:sz w:val="24"/>
                <w:szCs w:val="24"/>
              </w:rPr>
              <w:t>002343</w:t>
            </w:r>
          </w:p>
        </w:tc>
        <w:tc>
          <w:tcPr>
            <w:tcW w:w="1777" w:type="dxa"/>
            <w:vAlign w:val="center"/>
          </w:tcPr>
          <w:p w:rsidR="002C2DBB" w:rsidRDefault="00BD62E1">
            <w:pPr>
              <w:jc w:val="center"/>
            </w:pPr>
            <w:r>
              <w:rPr>
                <w:color w:val="000000"/>
                <w:sz w:val="24"/>
                <w:szCs w:val="24"/>
              </w:rPr>
              <w:t>慈文传媒</w:t>
            </w:r>
          </w:p>
        </w:tc>
        <w:tc>
          <w:tcPr>
            <w:tcW w:w="1334" w:type="dxa"/>
            <w:vAlign w:val="center"/>
          </w:tcPr>
          <w:p w:rsidR="002C2DBB" w:rsidRDefault="00BD62E1">
            <w:pPr>
              <w:jc w:val="right"/>
            </w:pPr>
            <w:r>
              <w:rPr>
                <w:color w:val="000000"/>
                <w:sz w:val="24"/>
                <w:szCs w:val="24"/>
              </w:rPr>
              <w:t>1,123,532</w:t>
            </w:r>
          </w:p>
        </w:tc>
        <w:tc>
          <w:tcPr>
            <w:tcW w:w="1924" w:type="dxa"/>
            <w:vAlign w:val="center"/>
          </w:tcPr>
          <w:p w:rsidR="002C2DBB" w:rsidRDefault="00BD62E1">
            <w:pPr>
              <w:jc w:val="right"/>
            </w:pPr>
            <w:r>
              <w:rPr>
                <w:color w:val="000000"/>
                <w:sz w:val="24"/>
                <w:szCs w:val="24"/>
              </w:rPr>
              <w:t>43,491,923.72</w:t>
            </w:r>
          </w:p>
        </w:tc>
        <w:tc>
          <w:tcPr>
            <w:tcW w:w="1644" w:type="dxa"/>
            <w:vAlign w:val="center"/>
          </w:tcPr>
          <w:p w:rsidR="002C2DBB" w:rsidRDefault="00BD62E1">
            <w:pPr>
              <w:jc w:val="right"/>
            </w:pPr>
            <w:r>
              <w:rPr>
                <w:color w:val="000000"/>
                <w:sz w:val="24"/>
                <w:szCs w:val="24"/>
              </w:rPr>
              <w:t>7.14</w:t>
            </w:r>
          </w:p>
        </w:tc>
      </w:tr>
      <w:tr w:rsidR="002C2DBB">
        <w:trPr>
          <w:jc w:val="center"/>
        </w:trPr>
        <w:tc>
          <w:tcPr>
            <w:tcW w:w="855" w:type="dxa"/>
            <w:vAlign w:val="center"/>
          </w:tcPr>
          <w:p w:rsidR="002C2DBB" w:rsidRDefault="00BD62E1">
            <w:pPr>
              <w:jc w:val="center"/>
            </w:pPr>
            <w:r>
              <w:rPr>
                <w:color w:val="000000"/>
                <w:sz w:val="24"/>
                <w:szCs w:val="24"/>
              </w:rPr>
              <w:t>3</w:t>
            </w:r>
          </w:p>
        </w:tc>
        <w:tc>
          <w:tcPr>
            <w:tcW w:w="1334" w:type="dxa"/>
            <w:vAlign w:val="center"/>
          </w:tcPr>
          <w:p w:rsidR="002C2DBB" w:rsidRDefault="00BD62E1">
            <w:pPr>
              <w:jc w:val="center"/>
            </w:pPr>
            <w:r>
              <w:rPr>
                <w:color w:val="000000"/>
                <w:sz w:val="24"/>
                <w:szCs w:val="24"/>
              </w:rPr>
              <w:t>600054</w:t>
            </w:r>
          </w:p>
        </w:tc>
        <w:tc>
          <w:tcPr>
            <w:tcW w:w="1777" w:type="dxa"/>
            <w:vAlign w:val="center"/>
          </w:tcPr>
          <w:p w:rsidR="002C2DBB" w:rsidRDefault="00BD62E1">
            <w:pPr>
              <w:jc w:val="center"/>
            </w:pPr>
            <w:r>
              <w:rPr>
                <w:color w:val="000000"/>
                <w:sz w:val="24"/>
                <w:szCs w:val="24"/>
              </w:rPr>
              <w:t>黄山旅游</w:t>
            </w:r>
          </w:p>
        </w:tc>
        <w:tc>
          <w:tcPr>
            <w:tcW w:w="1334" w:type="dxa"/>
            <w:vAlign w:val="center"/>
          </w:tcPr>
          <w:p w:rsidR="002C2DBB" w:rsidRDefault="00BD62E1">
            <w:pPr>
              <w:jc w:val="right"/>
            </w:pPr>
            <w:r>
              <w:rPr>
                <w:color w:val="000000"/>
                <w:sz w:val="24"/>
                <w:szCs w:val="24"/>
              </w:rPr>
              <w:t>1,780,893</w:t>
            </w:r>
          </w:p>
        </w:tc>
        <w:tc>
          <w:tcPr>
            <w:tcW w:w="1924" w:type="dxa"/>
            <w:vAlign w:val="center"/>
          </w:tcPr>
          <w:p w:rsidR="002C2DBB" w:rsidRDefault="00BD62E1">
            <w:pPr>
              <w:jc w:val="right"/>
            </w:pPr>
            <w:r>
              <w:rPr>
                <w:color w:val="000000"/>
                <w:sz w:val="24"/>
                <w:szCs w:val="24"/>
              </w:rPr>
              <w:t>30,097,091.70</w:t>
            </w:r>
          </w:p>
        </w:tc>
        <w:tc>
          <w:tcPr>
            <w:tcW w:w="1644" w:type="dxa"/>
            <w:vAlign w:val="center"/>
          </w:tcPr>
          <w:p w:rsidR="002C2DBB" w:rsidRDefault="00BD62E1">
            <w:pPr>
              <w:jc w:val="right"/>
            </w:pPr>
            <w:r>
              <w:rPr>
                <w:color w:val="000000"/>
                <w:sz w:val="24"/>
                <w:szCs w:val="24"/>
              </w:rPr>
              <w:t>4.94</w:t>
            </w:r>
          </w:p>
        </w:tc>
      </w:tr>
      <w:tr w:rsidR="002C2DBB">
        <w:trPr>
          <w:jc w:val="center"/>
        </w:trPr>
        <w:tc>
          <w:tcPr>
            <w:tcW w:w="855" w:type="dxa"/>
            <w:vAlign w:val="center"/>
          </w:tcPr>
          <w:p w:rsidR="002C2DBB" w:rsidRDefault="00BD62E1">
            <w:pPr>
              <w:jc w:val="center"/>
            </w:pPr>
            <w:r>
              <w:rPr>
                <w:color w:val="000000"/>
                <w:sz w:val="24"/>
                <w:szCs w:val="24"/>
              </w:rPr>
              <w:t>4</w:t>
            </w:r>
          </w:p>
        </w:tc>
        <w:tc>
          <w:tcPr>
            <w:tcW w:w="1334" w:type="dxa"/>
            <w:vAlign w:val="center"/>
          </w:tcPr>
          <w:p w:rsidR="002C2DBB" w:rsidRDefault="00BD62E1">
            <w:pPr>
              <w:jc w:val="center"/>
            </w:pPr>
            <w:r>
              <w:rPr>
                <w:color w:val="000000"/>
                <w:sz w:val="24"/>
                <w:szCs w:val="24"/>
              </w:rPr>
              <w:t>300271</w:t>
            </w:r>
          </w:p>
        </w:tc>
        <w:tc>
          <w:tcPr>
            <w:tcW w:w="1777" w:type="dxa"/>
            <w:vAlign w:val="center"/>
          </w:tcPr>
          <w:p w:rsidR="002C2DBB" w:rsidRDefault="00BD62E1">
            <w:pPr>
              <w:jc w:val="center"/>
            </w:pPr>
            <w:r>
              <w:rPr>
                <w:color w:val="000000"/>
                <w:sz w:val="24"/>
                <w:szCs w:val="24"/>
              </w:rPr>
              <w:t>华宇软件</w:t>
            </w:r>
          </w:p>
        </w:tc>
        <w:tc>
          <w:tcPr>
            <w:tcW w:w="1334" w:type="dxa"/>
            <w:vAlign w:val="center"/>
          </w:tcPr>
          <w:p w:rsidR="002C2DBB" w:rsidRDefault="00BD62E1">
            <w:pPr>
              <w:jc w:val="right"/>
            </w:pPr>
            <w:r>
              <w:rPr>
                <w:color w:val="000000"/>
                <w:sz w:val="24"/>
                <w:szCs w:val="24"/>
              </w:rPr>
              <w:t>1,893,100</w:t>
            </w:r>
          </w:p>
        </w:tc>
        <w:tc>
          <w:tcPr>
            <w:tcW w:w="1924" w:type="dxa"/>
            <w:vAlign w:val="center"/>
          </w:tcPr>
          <w:p w:rsidR="002C2DBB" w:rsidRDefault="00BD62E1">
            <w:pPr>
              <w:jc w:val="right"/>
            </w:pPr>
            <w:r>
              <w:rPr>
                <w:color w:val="000000"/>
                <w:sz w:val="24"/>
                <w:szCs w:val="24"/>
              </w:rPr>
              <w:t>29,664,877.00</w:t>
            </w:r>
          </w:p>
        </w:tc>
        <w:tc>
          <w:tcPr>
            <w:tcW w:w="1644" w:type="dxa"/>
            <w:vAlign w:val="center"/>
          </w:tcPr>
          <w:p w:rsidR="002C2DBB" w:rsidRDefault="00BD62E1">
            <w:pPr>
              <w:jc w:val="right"/>
            </w:pPr>
            <w:r>
              <w:rPr>
                <w:color w:val="000000"/>
                <w:sz w:val="24"/>
                <w:szCs w:val="24"/>
              </w:rPr>
              <w:t>4.87</w:t>
            </w:r>
          </w:p>
        </w:tc>
      </w:tr>
      <w:tr w:rsidR="002C2DBB">
        <w:trPr>
          <w:jc w:val="center"/>
        </w:trPr>
        <w:tc>
          <w:tcPr>
            <w:tcW w:w="855" w:type="dxa"/>
            <w:vAlign w:val="center"/>
          </w:tcPr>
          <w:p w:rsidR="002C2DBB" w:rsidRDefault="00BD62E1">
            <w:pPr>
              <w:jc w:val="center"/>
            </w:pPr>
            <w:r>
              <w:rPr>
                <w:color w:val="000000"/>
                <w:sz w:val="24"/>
                <w:szCs w:val="24"/>
              </w:rPr>
              <w:t>5</w:t>
            </w:r>
          </w:p>
        </w:tc>
        <w:tc>
          <w:tcPr>
            <w:tcW w:w="1334" w:type="dxa"/>
            <w:vAlign w:val="center"/>
          </w:tcPr>
          <w:p w:rsidR="002C2DBB" w:rsidRDefault="00BD62E1">
            <w:pPr>
              <w:jc w:val="center"/>
            </w:pPr>
            <w:r>
              <w:rPr>
                <w:color w:val="000000"/>
                <w:sz w:val="24"/>
                <w:szCs w:val="24"/>
              </w:rPr>
              <w:t>603096</w:t>
            </w:r>
          </w:p>
        </w:tc>
        <w:tc>
          <w:tcPr>
            <w:tcW w:w="1777" w:type="dxa"/>
            <w:vAlign w:val="center"/>
          </w:tcPr>
          <w:p w:rsidR="002C2DBB" w:rsidRDefault="00BD62E1">
            <w:pPr>
              <w:jc w:val="center"/>
            </w:pPr>
            <w:r>
              <w:rPr>
                <w:color w:val="000000"/>
                <w:sz w:val="24"/>
                <w:szCs w:val="24"/>
              </w:rPr>
              <w:t>新经典</w:t>
            </w:r>
          </w:p>
        </w:tc>
        <w:tc>
          <w:tcPr>
            <w:tcW w:w="1334" w:type="dxa"/>
            <w:vAlign w:val="center"/>
          </w:tcPr>
          <w:p w:rsidR="002C2DBB" w:rsidRDefault="00BD62E1">
            <w:pPr>
              <w:jc w:val="right"/>
            </w:pPr>
            <w:r>
              <w:rPr>
                <w:color w:val="000000"/>
                <w:sz w:val="24"/>
                <w:szCs w:val="24"/>
              </w:rPr>
              <w:t>472,265</w:t>
            </w:r>
          </w:p>
        </w:tc>
        <w:tc>
          <w:tcPr>
            <w:tcW w:w="1924" w:type="dxa"/>
            <w:vAlign w:val="center"/>
          </w:tcPr>
          <w:p w:rsidR="002C2DBB" w:rsidRDefault="00BD62E1">
            <w:pPr>
              <w:jc w:val="right"/>
            </w:pPr>
            <w:r>
              <w:rPr>
                <w:color w:val="000000"/>
                <w:sz w:val="24"/>
                <w:szCs w:val="24"/>
              </w:rPr>
              <w:t>28,373,681.20</w:t>
            </w:r>
          </w:p>
        </w:tc>
        <w:tc>
          <w:tcPr>
            <w:tcW w:w="1644" w:type="dxa"/>
            <w:vAlign w:val="center"/>
          </w:tcPr>
          <w:p w:rsidR="002C2DBB" w:rsidRDefault="00BD62E1">
            <w:pPr>
              <w:jc w:val="right"/>
            </w:pPr>
            <w:r>
              <w:rPr>
                <w:color w:val="000000"/>
                <w:sz w:val="24"/>
                <w:szCs w:val="24"/>
              </w:rPr>
              <w:t>4.66</w:t>
            </w:r>
          </w:p>
        </w:tc>
      </w:tr>
      <w:tr w:rsidR="002C2DBB">
        <w:trPr>
          <w:jc w:val="center"/>
        </w:trPr>
        <w:tc>
          <w:tcPr>
            <w:tcW w:w="855" w:type="dxa"/>
            <w:vAlign w:val="center"/>
          </w:tcPr>
          <w:p w:rsidR="002C2DBB" w:rsidRDefault="00BD62E1">
            <w:pPr>
              <w:jc w:val="center"/>
            </w:pPr>
            <w:r>
              <w:rPr>
                <w:color w:val="000000"/>
                <w:sz w:val="24"/>
                <w:szCs w:val="24"/>
              </w:rPr>
              <w:t>6</w:t>
            </w:r>
          </w:p>
        </w:tc>
        <w:tc>
          <w:tcPr>
            <w:tcW w:w="1334" w:type="dxa"/>
            <w:vAlign w:val="center"/>
          </w:tcPr>
          <w:p w:rsidR="002C2DBB" w:rsidRDefault="00BD62E1">
            <w:pPr>
              <w:jc w:val="center"/>
            </w:pPr>
            <w:r>
              <w:rPr>
                <w:color w:val="000000"/>
                <w:sz w:val="24"/>
                <w:szCs w:val="24"/>
              </w:rPr>
              <w:t>002045</w:t>
            </w:r>
          </w:p>
        </w:tc>
        <w:tc>
          <w:tcPr>
            <w:tcW w:w="1777" w:type="dxa"/>
            <w:vAlign w:val="center"/>
          </w:tcPr>
          <w:p w:rsidR="002C2DBB" w:rsidRDefault="00BD62E1">
            <w:pPr>
              <w:jc w:val="center"/>
            </w:pPr>
            <w:r>
              <w:rPr>
                <w:color w:val="000000"/>
                <w:sz w:val="24"/>
                <w:szCs w:val="24"/>
              </w:rPr>
              <w:t>国光电器</w:t>
            </w:r>
          </w:p>
        </w:tc>
        <w:tc>
          <w:tcPr>
            <w:tcW w:w="1334" w:type="dxa"/>
            <w:vAlign w:val="center"/>
          </w:tcPr>
          <w:p w:rsidR="002C2DBB" w:rsidRDefault="00BD62E1">
            <w:pPr>
              <w:jc w:val="right"/>
            </w:pPr>
            <w:r>
              <w:rPr>
                <w:color w:val="000000"/>
                <w:sz w:val="24"/>
                <w:szCs w:val="24"/>
              </w:rPr>
              <w:t>1,477,587</w:t>
            </w:r>
          </w:p>
        </w:tc>
        <w:tc>
          <w:tcPr>
            <w:tcW w:w="1924" w:type="dxa"/>
            <w:vAlign w:val="center"/>
          </w:tcPr>
          <w:p w:rsidR="002C2DBB" w:rsidRDefault="00BD62E1">
            <w:pPr>
              <w:jc w:val="right"/>
            </w:pPr>
            <w:r>
              <w:rPr>
                <w:color w:val="000000"/>
                <w:sz w:val="24"/>
                <w:szCs w:val="24"/>
              </w:rPr>
              <w:t>25,473,599.88</w:t>
            </w:r>
          </w:p>
        </w:tc>
        <w:tc>
          <w:tcPr>
            <w:tcW w:w="1644" w:type="dxa"/>
            <w:vAlign w:val="center"/>
          </w:tcPr>
          <w:p w:rsidR="002C2DBB" w:rsidRDefault="00BD62E1">
            <w:pPr>
              <w:jc w:val="right"/>
            </w:pPr>
            <w:r>
              <w:rPr>
                <w:color w:val="000000"/>
                <w:sz w:val="24"/>
                <w:szCs w:val="24"/>
              </w:rPr>
              <w:t>4.18</w:t>
            </w:r>
          </w:p>
        </w:tc>
      </w:tr>
      <w:tr w:rsidR="002C2DBB">
        <w:trPr>
          <w:jc w:val="center"/>
        </w:trPr>
        <w:tc>
          <w:tcPr>
            <w:tcW w:w="855" w:type="dxa"/>
            <w:vAlign w:val="center"/>
          </w:tcPr>
          <w:p w:rsidR="002C2DBB" w:rsidRDefault="00BD62E1">
            <w:pPr>
              <w:jc w:val="center"/>
            </w:pPr>
            <w:r>
              <w:rPr>
                <w:color w:val="000000"/>
                <w:sz w:val="24"/>
                <w:szCs w:val="24"/>
              </w:rPr>
              <w:t>7</w:t>
            </w:r>
          </w:p>
        </w:tc>
        <w:tc>
          <w:tcPr>
            <w:tcW w:w="1334" w:type="dxa"/>
            <w:vAlign w:val="center"/>
          </w:tcPr>
          <w:p w:rsidR="002C2DBB" w:rsidRDefault="00BD62E1">
            <w:pPr>
              <w:jc w:val="center"/>
            </w:pPr>
            <w:r>
              <w:rPr>
                <w:color w:val="000000"/>
                <w:sz w:val="24"/>
                <w:szCs w:val="24"/>
              </w:rPr>
              <w:t>000858</w:t>
            </w:r>
          </w:p>
        </w:tc>
        <w:tc>
          <w:tcPr>
            <w:tcW w:w="1777" w:type="dxa"/>
            <w:vAlign w:val="center"/>
          </w:tcPr>
          <w:p w:rsidR="002C2DBB" w:rsidRDefault="00BD62E1">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2C2DBB" w:rsidRDefault="00BD62E1">
            <w:pPr>
              <w:jc w:val="right"/>
            </w:pPr>
            <w:r>
              <w:rPr>
                <w:color w:val="000000"/>
                <w:sz w:val="24"/>
                <w:szCs w:val="24"/>
              </w:rPr>
              <w:t>433,057</w:t>
            </w:r>
          </w:p>
        </w:tc>
        <w:tc>
          <w:tcPr>
            <w:tcW w:w="1924" w:type="dxa"/>
            <w:vAlign w:val="center"/>
          </w:tcPr>
          <w:p w:rsidR="002C2DBB" w:rsidRDefault="00BD62E1">
            <w:pPr>
              <w:jc w:val="right"/>
            </w:pPr>
            <w:r>
              <w:rPr>
                <w:color w:val="000000"/>
                <w:sz w:val="24"/>
                <w:szCs w:val="24"/>
              </w:rPr>
              <w:t>24,805,504.96</w:t>
            </w:r>
          </w:p>
        </w:tc>
        <w:tc>
          <w:tcPr>
            <w:tcW w:w="1644" w:type="dxa"/>
            <w:vAlign w:val="center"/>
          </w:tcPr>
          <w:p w:rsidR="002C2DBB" w:rsidRDefault="00BD62E1">
            <w:pPr>
              <w:jc w:val="right"/>
            </w:pPr>
            <w:r>
              <w:rPr>
                <w:color w:val="000000"/>
                <w:sz w:val="24"/>
                <w:szCs w:val="24"/>
              </w:rPr>
              <w:t>4.07</w:t>
            </w:r>
          </w:p>
        </w:tc>
      </w:tr>
      <w:tr w:rsidR="002C2DBB">
        <w:trPr>
          <w:jc w:val="center"/>
        </w:trPr>
        <w:tc>
          <w:tcPr>
            <w:tcW w:w="855" w:type="dxa"/>
            <w:vAlign w:val="center"/>
          </w:tcPr>
          <w:p w:rsidR="002C2DBB" w:rsidRDefault="00BD62E1">
            <w:pPr>
              <w:jc w:val="center"/>
            </w:pPr>
            <w:r>
              <w:rPr>
                <w:color w:val="000000"/>
                <w:sz w:val="24"/>
                <w:szCs w:val="24"/>
              </w:rPr>
              <w:t>8</w:t>
            </w:r>
          </w:p>
        </w:tc>
        <w:tc>
          <w:tcPr>
            <w:tcW w:w="1334" w:type="dxa"/>
            <w:vAlign w:val="center"/>
          </w:tcPr>
          <w:p w:rsidR="002C2DBB" w:rsidRDefault="00BD62E1">
            <w:pPr>
              <w:jc w:val="center"/>
            </w:pPr>
            <w:r>
              <w:rPr>
                <w:color w:val="000000"/>
                <w:sz w:val="24"/>
                <w:szCs w:val="24"/>
              </w:rPr>
              <w:t>300308</w:t>
            </w:r>
          </w:p>
        </w:tc>
        <w:tc>
          <w:tcPr>
            <w:tcW w:w="1777" w:type="dxa"/>
            <w:vAlign w:val="center"/>
          </w:tcPr>
          <w:p w:rsidR="002C2DBB" w:rsidRDefault="00BD62E1">
            <w:pPr>
              <w:jc w:val="center"/>
            </w:pPr>
            <w:r>
              <w:rPr>
                <w:color w:val="000000"/>
                <w:sz w:val="24"/>
                <w:szCs w:val="24"/>
              </w:rPr>
              <w:t>中际装备</w:t>
            </w:r>
          </w:p>
        </w:tc>
        <w:tc>
          <w:tcPr>
            <w:tcW w:w="1334" w:type="dxa"/>
            <w:vAlign w:val="center"/>
          </w:tcPr>
          <w:p w:rsidR="002C2DBB" w:rsidRDefault="00BD62E1">
            <w:pPr>
              <w:jc w:val="right"/>
            </w:pPr>
            <w:r>
              <w:rPr>
                <w:color w:val="000000"/>
                <w:sz w:val="24"/>
                <w:szCs w:val="24"/>
              </w:rPr>
              <w:t>504,804</w:t>
            </w:r>
          </w:p>
        </w:tc>
        <w:tc>
          <w:tcPr>
            <w:tcW w:w="1924" w:type="dxa"/>
            <w:vAlign w:val="center"/>
          </w:tcPr>
          <w:p w:rsidR="002C2DBB" w:rsidRDefault="00BD62E1">
            <w:pPr>
              <w:jc w:val="right"/>
            </w:pPr>
            <w:r>
              <w:rPr>
                <w:color w:val="000000"/>
                <w:sz w:val="24"/>
                <w:szCs w:val="24"/>
              </w:rPr>
              <w:t>24,528,426.36</w:t>
            </w:r>
          </w:p>
        </w:tc>
        <w:tc>
          <w:tcPr>
            <w:tcW w:w="1644" w:type="dxa"/>
            <w:vAlign w:val="center"/>
          </w:tcPr>
          <w:p w:rsidR="002C2DBB" w:rsidRDefault="00BD62E1">
            <w:pPr>
              <w:jc w:val="right"/>
            </w:pPr>
            <w:r>
              <w:rPr>
                <w:color w:val="000000"/>
                <w:sz w:val="24"/>
                <w:szCs w:val="24"/>
              </w:rPr>
              <w:t>4.03</w:t>
            </w:r>
          </w:p>
        </w:tc>
      </w:tr>
      <w:tr w:rsidR="002C2DBB">
        <w:trPr>
          <w:jc w:val="center"/>
        </w:trPr>
        <w:tc>
          <w:tcPr>
            <w:tcW w:w="855" w:type="dxa"/>
            <w:vAlign w:val="center"/>
          </w:tcPr>
          <w:p w:rsidR="002C2DBB" w:rsidRDefault="00BD62E1">
            <w:pPr>
              <w:jc w:val="center"/>
            </w:pPr>
            <w:r>
              <w:rPr>
                <w:color w:val="000000"/>
                <w:sz w:val="24"/>
                <w:szCs w:val="24"/>
              </w:rPr>
              <w:t>9</w:t>
            </w:r>
          </w:p>
        </w:tc>
        <w:tc>
          <w:tcPr>
            <w:tcW w:w="1334" w:type="dxa"/>
            <w:vAlign w:val="center"/>
          </w:tcPr>
          <w:p w:rsidR="002C2DBB" w:rsidRDefault="00BD62E1">
            <w:pPr>
              <w:jc w:val="center"/>
            </w:pPr>
            <w:r>
              <w:rPr>
                <w:color w:val="000000"/>
                <w:sz w:val="24"/>
                <w:szCs w:val="24"/>
              </w:rPr>
              <w:t>002120</w:t>
            </w:r>
          </w:p>
        </w:tc>
        <w:tc>
          <w:tcPr>
            <w:tcW w:w="1777" w:type="dxa"/>
            <w:vAlign w:val="center"/>
          </w:tcPr>
          <w:p w:rsidR="002C2DBB" w:rsidRDefault="00BD62E1">
            <w:pPr>
              <w:jc w:val="center"/>
            </w:pPr>
            <w:r>
              <w:rPr>
                <w:color w:val="000000"/>
                <w:sz w:val="24"/>
                <w:szCs w:val="24"/>
              </w:rPr>
              <w:t>韵达股份</w:t>
            </w:r>
          </w:p>
        </w:tc>
        <w:tc>
          <w:tcPr>
            <w:tcW w:w="1334" w:type="dxa"/>
            <w:vAlign w:val="center"/>
          </w:tcPr>
          <w:p w:rsidR="002C2DBB" w:rsidRDefault="00BD62E1">
            <w:pPr>
              <w:jc w:val="right"/>
            </w:pPr>
            <w:r>
              <w:rPr>
                <w:color w:val="000000"/>
                <w:sz w:val="24"/>
                <w:szCs w:val="24"/>
              </w:rPr>
              <w:t>514,718</w:t>
            </w:r>
          </w:p>
        </w:tc>
        <w:tc>
          <w:tcPr>
            <w:tcW w:w="1924" w:type="dxa"/>
            <w:vAlign w:val="center"/>
          </w:tcPr>
          <w:p w:rsidR="002C2DBB" w:rsidRDefault="00BD62E1">
            <w:pPr>
              <w:jc w:val="right"/>
            </w:pPr>
            <w:r>
              <w:rPr>
                <w:color w:val="000000"/>
                <w:sz w:val="24"/>
                <w:szCs w:val="24"/>
              </w:rPr>
              <w:t>23,718,205.44</w:t>
            </w:r>
          </w:p>
        </w:tc>
        <w:tc>
          <w:tcPr>
            <w:tcW w:w="1644" w:type="dxa"/>
            <w:vAlign w:val="center"/>
          </w:tcPr>
          <w:p w:rsidR="002C2DBB" w:rsidRDefault="00BD62E1">
            <w:pPr>
              <w:jc w:val="right"/>
            </w:pPr>
            <w:r>
              <w:rPr>
                <w:color w:val="000000"/>
                <w:sz w:val="24"/>
                <w:szCs w:val="24"/>
              </w:rPr>
              <w:t>3.89</w:t>
            </w:r>
          </w:p>
        </w:tc>
      </w:tr>
      <w:tr w:rsidR="002C2DBB">
        <w:trPr>
          <w:jc w:val="center"/>
        </w:trPr>
        <w:tc>
          <w:tcPr>
            <w:tcW w:w="855" w:type="dxa"/>
            <w:vAlign w:val="center"/>
          </w:tcPr>
          <w:p w:rsidR="002C2DBB" w:rsidRDefault="00BD62E1">
            <w:pPr>
              <w:jc w:val="center"/>
            </w:pPr>
            <w:r>
              <w:rPr>
                <w:color w:val="000000"/>
                <w:sz w:val="24"/>
                <w:szCs w:val="24"/>
              </w:rPr>
              <w:t>10</w:t>
            </w:r>
          </w:p>
        </w:tc>
        <w:tc>
          <w:tcPr>
            <w:tcW w:w="1334" w:type="dxa"/>
            <w:vAlign w:val="center"/>
          </w:tcPr>
          <w:p w:rsidR="002C2DBB" w:rsidRDefault="00BD62E1">
            <w:pPr>
              <w:jc w:val="center"/>
            </w:pPr>
            <w:r>
              <w:rPr>
                <w:color w:val="000000"/>
                <w:sz w:val="24"/>
                <w:szCs w:val="24"/>
              </w:rPr>
              <w:t>300502</w:t>
            </w:r>
          </w:p>
        </w:tc>
        <w:tc>
          <w:tcPr>
            <w:tcW w:w="1777" w:type="dxa"/>
            <w:vAlign w:val="center"/>
          </w:tcPr>
          <w:p w:rsidR="002C2DBB" w:rsidRDefault="00BD62E1">
            <w:pPr>
              <w:jc w:val="center"/>
            </w:pPr>
            <w:r>
              <w:rPr>
                <w:color w:val="000000"/>
                <w:sz w:val="24"/>
                <w:szCs w:val="24"/>
              </w:rPr>
              <w:t>新易盛</w:t>
            </w:r>
          </w:p>
        </w:tc>
        <w:tc>
          <w:tcPr>
            <w:tcW w:w="1334" w:type="dxa"/>
            <w:vAlign w:val="center"/>
          </w:tcPr>
          <w:p w:rsidR="002C2DBB" w:rsidRDefault="00BD62E1">
            <w:pPr>
              <w:jc w:val="right"/>
            </w:pPr>
            <w:r>
              <w:rPr>
                <w:color w:val="000000"/>
                <w:sz w:val="24"/>
                <w:szCs w:val="24"/>
              </w:rPr>
              <w:t>690,917</w:t>
            </w:r>
          </w:p>
        </w:tc>
        <w:tc>
          <w:tcPr>
            <w:tcW w:w="1924" w:type="dxa"/>
            <w:vAlign w:val="center"/>
          </w:tcPr>
          <w:p w:rsidR="002C2DBB" w:rsidRDefault="00BD62E1">
            <w:pPr>
              <w:jc w:val="right"/>
            </w:pPr>
            <w:r>
              <w:rPr>
                <w:color w:val="000000"/>
                <w:sz w:val="24"/>
                <w:szCs w:val="24"/>
              </w:rPr>
              <w:t>23,622,452.23</w:t>
            </w:r>
          </w:p>
        </w:tc>
        <w:tc>
          <w:tcPr>
            <w:tcW w:w="1644" w:type="dxa"/>
            <w:vAlign w:val="center"/>
          </w:tcPr>
          <w:p w:rsidR="002C2DBB" w:rsidRDefault="00BD62E1">
            <w:pPr>
              <w:jc w:val="right"/>
            </w:pPr>
            <w:r>
              <w:rPr>
                <w:color w:val="000000"/>
                <w:sz w:val="24"/>
                <w:szCs w:val="24"/>
              </w:rPr>
              <w:t>3.88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C2DBB">
        <w:trPr>
          <w:jc w:val="center"/>
        </w:trPr>
        <w:tc>
          <w:tcPr>
            <w:tcW w:w="850" w:type="dxa"/>
            <w:vAlign w:val="center"/>
          </w:tcPr>
          <w:p w:rsidR="002C2DBB" w:rsidRDefault="00BD62E1">
            <w:pPr>
              <w:jc w:val="center"/>
            </w:pPr>
            <w:r>
              <w:rPr>
                <w:color w:val="000000"/>
                <w:sz w:val="24"/>
                <w:szCs w:val="24"/>
              </w:rPr>
              <w:t>1</w:t>
            </w:r>
          </w:p>
        </w:tc>
        <w:tc>
          <w:tcPr>
            <w:tcW w:w="1475" w:type="dxa"/>
            <w:vAlign w:val="center"/>
          </w:tcPr>
          <w:p w:rsidR="002C2DBB" w:rsidRDefault="00BD62E1">
            <w:pPr>
              <w:jc w:val="center"/>
            </w:pPr>
            <w:r>
              <w:rPr>
                <w:color w:val="000000"/>
                <w:sz w:val="24"/>
                <w:szCs w:val="24"/>
              </w:rPr>
              <w:t>160217</w:t>
            </w:r>
          </w:p>
        </w:tc>
        <w:tc>
          <w:tcPr>
            <w:tcW w:w="1769" w:type="dxa"/>
            <w:vAlign w:val="center"/>
          </w:tcPr>
          <w:p w:rsidR="002C2DBB" w:rsidRDefault="00BD62E1">
            <w:pPr>
              <w:jc w:val="center"/>
            </w:pPr>
            <w:r>
              <w:rPr>
                <w:color w:val="000000"/>
                <w:sz w:val="24"/>
                <w:szCs w:val="24"/>
              </w:rPr>
              <w:t>16</w:t>
            </w:r>
            <w:r>
              <w:rPr>
                <w:color w:val="000000"/>
                <w:sz w:val="24"/>
                <w:szCs w:val="24"/>
              </w:rPr>
              <w:t>国开</w:t>
            </w:r>
            <w:r>
              <w:rPr>
                <w:color w:val="000000"/>
                <w:sz w:val="24"/>
                <w:szCs w:val="24"/>
              </w:rPr>
              <w:t>17</w:t>
            </w:r>
          </w:p>
        </w:tc>
        <w:tc>
          <w:tcPr>
            <w:tcW w:w="1387" w:type="dxa"/>
            <w:vAlign w:val="center"/>
          </w:tcPr>
          <w:p w:rsidR="002C2DBB" w:rsidRDefault="00BD62E1">
            <w:pPr>
              <w:jc w:val="right"/>
            </w:pPr>
            <w:r>
              <w:rPr>
                <w:color w:val="000000"/>
                <w:sz w:val="24"/>
                <w:szCs w:val="24"/>
              </w:rPr>
              <w:t>300,000</w:t>
            </w:r>
          </w:p>
        </w:tc>
        <w:tc>
          <w:tcPr>
            <w:tcW w:w="2150" w:type="dxa"/>
            <w:vAlign w:val="center"/>
          </w:tcPr>
          <w:p w:rsidR="002C2DBB" w:rsidRDefault="00BD62E1">
            <w:pPr>
              <w:jc w:val="right"/>
            </w:pPr>
            <w:r>
              <w:rPr>
                <w:color w:val="000000"/>
                <w:sz w:val="24"/>
                <w:szCs w:val="24"/>
              </w:rPr>
              <w:t>29,958,000.00</w:t>
            </w:r>
          </w:p>
        </w:tc>
        <w:tc>
          <w:tcPr>
            <w:tcW w:w="1237" w:type="dxa"/>
            <w:vAlign w:val="center"/>
          </w:tcPr>
          <w:p w:rsidR="002C2DBB" w:rsidRDefault="00BD62E1">
            <w:pPr>
              <w:jc w:val="right"/>
            </w:pPr>
            <w:r>
              <w:rPr>
                <w:color w:val="000000"/>
                <w:sz w:val="24"/>
                <w:szCs w:val="24"/>
              </w:rPr>
              <w:t>4.92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383,035.43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9,652,457.77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648,178.44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815,047.14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11,498,718.78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255,606,174.48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18,977,954.76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49,940,375.94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224,643,753.30</w:t>
            </w:r>
          </w:p>
        </w:tc>
      </w:tr>
    </w:tbl>
    <w:p w:rsidR="002C2DBB" w:rsidRDefault="00BD62E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C2DBB" w:rsidRDefault="00BD62E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2C2DBB" w:rsidRDefault="00BD62E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2C2DBB" w:rsidRDefault="00BD62E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2C2DBB" w:rsidRDefault="00BD62E1">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2C2DBB" w:rsidRDefault="00BD62E1">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2C2DBB" w:rsidRDefault="00BD62E1">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2C2DBB" w:rsidRDefault="00BD62E1">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2C2DBB" w:rsidRDefault="00BD62E1">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C2DBB" w:rsidRDefault="00BD62E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E2F" w:rsidRDefault="004A2E2F" w:rsidP="00876D65">
      <w:r>
        <w:separator/>
      </w:r>
    </w:p>
  </w:endnote>
  <w:endnote w:type="continuationSeparator" w:id="0">
    <w:p w:rsidR="004A2E2F" w:rsidRDefault="004A2E2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EA1D60">
      <w:rPr>
        <w:noProof/>
        <w:kern w:val="0"/>
        <w:szCs w:val="21"/>
      </w:rPr>
      <w:t>12</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EA1D60">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E2F" w:rsidRDefault="004A2E2F" w:rsidP="00876D65">
      <w:r>
        <w:separator/>
      </w:r>
    </w:p>
  </w:footnote>
  <w:footnote w:type="continuationSeparator" w:id="0">
    <w:p w:rsidR="004A2E2F" w:rsidRDefault="004A2E2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2DBB"/>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2E2F"/>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62E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1D60"/>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42D9A-55DF-46B3-BB51-AA2B88107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7AF9B-772E-4D87-93AB-ECFC33BC2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12</Pages>
  <Words>1059</Words>
  <Characters>6038</Characters>
  <Application>Microsoft Office Word</Application>
  <DocSecurity>0</DocSecurity>
  <Lines>50</Lines>
  <Paragraphs>14</Paragraphs>
  <ScaleCrop>false</ScaleCrop>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2017-10-23T05:56:00Z</dcterms:modified>
</cp:coreProperties>
</file>