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交银施罗德蓝筹混合型证券投资基金</w:t>
      </w:r>
    </w:p>
    <w:p w:rsidR="002279D3" w:rsidRPr="0081286B" w:rsidRDefault="002279D3" w:rsidP="00C15CAC">
      <w:pPr>
        <w:spacing w:before="29" w:line="288" w:lineRule="auto"/>
        <w:jc w:val="center"/>
        <w:rPr>
          <w:b/>
          <w:sz w:val="36"/>
          <w:szCs w:val="36"/>
        </w:rPr>
      </w:pPr>
      <w:r w:rsidRPr="0081286B">
        <w:rPr>
          <w:b/>
          <w:sz w:val="36"/>
          <w:szCs w:val="36"/>
        </w:rPr>
        <w:t>2017</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2017</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二〇一七年十月二十五日</w:t>
      </w:r>
    </w:p>
    <w:p w:rsidR="004061AC" w:rsidRPr="00414345" w:rsidRDefault="004061AC" w:rsidP="00EE49FE">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274205" w:rsidRDefault="00144CDC">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274205" w:rsidRDefault="00144CDC">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2017</w:t>
      </w:r>
      <w:r>
        <w:rPr>
          <w:color w:val="000000"/>
          <w:sz w:val="24"/>
          <w:szCs w:val="24"/>
        </w:rPr>
        <w:t>年</w:t>
      </w:r>
      <w:r>
        <w:rPr>
          <w:color w:val="000000"/>
          <w:sz w:val="24"/>
          <w:szCs w:val="24"/>
        </w:rPr>
        <w:t>10</w:t>
      </w:r>
      <w:r>
        <w:rPr>
          <w:color w:val="000000"/>
          <w:sz w:val="24"/>
          <w:szCs w:val="24"/>
        </w:rPr>
        <w:t>月</w:t>
      </w:r>
      <w:r>
        <w:rPr>
          <w:color w:val="000000"/>
          <w:sz w:val="24"/>
          <w:szCs w:val="24"/>
        </w:rPr>
        <w:t>24</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274205" w:rsidRDefault="00144CDC">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274205" w:rsidRDefault="00144CDC">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274205" w:rsidRDefault="00144CDC">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2017</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交银蓝筹混合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519694</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519694</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519695</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2007</w:t>
            </w:r>
            <w:r w:rsidRPr="00414345">
              <w:rPr>
                <w:color w:val="000000"/>
                <w:kern w:val="0"/>
                <w:sz w:val="24"/>
                <w:szCs w:val="24"/>
              </w:rPr>
              <w:t>年</w:t>
            </w:r>
            <w:r w:rsidRPr="00414345">
              <w:rPr>
                <w:color w:val="000000"/>
                <w:kern w:val="0"/>
                <w:sz w:val="24"/>
                <w:szCs w:val="24"/>
              </w:rPr>
              <w:t>8</w:t>
            </w:r>
            <w:r w:rsidRPr="00414345">
              <w:rPr>
                <w:color w:val="000000"/>
                <w:kern w:val="0"/>
                <w:sz w:val="24"/>
                <w:szCs w:val="24"/>
              </w:rPr>
              <w:t>月</w:t>
            </w:r>
            <w:r w:rsidRPr="00414345">
              <w:rPr>
                <w:color w:val="000000"/>
                <w:kern w:val="0"/>
                <w:sz w:val="24"/>
                <w:szCs w:val="24"/>
              </w:rPr>
              <w:t>8</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2,689,383,175.16</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为一只蓝筹混合型基金，主要通过投资于业绩优良、发展稳定、在行业内占有支配性地位、分红稳定的蓝筹上市公司股票，在有效控制风险并保持基金资产良好流动性的前提下，追求在稳定分红的基础上实现基金资产的长期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通过优选业绩优良、发展稳定、在行业内占有支配性地位、分红稳定的蓝筹上市公司股票进行投资，以谋求基金资产的长期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中证</w:t>
            </w:r>
            <w:r w:rsidRPr="00414345">
              <w:rPr>
                <w:color w:val="000000"/>
                <w:kern w:val="0"/>
                <w:sz w:val="24"/>
                <w:szCs w:val="24"/>
              </w:rPr>
              <w:t>100</w:t>
            </w:r>
            <w:r w:rsidRPr="00414345">
              <w:rPr>
                <w:color w:val="000000"/>
                <w:kern w:val="0"/>
                <w:sz w:val="24"/>
                <w:szCs w:val="24"/>
              </w:rPr>
              <w:t>指数</w:t>
            </w:r>
            <w:r w:rsidRPr="00414345">
              <w:rPr>
                <w:color w:val="000000"/>
                <w:kern w:val="0"/>
                <w:sz w:val="24"/>
                <w:szCs w:val="24"/>
              </w:rPr>
              <w:t>+25%×</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本基金是一只混合型基金，以优质蓝筹股为主要投资</w:t>
            </w:r>
            <w:r w:rsidRPr="00414345">
              <w:rPr>
                <w:color w:val="000000"/>
                <w:kern w:val="0"/>
                <w:sz w:val="24"/>
                <w:szCs w:val="24"/>
              </w:rPr>
              <w:lastRenderedPageBreak/>
              <w:t>对象，其风险和预期收益高于债券型基金和货币市场基金，低于股票型基金。属于承担较高风险、预期收益较高的证券投资基金品种。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553A31" w:rsidRPr="00414345" w:rsidTr="00553A31">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-2017</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553A31" w:rsidRPr="00414345" w:rsidTr="00553A3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93,484,214.26</w:t>
            </w:r>
          </w:p>
        </w:tc>
      </w:tr>
      <w:tr w:rsidR="00553A31" w:rsidRPr="00414345" w:rsidTr="00553A3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173,409,150.88</w:t>
            </w:r>
          </w:p>
        </w:tc>
      </w:tr>
      <w:tr w:rsidR="00553A31" w:rsidRPr="00414345" w:rsidTr="00553A3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0.0628</w:t>
            </w:r>
          </w:p>
        </w:tc>
      </w:tr>
      <w:tr w:rsidR="00553A31" w:rsidRPr="00414345" w:rsidTr="00553A3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2,597,391,081.02</w:t>
            </w:r>
          </w:p>
        </w:tc>
      </w:tr>
      <w:tr w:rsidR="00553A31" w:rsidRPr="00414345" w:rsidTr="00553A31">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0.9658</w:t>
            </w:r>
          </w:p>
        </w:tc>
      </w:tr>
    </w:tbl>
    <w:p w:rsidR="00274205" w:rsidRDefault="00144CDC">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274205">
        <w:trPr>
          <w:jc w:val="center"/>
        </w:trPr>
        <w:tc>
          <w:tcPr>
            <w:tcW w:w="1701" w:type="dxa"/>
            <w:vAlign w:val="center"/>
          </w:tcPr>
          <w:p w:rsidR="00274205" w:rsidRDefault="00144CDC">
            <w:pPr>
              <w:jc w:val="left"/>
            </w:pPr>
            <w:r>
              <w:rPr>
                <w:color w:val="000000"/>
                <w:sz w:val="24"/>
                <w:szCs w:val="24"/>
              </w:rPr>
              <w:t>过去三个月</w:t>
            </w:r>
          </w:p>
        </w:tc>
        <w:tc>
          <w:tcPr>
            <w:tcW w:w="1045" w:type="dxa"/>
            <w:vAlign w:val="center"/>
          </w:tcPr>
          <w:p w:rsidR="00274205" w:rsidRDefault="00144CDC">
            <w:pPr>
              <w:jc w:val="center"/>
            </w:pPr>
            <w:r>
              <w:rPr>
                <w:color w:val="000000"/>
                <w:sz w:val="24"/>
                <w:szCs w:val="24"/>
              </w:rPr>
              <w:t>6.92%</w:t>
            </w:r>
          </w:p>
        </w:tc>
        <w:tc>
          <w:tcPr>
            <w:tcW w:w="1344" w:type="dxa"/>
            <w:vAlign w:val="center"/>
          </w:tcPr>
          <w:p w:rsidR="00274205" w:rsidRDefault="00144CDC">
            <w:pPr>
              <w:jc w:val="center"/>
            </w:pPr>
            <w:r>
              <w:rPr>
                <w:color w:val="000000"/>
                <w:sz w:val="24"/>
                <w:szCs w:val="24"/>
              </w:rPr>
              <w:t>0.68%</w:t>
            </w:r>
          </w:p>
        </w:tc>
        <w:tc>
          <w:tcPr>
            <w:tcW w:w="1194" w:type="dxa"/>
            <w:vAlign w:val="center"/>
          </w:tcPr>
          <w:p w:rsidR="00274205" w:rsidRDefault="00144CDC">
            <w:pPr>
              <w:jc w:val="center"/>
            </w:pPr>
            <w:r>
              <w:rPr>
                <w:color w:val="000000"/>
                <w:sz w:val="24"/>
                <w:szCs w:val="24"/>
              </w:rPr>
              <w:t>3.52%</w:t>
            </w:r>
          </w:p>
        </w:tc>
        <w:tc>
          <w:tcPr>
            <w:tcW w:w="1492" w:type="dxa"/>
            <w:vAlign w:val="center"/>
          </w:tcPr>
          <w:p w:rsidR="00274205" w:rsidRDefault="00144CDC">
            <w:pPr>
              <w:jc w:val="center"/>
            </w:pPr>
            <w:r>
              <w:rPr>
                <w:color w:val="000000"/>
                <w:sz w:val="24"/>
                <w:szCs w:val="24"/>
              </w:rPr>
              <w:t>0.47%</w:t>
            </w:r>
          </w:p>
        </w:tc>
        <w:tc>
          <w:tcPr>
            <w:tcW w:w="1194" w:type="dxa"/>
            <w:vAlign w:val="center"/>
          </w:tcPr>
          <w:p w:rsidR="00274205" w:rsidRDefault="00144CDC">
            <w:pPr>
              <w:jc w:val="center"/>
            </w:pPr>
            <w:r>
              <w:rPr>
                <w:color w:val="000000"/>
                <w:sz w:val="24"/>
                <w:szCs w:val="24"/>
              </w:rPr>
              <w:t>3.40%</w:t>
            </w:r>
          </w:p>
        </w:tc>
        <w:tc>
          <w:tcPr>
            <w:tcW w:w="898" w:type="dxa"/>
            <w:vAlign w:val="center"/>
          </w:tcPr>
          <w:p w:rsidR="00274205" w:rsidRDefault="00144CDC">
            <w:pPr>
              <w:jc w:val="center"/>
            </w:pPr>
            <w:r>
              <w:rPr>
                <w:color w:val="000000"/>
                <w:sz w:val="24"/>
                <w:szCs w:val="24"/>
              </w:rPr>
              <w:t>0.21%</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中证</w:t>
      </w:r>
      <w:r w:rsidRPr="00414345">
        <w:rPr>
          <w:color w:val="000000"/>
          <w:sz w:val="24"/>
          <w:szCs w:val="24"/>
        </w:rPr>
        <w:t>100</w:t>
      </w:r>
      <w:r w:rsidRPr="00414345">
        <w:rPr>
          <w:color w:val="000000"/>
          <w:sz w:val="24"/>
          <w:szCs w:val="24"/>
        </w:rPr>
        <w:t>指数</w:t>
      </w:r>
      <w:r w:rsidRPr="00414345">
        <w:rPr>
          <w:color w:val="000000"/>
          <w:sz w:val="24"/>
          <w:szCs w:val="24"/>
        </w:rPr>
        <w:t>+25%×</w:t>
      </w:r>
      <w:r w:rsidRPr="00414345">
        <w:rPr>
          <w:color w:val="000000"/>
          <w:sz w:val="24"/>
          <w:szCs w:val="24"/>
        </w:rPr>
        <w:t>中信全债指数</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中证</w:t>
      </w:r>
      <w:r w:rsidRPr="00414345">
        <w:rPr>
          <w:color w:val="000000"/>
          <w:sz w:val="24"/>
          <w:szCs w:val="24"/>
        </w:rPr>
        <w:t>100</w:t>
      </w:r>
      <w:r w:rsidRPr="00414345">
        <w:rPr>
          <w:color w:val="000000"/>
          <w:sz w:val="24"/>
          <w:szCs w:val="24"/>
        </w:rPr>
        <w:t>指数</w:t>
      </w:r>
      <w:r w:rsidRPr="00414345">
        <w:rPr>
          <w:color w:val="000000"/>
          <w:sz w:val="24"/>
          <w:szCs w:val="24"/>
        </w:rPr>
        <w:t>+25%×</w:t>
      </w:r>
      <w:r w:rsidRPr="00414345">
        <w:rPr>
          <w:color w:val="000000"/>
          <w:sz w:val="24"/>
          <w:szCs w:val="24"/>
        </w:rPr>
        <w:t>中证综合债券指数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w:t>
      </w:r>
      <w:r w:rsidR="00C6002A" w:rsidRPr="00414345">
        <w:rPr>
          <w:b/>
          <w:bCs/>
          <w:color w:val="000000"/>
          <w:sz w:val="24"/>
        </w:rPr>
        <w:lastRenderedPageBreak/>
        <w:t>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交银施罗德蓝筹混合型证券投资基金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2007</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8</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8</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274205">
        <w:trPr>
          <w:jc w:val="center"/>
        </w:trPr>
        <w:tc>
          <w:tcPr>
            <w:tcW w:w="846" w:type="dxa"/>
            <w:vAlign w:val="center"/>
          </w:tcPr>
          <w:p w:rsidR="00274205" w:rsidRDefault="00144CDC">
            <w:pPr>
              <w:jc w:val="center"/>
            </w:pPr>
            <w:r>
              <w:rPr>
                <w:color w:val="000000"/>
                <w:sz w:val="24"/>
                <w:szCs w:val="24"/>
              </w:rPr>
              <w:t>陈孜铎</w:t>
            </w:r>
          </w:p>
        </w:tc>
        <w:tc>
          <w:tcPr>
            <w:tcW w:w="845" w:type="dxa"/>
            <w:vAlign w:val="center"/>
          </w:tcPr>
          <w:p w:rsidR="00274205" w:rsidRDefault="00144CDC">
            <w:pPr>
              <w:jc w:val="center"/>
            </w:pPr>
            <w:r>
              <w:rPr>
                <w:color w:val="000000"/>
                <w:sz w:val="24"/>
                <w:szCs w:val="24"/>
              </w:rPr>
              <w:t>交银蓝筹混合的基金经理，公司研究部助理总经</w:t>
            </w:r>
            <w:r>
              <w:rPr>
                <w:color w:val="000000"/>
                <w:sz w:val="24"/>
                <w:szCs w:val="24"/>
              </w:rPr>
              <w:lastRenderedPageBreak/>
              <w:t>理</w:t>
            </w:r>
          </w:p>
        </w:tc>
        <w:tc>
          <w:tcPr>
            <w:tcW w:w="1549" w:type="dxa"/>
            <w:vAlign w:val="center"/>
          </w:tcPr>
          <w:p w:rsidR="00274205" w:rsidRDefault="00144CDC">
            <w:pPr>
              <w:jc w:val="center"/>
            </w:pPr>
            <w:r>
              <w:rPr>
                <w:color w:val="000000"/>
                <w:sz w:val="24"/>
                <w:szCs w:val="24"/>
              </w:rPr>
              <w:lastRenderedPageBreak/>
              <w:t>2014-10-22</w:t>
            </w:r>
          </w:p>
        </w:tc>
        <w:tc>
          <w:tcPr>
            <w:tcW w:w="1548" w:type="dxa"/>
            <w:vAlign w:val="center"/>
          </w:tcPr>
          <w:p w:rsidR="00274205" w:rsidRDefault="00144CDC">
            <w:pPr>
              <w:jc w:val="center"/>
            </w:pPr>
            <w:r>
              <w:rPr>
                <w:color w:val="000000"/>
                <w:sz w:val="24"/>
                <w:szCs w:val="24"/>
              </w:rPr>
              <w:t>-</w:t>
            </w:r>
          </w:p>
        </w:tc>
        <w:tc>
          <w:tcPr>
            <w:tcW w:w="1407" w:type="dxa"/>
            <w:vAlign w:val="center"/>
          </w:tcPr>
          <w:p w:rsidR="00274205" w:rsidRDefault="00144CDC">
            <w:pPr>
              <w:jc w:val="center"/>
            </w:pPr>
            <w:r>
              <w:rPr>
                <w:color w:val="000000"/>
                <w:sz w:val="24"/>
                <w:szCs w:val="24"/>
              </w:rPr>
              <w:t>9</w:t>
            </w:r>
            <w:r>
              <w:rPr>
                <w:color w:val="000000"/>
                <w:sz w:val="24"/>
                <w:szCs w:val="24"/>
              </w:rPr>
              <w:t>年</w:t>
            </w:r>
          </w:p>
        </w:tc>
        <w:tc>
          <w:tcPr>
            <w:tcW w:w="2673" w:type="dxa"/>
            <w:vAlign w:val="center"/>
          </w:tcPr>
          <w:p w:rsidR="00274205" w:rsidRDefault="00144CDC">
            <w:r>
              <w:rPr>
                <w:color w:val="000000"/>
                <w:sz w:val="24"/>
                <w:szCs w:val="24"/>
              </w:rPr>
              <w:t>陈孜铎先生，清华大学材料科学与工程硕士。</w:t>
            </w:r>
            <w:r>
              <w:rPr>
                <w:color w:val="000000"/>
                <w:sz w:val="24"/>
                <w:szCs w:val="24"/>
              </w:rPr>
              <w:t>2008</w:t>
            </w:r>
            <w:r>
              <w:rPr>
                <w:color w:val="000000"/>
                <w:sz w:val="24"/>
                <w:szCs w:val="24"/>
              </w:rPr>
              <w:t>年加入交银施罗德基金管理有限公司，历任行业分析师、高级研究员。</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274205" w:rsidRDefault="00144CDC">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274205" w:rsidRDefault="00144CDC">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274205" w:rsidRDefault="00144CDC">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w:t>
      </w:r>
      <w:r>
        <w:rPr>
          <w:color w:val="000000"/>
          <w:sz w:val="24"/>
          <w:szCs w:val="24"/>
        </w:rPr>
        <w:t>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274205" w:rsidRDefault="00144CDC">
      <w:pPr>
        <w:spacing w:before="29" w:line="288" w:lineRule="auto"/>
        <w:ind w:firstLineChars="200" w:firstLine="480"/>
        <w:rPr>
          <w:color w:val="000000"/>
          <w:sz w:val="24"/>
          <w:szCs w:val="24"/>
        </w:rPr>
      </w:pPr>
      <w:r>
        <w:rPr>
          <w:color w:val="000000"/>
          <w:sz w:val="24"/>
          <w:szCs w:val="24"/>
        </w:rPr>
        <w:t>2017</w:t>
      </w:r>
      <w:r>
        <w:rPr>
          <w:color w:val="000000"/>
          <w:sz w:val="24"/>
          <w:szCs w:val="24"/>
        </w:rPr>
        <w:t>年三季度整个</w:t>
      </w:r>
      <w:r>
        <w:rPr>
          <w:color w:val="000000"/>
          <w:sz w:val="24"/>
          <w:szCs w:val="24"/>
        </w:rPr>
        <w:t>A</w:t>
      </w:r>
      <w:r>
        <w:rPr>
          <w:color w:val="000000"/>
          <w:sz w:val="24"/>
          <w:szCs w:val="24"/>
        </w:rPr>
        <w:t>股市场呈整体反弹态势，七月开始业绩驱动叠加在政策和环保影响下供给预期的收缩成为反弹主要动力，到八、九月开始整体市场风险偏好大幅提升，半导体、</w:t>
      </w:r>
      <w:r>
        <w:rPr>
          <w:color w:val="000000"/>
          <w:sz w:val="24"/>
          <w:szCs w:val="24"/>
        </w:rPr>
        <w:t>5G</w:t>
      </w:r>
      <w:r>
        <w:rPr>
          <w:color w:val="000000"/>
          <w:sz w:val="24"/>
          <w:szCs w:val="24"/>
        </w:rPr>
        <w:t>各种新兴成长主题反弹明显。整个三季度各主要指数均取得正收益，</w:t>
      </w:r>
      <w:r>
        <w:rPr>
          <w:color w:val="000000"/>
          <w:sz w:val="24"/>
          <w:szCs w:val="24"/>
        </w:rPr>
        <w:lastRenderedPageBreak/>
        <w:t>从市场环境上看，临近十九大风险偏好的回暖有所超预期，但持续性尚难准确判断。经济回落速度依然好于市场一致预期，部分行业在基本面和业绩持续性上有超预期的表现。</w:t>
      </w:r>
    </w:p>
    <w:p w:rsidR="00274205" w:rsidRDefault="00144CDC">
      <w:pPr>
        <w:spacing w:before="29" w:line="288" w:lineRule="auto"/>
        <w:ind w:firstLineChars="200" w:firstLine="480"/>
        <w:rPr>
          <w:color w:val="000000"/>
          <w:sz w:val="24"/>
          <w:szCs w:val="24"/>
        </w:rPr>
      </w:pPr>
      <w:r>
        <w:rPr>
          <w:color w:val="000000"/>
          <w:sz w:val="24"/>
          <w:szCs w:val="24"/>
        </w:rPr>
        <w:t>在上述市场环境中，本基金在三季度继续以绝对</w:t>
      </w:r>
      <w:r>
        <w:rPr>
          <w:color w:val="000000"/>
          <w:sz w:val="24"/>
          <w:szCs w:val="24"/>
        </w:rPr>
        <w:t>收益为主要目标，适度参与市场的反弹机会，取得一定效果，但在后期风险偏好明显拉升阶段整体操作偏保守。</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2017</w:t>
      </w:r>
      <w:r w:rsidRPr="00414345">
        <w:rPr>
          <w:color w:val="000000"/>
          <w:sz w:val="24"/>
          <w:szCs w:val="24"/>
        </w:rPr>
        <w:t>年四季度，十九大的召开是市场近期较为关注的事件，之后非典型的市场环境可能会有所改善，后续中长期的市场发展方向将逐渐清晰。四季度本基金将会密切关注对十九大之后中期方向性的指引以及已知产业方向波动归于常态的变化，为后续中长期投资奠定较好基础。在上述的基本判断下，我们倾向于依然以增速与估值相对匹配、资产价值相对坚实的子行业与标的作为基础资产，短期考虑宏观下行风险，在国企改革、价值、</w:t>
      </w:r>
      <w:r w:rsidRPr="00414345">
        <w:rPr>
          <w:color w:val="000000"/>
          <w:sz w:val="24"/>
          <w:szCs w:val="24"/>
        </w:rPr>
        <w:t>PPP</w:t>
      </w:r>
      <w:r w:rsidRPr="00414345">
        <w:rPr>
          <w:color w:val="000000"/>
          <w:sz w:val="24"/>
          <w:szCs w:val="24"/>
        </w:rPr>
        <w:t>及优质成长领域做一定布局，同时密切关注金融去杠杆下半场隐含的回撤风险。本基金四季度仍然以实现绝对收益为主要目标。</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2017</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0.9658</w:t>
      </w:r>
      <w:r w:rsidRPr="00414345">
        <w:rPr>
          <w:color w:val="000000"/>
          <w:sz w:val="24"/>
          <w:szCs w:val="24"/>
        </w:rPr>
        <w:t>元，本报告期份额净值增长率为</w:t>
      </w:r>
      <w:r w:rsidRPr="00414345">
        <w:rPr>
          <w:color w:val="000000"/>
          <w:sz w:val="24"/>
          <w:szCs w:val="24"/>
        </w:rPr>
        <w:t>6.92%</w:t>
      </w:r>
      <w:r w:rsidRPr="00414345">
        <w:rPr>
          <w:color w:val="000000"/>
          <w:sz w:val="24"/>
          <w:szCs w:val="24"/>
        </w:rPr>
        <w:t>，同期业绩比较基准增长率为</w:t>
      </w:r>
      <w:r w:rsidRPr="00414345">
        <w:rPr>
          <w:color w:val="000000"/>
          <w:sz w:val="24"/>
          <w:szCs w:val="24"/>
        </w:rPr>
        <w:t>3.52%</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2,307,793,470.94</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88.49</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2,307,793,470.94</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88.49</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129,902,000.00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4.98</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129,902,000.00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4.98</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49,400,194.10</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1.89</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107,930,660.08</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4.14</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lastRenderedPageBreak/>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12,878,152.61</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0.49</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2,607,904,477.73</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271,602,748.90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10.46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1,230,978,766.40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47.39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31,093.44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177,646,384.80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6.84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243,353.59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25,571.91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146,787,468.03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5.65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350,492,237.64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13.49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13,117,173.66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0.51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41,311,070.48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75,437,299.99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120,302.10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2,307,793,470.94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88.85</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274205">
        <w:trPr>
          <w:jc w:val="center"/>
        </w:trPr>
        <w:tc>
          <w:tcPr>
            <w:tcW w:w="855" w:type="dxa"/>
            <w:vAlign w:val="center"/>
          </w:tcPr>
          <w:p w:rsidR="00274205" w:rsidRDefault="00144CDC">
            <w:pPr>
              <w:jc w:val="center"/>
            </w:pPr>
            <w:r>
              <w:rPr>
                <w:color w:val="000000"/>
                <w:sz w:val="24"/>
                <w:szCs w:val="24"/>
              </w:rPr>
              <w:t>1</w:t>
            </w:r>
          </w:p>
        </w:tc>
        <w:tc>
          <w:tcPr>
            <w:tcW w:w="1334" w:type="dxa"/>
            <w:vAlign w:val="center"/>
          </w:tcPr>
          <w:p w:rsidR="00274205" w:rsidRDefault="00144CDC">
            <w:pPr>
              <w:jc w:val="center"/>
            </w:pPr>
            <w:r>
              <w:rPr>
                <w:color w:val="000000"/>
                <w:sz w:val="24"/>
                <w:szCs w:val="24"/>
              </w:rPr>
              <w:t>002180</w:t>
            </w:r>
          </w:p>
        </w:tc>
        <w:tc>
          <w:tcPr>
            <w:tcW w:w="1777" w:type="dxa"/>
            <w:vAlign w:val="center"/>
          </w:tcPr>
          <w:p w:rsidR="00274205" w:rsidRDefault="00144CDC">
            <w:pPr>
              <w:jc w:val="center"/>
            </w:pPr>
            <w:r>
              <w:rPr>
                <w:color w:val="000000"/>
                <w:sz w:val="24"/>
                <w:szCs w:val="24"/>
              </w:rPr>
              <w:t>纳思达</w:t>
            </w:r>
          </w:p>
        </w:tc>
        <w:tc>
          <w:tcPr>
            <w:tcW w:w="1334" w:type="dxa"/>
            <w:vAlign w:val="center"/>
          </w:tcPr>
          <w:p w:rsidR="00274205" w:rsidRDefault="00144CDC">
            <w:pPr>
              <w:jc w:val="right"/>
            </w:pPr>
            <w:r>
              <w:rPr>
                <w:color w:val="000000"/>
                <w:sz w:val="24"/>
                <w:szCs w:val="24"/>
              </w:rPr>
              <w:t>8,300,149</w:t>
            </w:r>
          </w:p>
        </w:tc>
        <w:tc>
          <w:tcPr>
            <w:tcW w:w="1924" w:type="dxa"/>
            <w:vAlign w:val="center"/>
          </w:tcPr>
          <w:p w:rsidR="00274205" w:rsidRDefault="00144CDC">
            <w:pPr>
              <w:jc w:val="right"/>
            </w:pPr>
            <w:r>
              <w:rPr>
                <w:color w:val="000000"/>
                <w:sz w:val="24"/>
                <w:szCs w:val="24"/>
              </w:rPr>
              <w:t>235,558,228.62</w:t>
            </w:r>
          </w:p>
        </w:tc>
        <w:tc>
          <w:tcPr>
            <w:tcW w:w="1644" w:type="dxa"/>
            <w:vAlign w:val="center"/>
          </w:tcPr>
          <w:p w:rsidR="00274205" w:rsidRDefault="00144CDC">
            <w:pPr>
              <w:jc w:val="right"/>
            </w:pPr>
            <w:r>
              <w:rPr>
                <w:color w:val="000000"/>
                <w:sz w:val="24"/>
                <w:szCs w:val="24"/>
              </w:rPr>
              <w:t>9.07</w:t>
            </w:r>
          </w:p>
        </w:tc>
      </w:tr>
      <w:tr w:rsidR="00274205">
        <w:trPr>
          <w:jc w:val="center"/>
        </w:trPr>
        <w:tc>
          <w:tcPr>
            <w:tcW w:w="855" w:type="dxa"/>
            <w:vAlign w:val="center"/>
          </w:tcPr>
          <w:p w:rsidR="00274205" w:rsidRDefault="00144CDC">
            <w:pPr>
              <w:jc w:val="center"/>
            </w:pPr>
            <w:r>
              <w:rPr>
                <w:color w:val="000000"/>
                <w:sz w:val="24"/>
                <w:szCs w:val="24"/>
              </w:rPr>
              <w:t>2</w:t>
            </w:r>
          </w:p>
        </w:tc>
        <w:tc>
          <w:tcPr>
            <w:tcW w:w="1334" w:type="dxa"/>
            <w:vAlign w:val="center"/>
          </w:tcPr>
          <w:p w:rsidR="00274205" w:rsidRDefault="00144CDC">
            <w:pPr>
              <w:jc w:val="center"/>
            </w:pPr>
            <w:r>
              <w:rPr>
                <w:color w:val="000000"/>
                <w:sz w:val="24"/>
                <w:szCs w:val="24"/>
              </w:rPr>
              <w:t>601088</w:t>
            </w:r>
          </w:p>
        </w:tc>
        <w:tc>
          <w:tcPr>
            <w:tcW w:w="1777" w:type="dxa"/>
            <w:vAlign w:val="center"/>
          </w:tcPr>
          <w:p w:rsidR="00274205" w:rsidRDefault="00144CDC">
            <w:pPr>
              <w:jc w:val="center"/>
            </w:pPr>
            <w:r>
              <w:rPr>
                <w:color w:val="000000"/>
                <w:sz w:val="24"/>
                <w:szCs w:val="24"/>
              </w:rPr>
              <w:t>中国神华</w:t>
            </w:r>
          </w:p>
        </w:tc>
        <w:tc>
          <w:tcPr>
            <w:tcW w:w="1334" w:type="dxa"/>
            <w:vAlign w:val="center"/>
          </w:tcPr>
          <w:p w:rsidR="00274205" w:rsidRDefault="00144CDC">
            <w:pPr>
              <w:jc w:val="right"/>
            </w:pPr>
            <w:r>
              <w:rPr>
                <w:color w:val="000000"/>
                <w:sz w:val="24"/>
                <w:szCs w:val="24"/>
              </w:rPr>
              <w:t>10,009,890</w:t>
            </w:r>
          </w:p>
        </w:tc>
        <w:tc>
          <w:tcPr>
            <w:tcW w:w="1924" w:type="dxa"/>
            <w:vAlign w:val="center"/>
          </w:tcPr>
          <w:p w:rsidR="00274205" w:rsidRDefault="00144CDC">
            <w:pPr>
              <w:jc w:val="right"/>
            </w:pPr>
            <w:r>
              <w:rPr>
                <w:color w:val="000000"/>
                <w:sz w:val="24"/>
                <w:szCs w:val="24"/>
              </w:rPr>
              <w:t>209,607,096.60</w:t>
            </w:r>
          </w:p>
        </w:tc>
        <w:tc>
          <w:tcPr>
            <w:tcW w:w="1644" w:type="dxa"/>
            <w:vAlign w:val="center"/>
          </w:tcPr>
          <w:p w:rsidR="00274205" w:rsidRDefault="00144CDC">
            <w:pPr>
              <w:jc w:val="right"/>
            </w:pPr>
            <w:r>
              <w:rPr>
                <w:color w:val="000000"/>
                <w:sz w:val="24"/>
                <w:szCs w:val="24"/>
              </w:rPr>
              <w:t>8.07</w:t>
            </w:r>
          </w:p>
        </w:tc>
      </w:tr>
      <w:tr w:rsidR="00274205">
        <w:trPr>
          <w:jc w:val="center"/>
        </w:trPr>
        <w:tc>
          <w:tcPr>
            <w:tcW w:w="855" w:type="dxa"/>
            <w:vAlign w:val="center"/>
          </w:tcPr>
          <w:p w:rsidR="00274205" w:rsidRDefault="00144CDC">
            <w:pPr>
              <w:jc w:val="center"/>
            </w:pPr>
            <w:r>
              <w:rPr>
                <w:color w:val="000000"/>
                <w:sz w:val="24"/>
                <w:szCs w:val="24"/>
              </w:rPr>
              <w:t>3</w:t>
            </w:r>
          </w:p>
        </w:tc>
        <w:tc>
          <w:tcPr>
            <w:tcW w:w="1334" w:type="dxa"/>
            <w:vAlign w:val="center"/>
          </w:tcPr>
          <w:p w:rsidR="00274205" w:rsidRDefault="00144CDC">
            <w:pPr>
              <w:jc w:val="center"/>
            </w:pPr>
            <w:r>
              <w:rPr>
                <w:color w:val="000000"/>
                <w:sz w:val="24"/>
                <w:szCs w:val="24"/>
              </w:rPr>
              <w:t>600967</w:t>
            </w:r>
          </w:p>
        </w:tc>
        <w:tc>
          <w:tcPr>
            <w:tcW w:w="1777" w:type="dxa"/>
            <w:vAlign w:val="center"/>
          </w:tcPr>
          <w:p w:rsidR="00274205" w:rsidRDefault="00144CDC">
            <w:pPr>
              <w:jc w:val="center"/>
            </w:pPr>
            <w:r>
              <w:rPr>
                <w:color w:val="000000"/>
                <w:sz w:val="24"/>
                <w:szCs w:val="24"/>
              </w:rPr>
              <w:t>内蒙一机</w:t>
            </w:r>
          </w:p>
        </w:tc>
        <w:tc>
          <w:tcPr>
            <w:tcW w:w="1334" w:type="dxa"/>
            <w:vAlign w:val="center"/>
          </w:tcPr>
          <w:p w:rsidR="00274205" w:rsidRDefault="00144CDC">
            <w:pPr>
              <w:jc w:val="right"/>
            </w:pPr>
            <w:r>
              <w:rPr>
                <w:color w:val="000000"/>
                <w:sz w:val="24"/>
                <w:szCs w:val="24"/>
              </w:rPr>
              <w:t>14,000,000</w:t>
            </w:r>
          </w:p>
        </w:tc>
        <w:tc>
          <w:tcPr>
            <w:tcW w:w="1924" w:type="dxa"/>
            <w:vAlign w:val="center"/>
          </w:tcPr>
          <w:p w:rsidR="00274205" w:rsidRDefault="00144CDC">
            <w:pPr>
              <w:jc w:val="right"/>
            </w:pPr>
            <w:r>
              <w:rPr>
                <w:color w:val="000000"/>
                <w:sz w:val="24"/>
                <w:szCs w:val="24"/>
              </w:rPr>
              <w:t>189,280,000.00</w:t>
            </w:r>
          </w:p>
        </w:tc>
        <w:tc>
          <w:tcPr>
            <w:tcW w:w="1644" w:type="dxa"/>
            <w:vAlign w:val="center"/>
          </w:tcPr>
          <w:p w:rsidR="00274205" w:rsidRDefault="00144CDC">
            <w:pPr>
              <w:jc w:val="right"/>
            </w:pPr>
            <w:r>
              <w:rPr>
                <w:color w:val="000000"/>
                <w:sz w:val="24"/>
                <w:szCs w:val="24"/>
              </w:rPr>
              <w:t>7.29</w:t>
            </w:r>
          </w:p>
        </w:tc>
      </w:tr>
      <w:tr w:rsidR="00274205">
        <w:trPr>
          <w:jc w:val="center"/>
        </w:trPr>
        <w:tc>
          <w:tcPr>
            <w:tcW w:w="855" w:type="dxa"/>
            <w:vAlign w:val="center"/>
          </w:tcPr>
          <w:p w:rsidR="00274205" w:rsidRDefault="00144CDC">
            <w:pPr>
              <w:jc w:val="center"/>
            </w:pPr>
            <w:r>
              <w:rPr>
                <w:color w:val="000000"/>
                <w:sz w:val="24"/>
                <w:szCs w:val="24"/>
              </w:rPr>
              <w:t>4</w:t>
            </w:r>
          </w:p>
        </w:tc>
        <w:tc>
          <w:tcPr>
            <w:tcW w:w="1334" w:type="dxa"/>
            <w:vAlign w:val="center"/>
          </w:tcPr>
          <w:p w:rsidR="00274205" w:rsidRDefault="00144CDC">
            <w:pPr>
              <w:jc w:val="center"/>
            </w:pPr>
            <w:r>
              <w:rPr>
                <w:color w:val="000000"/>
                <w:sz w:val="24"/>
                <w:szCs w:val="24"/>
              </w:rPr>
              <w:t>300129</w:t>
            </w:r>
          </w:p>
        </w:tc>
        <w:tc>
          <w:tcPr>
            <w:tcW w:w="1777" w:type="dxa"/>
            <w:vAlign w:val="center"/>
          </w:tcPr>
          <w:p w:rsidR="00274205" w:rsidRDefault="00144CDC">
            <w:pPr>
              <w:jc w:val="center"/>
            </w:pPr>
            <w:r>
              <w:rPr>
                <w:color w:val="000000"/>
                <w:sz w:val="24"/>
                <w:szCs w:val="24"/>
              </w:rPr>
              <w:t>泰胜风能</w:t>
            </w:r>
          </w:p>
        </w:tc>
        <w:tc>
          <w:tcPr>
            <w:tcW w:w="1334" w:type="dxa"/>
            <w:vAlign w:val="center"/>
          </w:tcPr>
          <w:p w:rsidR="00274205" w:rsidRDefault="00144CDC">
            <w:pPr>
              <w:jc w:val="right"/>
            </w:pPr>
            <w:r>
              <w:rPr>
                <w:color w:val="000000"/>
                <w:sz w:val="24"/>
                <w:szCs w:val="24"/>
              </w:rPr>
              <w:t>18,159,206</w:t>
            </w:r>
          </w:p>
        </w:tc>
        <w:tc>
          <w:tcPr>
            <w:tcW w:w="1924" w:type="dxa"/>
            <w:vAlign w:val="center"/>
          </w:tcPr>
          <w:p w:rsidR="00274205" w:rsidRDefault="00144CDC">
            <w:pPr>
              <w:jc w:val="right"/>
            </w:pPr>
            <w:r>
              <w:rPr>
                <w:color w:val="000000"/>
                <w:sz w:val="24"/>
                <w:szCs w:val="24"/>
              </w:rPr>
              <w:t>139,462,702.08</w:t>
            </w:r>
          </w:p>
        </w:tc>
        <w:tc>
          <w:tcPr>
            <w:tcW w:w="1644" w:type="dxa"/>
            <w:vAlign w:val="center"/>
          </w:tcPr>
          <w:p w:rsidR="00274205" w:rsidRDefault="00144CDC">
            <w:pPr>
              <w:jc w:val="right"/>
            </w:pPr>
            <w:r>
              <w:rPr>
                <w:color w:val="000000"/>
                <w:sz w:val="24"/>
                <w:szCs w:val="24"/>
              </w:rPr>
              <w:t>5.37</w:t>
            </w:r>
          </w:p>
        </w:tc>
      </w:tr>
      <w:tr w:rsidR="00274205">
        <w:trPr>
          <w:jc w:val="center"/>
        </w:trPr>
        <w:tc>
          <w:tcPr>
            <w:tcW w:w="855" w:type="dxa"/>
            <w:vAlign w:val="center"/>
          </w:tcPr>
          <w:p w:rsidR="00274205" w:rsidRDefault="00144CDC">
            <w:pPr>
              <w:jc w:val="center"/>
            </w:pPr>
            <w:r>
              <w:rPr>
                <w:color w:val="000000"/>
                <w:sz w:val="24"/>
                <w:szCs w:val="24"/>
              </w:rPr>
              <w:t>5</w:t>
            </w:r>
          </w:p>
        </w:tc>
        <w:tc>
          <w:tcPr>
            <w:tcW w:w="1334" w:type="dxa"/>
            <w:vAlign w:val="center"/>
          </w:tcPr>
          <w:p w:rsidR="00274205" w:rsidRDefault="00144CDC">
            <w:pPr>
              <w:jc w:val="center"/>
            </w:pPr>
            <w:r>
              <w:rPr>
                <w:color w:val="000000"/>
                <w:sz w:val="24"/>
                <w:szCs w:val="24"/>
              </w:rPr>
              <w:t>600309</w:t>
            </w:r>
          </w:p>
        </w:tc>
        <w:tc>
          <w:tcPr>
            <w:tcW w:w="1777" w:type="dxa"/>
            <w:vAlign w:val="center"/>
          </w:tcPr>
          <w:p w:rsidR="00274205" w:rsidRDefault="00144CDC">
            <w:pPr>
              <w:jc w:val="center"/>
            </w:pPr>
            <w:r>
              <w:rPr>
                <w:color w:val="000000"/>
                <w:sz w:val="24"/>
                <w:szCs w:val="24"/>
              </w:rPr>
              <w:t>万华化学</w:t>
            </w:r>
          </w:p>
        </w:tc>
        <w:tc>
          <w:tcPr>
            <w:tcW w:w="1334" w:type="dxa"/>
            <w:vAlign w:val="center"/>
          </w:tcPr>
          <w:p w:rsidR="00274205" w:rsidRDefault="00144CDC">
            <w:pPr>
              <w:jc w:val="right"/>
            </w:pPr>
            <w:r>
              <w:rPr>
                <w:color w:val="000000"/>
                <w:sz w:val="24"/>
                <w:szCs w:val="24"/>
              </w:rPr>
              <w:t>2,500,000</w:t>
            </w:r>
          </w:p>
        </w:tc>
        <w:tc>
          <w:tcPr>
            <w:tcW w:w="1924" w:type="dxa"/>
            <w:vAlign w:val="center"/>
          </w:tcPr>
          <w:p w:rsidR="00274205" w:rsidRDefault="00144CDC">
            <w:pPr>
              <w:jc w:val="right"/>
            </w:pPr>
            <w:r>
              <w:rPr>
                <w:color w:val="000000"/>
                <w:sz w:val="24"/>
                <w:szCs w:val="24"/>
              </w:rPr>
              <w:t>105,375,000.00</w:t>
            </w:r>
          </w:p>
        </w:tc>
        <w:tc>
          <w:tcPr>
            <w:tcW w:w="1644" w:type="dxa"/>
            <w:vAlign w:val="center"/>
          </w:tcPr>
          <w:p w:rsidR="00274205" w:rsidRDefault="00144CDC">
            <w:pPr>
              <w:jc w:val="right"/>
            </w:pPr>
            <w:r>
              <w:rPr>
                <w:color w:val="000000"/>
                <w:sz w:val="24"/>
                <w:szCs w:val="24"/>
              </w:rPr>
              <w:t>4.06</w:t>
            </w:r>
          </w:p>
        </w:tc>
      </w:tr>
      <w:tr w:rsidR="00274205">
        <w:trPr>
          <w:jc w:val="center"/>
        </w:trPr>
        <w:tc>
          <w:tcPr>
            <w:tcW w:w="855" w:type="dxa"/>
            <w:vAlign w:val="center"/>
          </w:tcPr>
          <w:p w:rsidR="00274205" w:rsidRDefault="00144CDC">
            <w:pPr>
              <w:jc w:val="center"/>
            </w:pPr>
            <w:r>
              <w:rPr>
                <w:color w:val="000000"/>
                <w:sz w:val="24"/>
                <w:szCs w:val="24"/>
              </w:rPr>
              <w:t>6</w:t>
            </w:r>
          </w:p>
        </w:tc>
        <w:tc>
          <w:tcPr>
            <w:tcW w:w="1334" w:type="dxa"/>
            <w:vAlign w:val="center"/>
          </w:tcPr>
          <w:p w:rsidR="00274205" w:rsidRDefault="00144CDC">
            <w:pPr>
              <w:jc w:val="center"/>
            </w:pPr>
            <w:r>
              <w:rPr>
                <w:color w:val="000000"/>
                <w:sz w:val="24"/>
                <w:szCs w:val="24"/>
              </w:rPr>
              <w:t>600389</w:t>
            </w:r>
          </w:p>
        </w:tc>
        <w:tc>
          <w:tcPr>
            <w:tcW w:w="1777" w:type="dxa"/>
            <w:vAlign w:val="center"/>
          </w:tcPr>
          <w:p w:rsidR="00274205" w:rsidRDefault="00144CDC">
            <w:pPr>
              <w:jc w:val="center"/>
            </w:pPr>
            <w:r>
              <w:rPr>
                <w:color w:val="000000"/>
                <w:sz w:val="24"/>
                <w:szCs w:val="24"/>
              </w:rPr>
              <w:t>江山股份</w:t>
            </w:r>
          </w:p>
        </w:tc>
        <w:tc>
          <w:tcPr>
            <w:tcW w:w="1334" w:type="dxa"/>
            <w:vAlign w:val="center"/>
          </w:tcPr>
          <w:p w:rsidR="00274205" w:rsidRDefault="00144CDC">
            <w:pPr>
              <w:jc w:val="right"/>
            </w:pPr>
            <w:r>
              <w:rPr>
                <w:color w:val="000000"/>
                <w:sz w:val="24"/>
                <w:szCs w:val="24"/>
              </w:rPr>
              <w:t>4,302,338</w:t>
            </w:r>
          </w:p>
        </w:tc>
        <w:tc>
          <w:tcPr>
            <w:tcW w:w="1924" w:type="dxa"/>
            <w:vAlign w:val="center"/>
          </w:tcPr>
          <w:p w:rsidR="00274205" w:rsidRDefault="00144CDC">
            <w:pPr>
              <w:jc w:val="right"/>
            </w:pPr>
            <w:r>
              <w:rPr>
                <w:color w:val="000000"/>
                <w:sz w:val="24"/>
                <w:szCs w:val="24"/>
              </w:rPr>
              <w:t>93,446,781.36</w:t>
            </w:r>
          </w:p>
        </w:tc>
        <w:tc>
          <w:tcPr>
            <w:tcW w:w="1644" w:type="dxa"/>
            <w:vAlign w:val="center"/>
          </w:tcPr>
          <w:p w:rsidR="00274205" w:rsidRDefault="00144CDC">
            <w:pPr>
              <w:jc w:val="right"/>
            </w:pPr>
            <w:r>
              <w:rPr>
                <w:color w:val="000000"/>
                <w:sz w:val="24"/>
                <w:szCs w:val="24"/>
              </w:rPr>
              <w:t>3.60</w:t>
            </w:r>
          </w:p>
        </w:tc>
      </w:tr>
      <w:tr w:rsidR="00274205">
        <w:trPr>
          <w:jc w:val="center"/>
        </w:trPr>
        <w:tc>
          <w:tcPr>
            <w:tcW w:w="855" w:type="dxa"/>
            <w:vAlign w:val="center"/>
          </w:tcPr>
          <w:p w:rsidR="00274205" w:rsidRDefault="00144CDC">
            <w:pPr>
              <w:jc w:val="center"/>
            </w:pPr>
            <w:r>
              <w:rPr>
                <w:color w:val="000000"/>
                <w:sz w:val="24"/>
                <w:szCs w:val="24"/>
              </w:rPr>
              <w:t>7</w:t>
            </w:r>
          </w:p>
        </w:tc>
        <w:tc>
          <w:tcPr>
            <w:tcW w:w="1334" w:type="dxa"/>
            <w:vAlign w:val="center"/>
          </w:tcPr>
          <w:p w:rsidR="00274205" w:rsidRDefault="00144CDC">
            <w:pPr>
              <w:jc w:val="center"/>
            </w:pPr>
            <w:r>
              <w:rPr>
                <w:color w:val="000000"/>
                <w:sz w:val="24"/>
                <w:szCs w:val="24"/>
              </w:rPr>
              <w:t>601398</w:t>
            </w:r>
          </w:p>
        </w:tc>
        <w:tc>
          <w:tcPr>
            <w:tcW w:w="1777" w:type="dxa"/>
            <w:vAlign w:val="center"/>
          </w:tcPr>
          <w:p w:rsidR="00274205" w:rsidRDefault="00144CDC">
            <w:pPr>
              <w:jc w:val="center"/>
            </w:pPr>
            <w:r>
              <w:rPr>
                <w:color w:val="000000"/>
                <w:sz w:val="24"/>
                <w:szCs w:val="24"/>
              </w:rPr>
              <w:t>工商银行</w:t>
            </w:r>
          </w:p>
        </w:tc>
        <w:tc>
          <w:tcPr>
            <w:tcW w:w="1334" w:type="dxa"/>
            <w:vAlign w:val="center"/>
          </w:tcPr>
          <w:p w:rsidR="00274205" w:rsidRDefault="00144CDC">
            <w:pPr>
              <w:jc w:val="right"/>
            </w:pPr>
            <w:r>
              <w:rPr>
                <w:color w:val="000000"/>
                <w:sz w:val="24"/>
                <w:szCs w:val="24"/>
              </w:rPr>
              <w:t>15,500,000</w:t>
            </w:r>
          </w:p>
        </w:tc>
        <w:tc>
          <w:tcPr>
            <w:tcW w:w="1924" w:type="dxa"/>
            <w:vAlign w:val="center"/>
          </w:tcPr>
          <w:p w:rsidR="00274205" w:rsidRDefault="00144CDC">
            <w:pPr>
              <w:jc w:val="right"/>
            </w:pPr>
            <w:r>
              <w:rPr>
                <w:color w:val="000000"/>
                <w:sz w:val="24"/>
                <w:szCs w:val="24"/>
              </w:rPr>
              <w:t>93,000,000.00</w:t>
            </w:r>
          </w:p>
        </w:tc>
        <w:tc>
          <w:tcPr>
            <w:tcW w:w="1644" w:type="dxa"/>
            <w:vAlign w:val="center"/>
          </w:tcPr>
          <w:p w:rsidR="00274205" w:rsidRDefault="00144CDC">
            <w:pPr>
              <w:jc w:val="right"/>
            </w:pPr>
            <w:r>
              <w:rPr>
                <w:color w:val="000000"/>
                <w:sz w:val="24"/>
                <w:szCs w:val="24"/>
              </w:rPr>
              <w:t>3.58</w:t>
            </w:r>
          </w:p>
        </w:tc>
      </w:tr>
      <w:tr w:rsidR="00274205">
        <w:trPr>
          <w:jc w:val="center"/>
        </w:trPr>
        <w:tc>
          <w:tcPr>
            <w:tcW w:w="855" w:type="dxa"/>
            <w:vAlign w:val="center"/>
          </w:tcPr>
          <w:p w:rsidR="00274205" w:rsidRDefault="00144CDC">
            <w:pPr>
              <w:jc w:val="center"/>
            </w:pPr>
            <w:r>
              <w:rPr>
                <w:color w:val="000000"/>
                <w:sz w:val="24"/>
                <w:szCs w:val="24"/>
              </w:rPr>
              <w:t>8</w:t>
            </w:r>
          </w:p>
        </w:tc>
        <w:tc>
          <w:tcPr>
            <w:tcW w:w="1334" w:type="dxa"/>
            <w:vAlign w:val="center"/>
          </w:tcPr>
          <w:p w:rsidR="00274205" w:rsidRDefault="00144CDC">
            <w:pPr>
              <w:jc w:val="center"/>
            </w:pPr>
            <w:r>
              <w:rPr>
                <w:color w:val="000000"/>
                <w:sz w:val="24"/>
                <w:szCs w:val="24"/>
              </w:rPr>
              <w:t>601288</w:t>
            </w:r>
          </w:p>
        </w:tc>
        <w:tc>
          <w:tcPr>
            <w:tcW w:w="1777" w:type="dxa"/>
            <w:vAlign w:val="center"/>
          </w:tcPr>
          <w:p w:rsidR="00274205" w:rsidRDefault="00144CDC">
            <w:pPr>
              <w:jc w:val="center"/>
            </w:pPr>
            <w:r>
              <w:rPr>
                <w:color w:val="000000"/>
                <w:sz w:val="24"/>
                <w:szCs w:val="24"/>
              </w:rPr>
              <w:t>农业银行</w:t>
            </w:r>
          </w:p>
        </w:tc>
        <w:tc>
          <w:tcPr>
            <w:tcW w:w="1334" w:type="dxa"/>
            <w:vAlign w:val="center"/>
          </w:tcPr>
          <w:p w:rsidR="00274205" w:rsidRDefault="00144CDC">
            <w:pPr>
              <w:jc w:val="right"/>
            </w:pPr>
            <w:r>
              <w:rPr>
                <w:color w:val="000000"/>
                <w:sz w:val="24"/>
                <w:szCs w:val="24"/>
              </w:rPr>
              <w:t>24,000,000</w:t>
            </w:r>
          </w:p>
        </w:tc>
        <w:tc>
          <w:tcPr>
            <w:tcW w:w="1924" w:type="dxa"/>
            <w:vAlign w:val="center"/>
          </w:tcPr>
          <w:p w:rsidR="00274205" w:rsidRDefault="00144CDC">
            <w:pPr>
              <w:jc w:val="right"/>
            </w:pPr>
            <w:r>
              <w:rPr>
                <w:color w:val="000000"/>
                <w:sz w:val="24"/>
                <w:szCs w:val="24"/>
              </w:rPr>
              <w:t>91,680,000.00</w:t>
            </w:r>
          </w:p>
        </w:tc>
        <w:tc>
          <w:tcPr>
            <w:tcW w:w="1644" w:type="dxa"/>
            <w:vAlign w:val="center"/>
          </w:tcPr>
          <w:p w:rsidR="00274205" w:rsidRDefault="00144CDC">
            <w:pPr>
              <w:jc w:val="right"/>
            </w:pPr>
            <w:r>
              <w:rPr>
                <w:color w:val="000000"/>
                <w:sz w:val="24"/>
                <w:szCs w:val="24"/>
              </w:rPr>
              <w:t>3.53</w:t>
            </w:r>
          </w:p>
        </w:tc>
      </w:tr>
      <w:tr w:rsidR="00274205">
        <w:trPr>
          <w:jc w:val="center"/>
        </w:trPr>
        <w:tc>
          <w:tcPr>
            <w:tcW w:w="855" w:type="dxa"/>
            <w:vAlign w:val="center"/>
          </w:tcPr>
          <w:p w:rsidR="00274205" w:rsidRDefault="00144CDC">
            <w:pPr>
              <w:jc w:val="center"/>
            </w:pPr>
            <w:r>
              <w:rPr>
                <w:color w:val="000000"/>
                <w:sz w:val="24"/>
                <w:szCs w:val="24"/>
              </w:rPr>
              <w:t>9</w:t>
            </w:r>
          </w:p>
        </w:tc>
        <w:tc>
          <w:tcPr>
            <w:tcW w:w="1334" w:type="dxa"/>
            <w:vAlign w:val="center"/>
          </w:tcPr>
          <w:p w:rsidR="00274205" w:rsidRDefault="00144CDC">
            <w:pPr>
              <w:jc w:val="center"/>
            </w:pPr>
            <w:r>
              <w:rPr>
                <w:color w:val="000000"/>
                <w:sz w:val="24"/>
                <w:szCs w:val="24"/>
              </w:rPr>
              <w:t>601988</w:t>
            </w:r>
          </w:p>
        </w:tc>
        <w:tc>
          <w:tcPr>
            <w:tcW w:w="1777" w:type="dxa"/>
            <w:vAlign w:val="center"/>
          </w:tcPr>
          <w:p w:rsidR="00274205" w:rsidRDefault="00144CDC">
            <w:pPr>
              <w:jc w:val="center"/>
            </w:pPr>
            <w:r>
              <w:rPr>
                <w:color w:val="000000"/>
                <w:sz w:val="24"/>
                <w:szCs w:val="24"/>
              </w:rPr>
              <w:t>中国银行</w:t>
            </w:r>
          </w:p>
        </w:tc>
        <w:tc>
          <w:tcPr>
            <w:tcW w:w="1334" w:type="dxa"/>
            <w:vAlign w:val="center"/>
          </w:tcPr>
          <w:p w:rsidR="00274205" w:rsidRDefault="00144CDC">
            <w:pPr>
              <w:jc w:val="right"/>
            </w:pPr>
            <w:r>
              <w:rPr>
                <w:color w:val="000000"/>
                <w:sz w:val="24"/>
                <w:szCs w:val="24"/>
              </w:rPr>
              <w:t>22,000,000</w:t>
            </w:r>
          </w:p>
        </w:tc>
        <w:tc>
          <w:tcPr>
            <w:tcW w:w="1924" w:type="dxa"/>
            <w:vAlign w:val="center"/>
          </w:tcPr>
          <w:p w:rsidR="00274205" w:rsidRDefault="00144CDC">
            <w:pPr>
              <w:jc w:val="right"/>
            </w:pPr>
            <w:r>
              <w:rPr>
                <w:color w:val="000000"/>
                <w:sz w:val="24"/>
                <w:szCs w:val="24"/>
              </w:rPr>
              <w:t>90,640,000.00</w:t>
            </w:r>
          </w:p>
        </w:tc>
        <w:tc>
          <w:tcPr>
            <w:tcW w:w="1644" w:type="dxa"/>
            <w:vAlign w:val="center"/>
          </w:tcPr>
          <w:p w:rsidR="00274205" w:rsidRDefault="00144CDC">
            <w:pPr>
              <w:jc w:val="right"/>
            </w:pPr>
            <w:r>
              <w:rPr>
                <w:color w:val="000000"/>
                <w:sz w:val="24"/>
                <w:szCs w:val="24"/>
              </w:rPr>
              <w:t>3.49</w:t>
            </w:r>
          </w:p>
        </w:tc>
      </w:tr>
      <w:tr w:rsidR="00274205">
        <w:trPr>
          <w:jc w:val="center"/>
        </w:trPr>
        <w:tc>
          <w:tcPr>
            <w:tcW w:w="855" w:type="dxa"/>
            <w:vAlign w:val="center"/>
          </w:tcPr>
          <w:p w:rsidR="00274205" w:rsidRDefault="00144CDC">
            <w:pPr>
              <w:jc w:val="center"/>
            </w:pPr>
            <w:r>
              <w:rPr>
                <w:color w:val="000000"/>
                <w:sz w:val="24"/>
                <w:szCs w:val="24"/>
              </w:rPr>
              <w:t>10</w:t>
            </w:r>
          </w:p>
        </w:tc>
        <w:tc>
          <w:tcPr>
            <w:tcW w:w="1334" w:type="dxa"/>
            <w:vAlign w:val="center"/>
          </w:tcPr>
          <w:p w:rsidR="00274205" w:rsidRDefault="00144CDC">
            <w:pPr>
              <w:jc w:val="center"/>
            </w:pPr>
            <w:r>
              <w:rPr>
                <w:color w:val="000000"/>
                <w:sz w:val="24"/>
                <w:szCs w:val="24"/>
              </w:rPr>
              <w:t>002555</w:t>
            </w:r>
          </w:p>
        </w:tc>
        <w:tc>
          <w:tcPr>
            <w:tcW w:w="1777" w:type="dxa"/>
            <w:vAlign w:val="center"/>
          </w:tcPr>
          <w:p w:rsidR="00274205" w:rsidRDefault="00144CDC">
            <w:pPr>
              <w:jc w:val="center"/>
            </w:pPr>
            <w:r>
              <w:rPr>
                <w:color w:val="000000"/>
                <w:sz w:val="24"/>
                <w:szCs w:val="24"/>
              </w:rPr>
              <w:t>三七互娱</w:t>
            </w:r>
          </w:p>
        </w:tc>
        <w:tc>
          <w:tcPr>
            <w:tcW w:w="1334" w:type="dxa"/>
            <w:vAlign w:val="center"/>
          </w:tcPr>
          <w:p w:rsidR="00274205" w:rsidRDefault="00144CDC">
            <w:pPr>
              <w:jc w:val="right"/>
            </w:pPr>
            <w:r>
              <w:rPr>
                <w:color w:val="000000"/>
                <w:sz w:val="24"/>
                <w:szCs w:val="24"/>
              </w:rPr>
              <w:t>3,600,000</w:t>
            </w:r>
          </w:p>
        </w:tc>
        <w:tc>
          <w:tcPr>
            <w:tcW w:w="1924" w:type="dxa"/>
            <w:vAlign w:val="center"/>
          </w:tcPr>
          <w:p w:rsidR="00274205" w:rsidRDefault="00144CDC">
            <w:pPr>
              <w:jc w:val="right"/>
            </w:pPr>
            <w:r>
              <w:rPr>
                <w:color w:val="000000"/>
                <w:sz w:val="24"/>
                <w:szCs w:val="24"/>
              </w:rPr>
              <w:t>80,280,000.00</w:t>
            </w:r>
          </w:p>
        </w:tc>
        <w:tc>
          <w:tcPr>
            <w:tcW w:w="1644" w:type="dxa"/>
            <w:vAlign w:val="center"/>
          </w:tcPr>
          <w:p w:rsidR="00274205" w:rsidRDefault="00144CDC">
            <w:pPr>
              <w:jc w:val="right"/>
            </w:pPr>
            <w:r>
              <w:rPr>
                <w:color w:val="000000"/>
                <w:sz w:val="24"/>
                <w:szCs w:val="24"/>
              </w:rPr>
              <w:t>3.09</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129,902,000.00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5.00</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129,902,000.00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5.00</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129,902,000.00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5.00</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w:t>
            </w:r>
            <w:r w:rsidRPr="00414345">
              <w:rPr>
                <w:color w:val="000000"/>
                <w:sz w:val="24"/>
                <w:szCs w:val="24"/>
              </w:rPr>
              <w:lastRenderedPageBreak/>
              <w:t>例</w:t>
            </w:r>
            <w:r w:rsidR="003B3494" w:rsidRPr="00414345">
              <w:rPr>
                <w:color w:val="000000"/>
                <w:sz w:val="24"/>
              </w:rPr>
              <w:t>（％）</w:t>
            </w:r>
          </w:p>
        </w:tc>
      </w:tr>
      <w:tr w:rsidR="00274205">
        <w:trPr>
          <w:jc w:val="center"/>
        </w:trPr>
        <w:tc>
          <w:tcPr>
            <w:tcW w:w="850" w:type="dxa"/>
            <w:vAlign w:val="center"/>
          </w:tcPr>
          <w:p w:rsidR="00274205" w:rsidRDefault="00144CDC">
            <w:pPr>
              <w:jc w:val="center"/>
            </w:pPr>
            <w:r>
              <w:rPr>
                <w:color w:val="000000"/>
                <w:sz w:val="24"/>
                <w:szCs w:val="24"/>
              </w:rPr>
              <w:lastRenderedPageBreak/>
              <w:t>1</w:t>
            </w:r>
          </w:p>
        </w:tc>
        <w:tc>
          <w:tcPr>
            <w:tcW w:w="1475" w:type="dxa"/>
            <w:vAlign w:val="center"/>
          </w:tcPr>
          <w:p w:rsidR="00274205" w:rsidRDefault="00144CDC">
            <w:pPr>
              <w:jc w:val="center"/>
            </w:pPr>
            <w:r>
              <w:rPr>
                <w:color w:val="000000"/>
                <w:sz w:val="24"/>
                <w:szCs w:val="24"/>
              </w:rPr>
              <w:t>170203</w:t>
            </w:r>
          </w:p>
        </w:tc>
        <w:tc>
          <w:tcPr>
            <w:tcW w:w="1769" w:type="dxa"/>
            <w:vAlign w:val="center"/>
          </w:tcPr>
          <w:p w:rsidR="00274205" w:rsidRDefault="00144CDC">
            <w:pPr>
              <w:jc w:val="center"/>
            </w:pPr>
            <w:r>
              <w:rPr>
                <w:color w:val="000000"/>
                <w:sz w:val="24"/>
                <w:szCs w:val="24"/>
              </w:rPr>
              <w:t>17</w:t>
            </w:r>
            <w:r>
              <w:rPr>
                <w:color w:val="000000"/>
                <w:sz w:val="24"/>
                <w:szCs w:val="24"/>
              </w:rPr>
              <w:t>国开</w:t>
            </w:r>
            <w:r>
              <w:rPr>
                <w:color w:val="000000"/>
                <w:sz w:val="24"/>
                <w:szCs w:val="24"/>
              </w:rPr>
              <w:t>03</w:t>
            </w:r>
          </w:p>
        </w:tc>
        <w:tc>
          <w:tcPr>
            <w:tcW w:w="1387" w:type="dxa"/>
            <w:vAlign w:val="center"/>
          </w:tcPr>
          <w:p w:rsidR="00274205" w:rsidRDefault="00144CDC">
            <w:pPr>
              <w:jc w:val="right"/>
            </w:pPr>
            <w:r>
              <w:rPr>
                <w:color w:val="000000"/>
                <w:sz w:val="24"/>
                <w:szCs w:val="24"/>
              </w:rPr>
              <w:t>1,000,000</w:t>
            </w:r>
          </w:p>
        </w:tc>
        <w:tc>
          <w:tcPr>
            <w:tcW w:w="2150" w:type="dxa"/>
            <w:vAlign w:val="center"/>
          </w:tcPr>
          <w:p w:rsidR="00274205" w:rsidRDefault="00144CDC">
            <w:pPr>
              <w:jc w:val="right"/>
            </w:pPr>
            <w:r>
              <w:rPr>
                <w:color w:val="000000"/>
                <w:sz w:val="24"/>
                <w:szCs w:val="24"/>
              </w:rPr>
              <w:t>99,890,000.00</w:t>
            </w:r>
          </w:p>
        </w:tc>
        <w:tc>
          <w:tcPr>
            <w:tcW w:w="1237" w:type="dxa"/>
            <w:vAlign w:val="center"/>
          </w:tcPr>
          <w:p w:rsidR="00274205" w:rsidRDefault="00144CDC">
            <w:pPr>
              <w:jc w:val="right"/>
            </w:pPr>
            <w:r>
              <w:rPr>
                <w:color w:val="000000"/>
                <w:sz w:val="24"/>
                <w:szCs w:val="24"/>
              </w:rPr>
              <w:t>3.85</w:t>
            </w:r>
          </w:p>
        </w:tc>
      </w:tr>
      <w:tr w:rsidR="00274205">
        <w:trPr>
          <w:jc w:val="center"/>
        </w:trPr>
        <w:tc>
          <w:tcPr>
            <w:tcW w:w="850" w:type="dxa"/>
            <w:vAlign w:val="center"/>
          </w:tcPr>
          <w:p w:rsidR="00274205" w:rsidRDefault="00144CDC">
            <w:pPr>
              <w:jc w:val="center"/>
            </w:pPr>
            <w:r>
              <w:rPr>
                <w:color w:val="000000"/>
                <w:sz w:val="24"/>
                <w:szCs w:val="24"/>
              </w:rPr>
              <w:t>2</w:t>
            </w:r>
          </w:p>
        </w:tc>
        <w:tc>
          <w:tcPr>
            <w:tcW w:w="1475" w:type="dxa"/>
            <w:vAlign w:val="center"/>
          </w:tcPr>
          <w:p w:rsidR="00274205" w:rsidRDefault="00144CDC">
            <w:pPr>
              <w:jc w:val="center"/>
            </w:pPr>
            <w:r>
              <w:rPr>
                <w:color w:val="000000"/>
                <w:sz w:val="24"/>
                <w:szCs w:val="24"/>
              </w:rPr>
              <w:t>140225</w:t>
            </w:r>
          </w:p>
        </w:tc>
        <w:tc>
          <w:tcPr>
            <w:tcW w:w="1769" w:type="dxa"/>
            <w:vAlign w:val="center"/>
          </w:tcPr>
          <w:p w:rsidR="00274205" w:rsidRDefault="00144CDC">
            <w:pPr>
              <w:jc w:val="center"/>
            </w:pPr>
            <w:r>
              <w:rPr>
                <w:color w:val="000000"/>
                <w:sz w:val="24"/>
                <w:szCs w:val="24"/>
              </w:rPr>
              <w:t>14</w:t>
            </w:r>
            <w:r>
              <w:rPr>
                <w:color w:val="000000"/>
                <w:sz w:val="24"/>
                <w:szCs w:val="24"/>
              </w:rPr>
              <w:t>国开</w:t>
            </w:r>
            <w:r>
              <w:rPr>
                <w:color w:val="000000"/>
                <w:sz w:val="24"/>
                <w:szCs w:val="24"/>
              </w:rPr>
              <w:t>25</w:t>
            </w:r>
          </w:p>
        </w:tc>
        <w:tc>
          <w:tcPr>
            <w:tcW w:w="1387" w:type="dxa"/>
            <w:vAlign w:val="center"/>
          </w:tcPr>
          <w:p w:rsidR="00274205" w:rsidRDefault="00144CDC">
            <w:pPr>
              <w:jc w:val="right"/>
            </w:pPr>
            <w:r>
              <w:rPr>
                <w:color w:val="000000"/>
                <w:sz w:val="24"/>
                <w:szCs w:val="24"/>
              </w:rPr>
              <w:t>300,000</w:t>
            </w:r>
          </w:p>
        </w:tc>
        <w:tc>
          <w:tcPr>
            <w:tcW w:w="2150" w:type="dxa"/>
            <w:vAlign w:val="center"/>
          </w:tcPr>
          <w:p w:rsidR="00274205" w:rsidRDefault="00144CDC">
            <w:pPr>
              <w:jc w:val="right"/>
            </w:pPr>
            <w:r>
              <w:rPr>
                <w:color w:val="000000"/>
                <w:sz w:val="24"/>
                <w:szCs w:val="24"/>
              </w:rPr>
              <w:t>30,012,000.00</w:t>
            </w:r>
          </w:p>
        </w:tc>
        <w:tc>
          <w:tcPr>
            <w:tcW w:w="1237" w:type="dxa"/>
            <w:vAlign w:val="center"/>
          </w:tcPr>
          <w:p w:rsidR="00274205" w:rsidRDefault="00144CDC">
            <w:pPr>
              <w:jc w:val="right"/>
            </w:pPr>
            <w:r>
              <w:rPr>
                <w:color w:val="000000"/>
                <w:sz w:val="24"/>
                <w:szCs w:val="24"/>
              </w:rPr>
              <w:t>1.16</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报告期内本基金投资的前十名证券的发行主体除万华化学（证券代码</w:t>
      </w:r>
      <w:r w:rsidRPr="00BE5388">
        <w:rPr>
          <w:bCs/>
          <w:color w:val="000000"/>
          <w:kern w:val="0"/>
          <w:sz w:val="24"/>
          <w:szCs w:val="24"/>
        </w:rPr>
        <w:t>: 600309</w:t>
      </w:r>
      <w:r w:rsidRPr="00BE5388">
        <w:rPr>
          <w:bCs/>
          <w:color w:val="000000"/>
          <w:kern w:val="0"/>
          <w:sz w:val="24"/>
          <w:szCs w:val="24"/>
        </w:rPr>
        <w:t>）外，未出现被监管部门立案调查，或在报告编制日前一年内受到公开谴责、处罚的情形。</w:t>
      </w:r>
    </w:p>
    <w:p w:rsidR="00274205" w:rsidRDefault="00144CDC">
      <w:pPr>
        <w:autoSpaceDE w:val="0"/>
        <w:autoSpaceDN w:val="0"/>
        <w:adjustRightInd w:val="0"/>
        <w:spacing w:before="29" w:line="288" w:lineRule="auto"/>
        <w:jc w:val="left"/>
        <w:rPr>
          <w:bCs/>
          <w:color w:val="000000"/>
          <w:kern w:val="0"/>
          <w:sz w:val="24"/>
          <w:szCs w:val="24"/>
        </w:rPr>
      </w:pPr>
      <w:r>
        <w:rPr>
          <w:bCs/>
          <w:color w:val="000000"/>
          <w:kern w:val="0"/>
          <w:sz w:val="24"/>
          <w:szCs w:val="24"/>
        </w:rPr>
        <w:t>报告期内本基金投资的前十名证券之一万华化学（证券代码</w:t>
      </w:r>
      <w:r>
        <w:rPr>
          <w:bCs/>
          <w:color w:val="000000"/>
          <w:kern w:val="0"/>
          <w:sz w:val="24"/>
          <w:szCs w:val="24"/>
        </w:rPr>
        <w:t>:600309</w:t>
      </w:r>
      <w:r>
        <w:rPr>
          <w:bCs/>
          <w:color w:val="000000"/>
          <w:kern w:val="0"/>
          <w:sz w:val="24"/>
          <w:szCs w:val="24"/>
        </w:rPr>
        <w:t>）于</w:t>
      </w:r>
      <w:r>
        <w:rPr>
          <w:bCs/>
          <w:color w:val="000000"/>
          <w:kern w:val="0"/>
          <w:sz w:val="24"/>
          <w:szCs w:val="24"/>
        </w:rPr>
        <w:t>2017</w:t>
      </w:r>
      <w:r>
        <w:rPr>
          <w:bCs/>
          <w:color w:val="000000"/>
          <w:kern w:val="0"/>
          <w:sz w:val="24"/>
          <w:szCs w:val="24"/>
        </w:rPr>
        <w:t>年</w:t>
      </w:r>
      <w:r>
        <w:rPr>
          <w:bCs/>
          <w:color w:val="000000"/>
          <w:kern w:val="0"/>
          <w:sz w:val="24"/>
          <w:szCs w:val="24"/>
        </w:rPr>
        <w:t>7</w:t>
      </w:r>
      <w:r>
        <w:rPr>
          <w:bCs/>
          <w:color w:val="000000"/>
          <w:kern w:val="0"/>
          <w:sz w:val="24"/>
          <w:szCs w:val="24"/>
        </w:rPr>
        <w:t>月</w:t>
      </w:r>
      <w:r>
        <w:rPr>
          <w:bCs/>
          <w:color w:val="000000"/>
          <w:kern w:val="0"/>
          <w:sz w:val="24"/>
          <w:szCs w:val="24"/>
        </w:rPr>
        <w:t>6</w:t>
      </w:r>
      <w:r>
        <w:rPr>
          <w:bCs/>
          <w:color w:val="000000"/>
          <w:kern w:val="0"/>
          <w:sz w:val="24"/>
          <w:szCs w:val="24"/>
        </w:rPr>
        <w:t>日公告，根据烟台市人民政府批复的《万华化学集团股份有限公司烟台工业园</w:t>
      </w:r>
      <w:r>
        <w:rPr>
          <w:bCs/>
          <w:color w:val="000000"/>
          <w:kern w:val="0"/>
          <w:sz w:val="24"/>
          <w:szCs w:val="24"/>
        </w:rPr>
        <w:t>“9.20”</w:t>
      </w:r>
      <w:r>
        <w:rPr>
          <w:bCs/>
          <w:color w:val="000000"/>
          <w:kern w:val="0"/>
          <w:sz w:val="24"/>
          <w:szCs w:val="24"/>
        </w:rPr>
        <w:t>较大爆炸事故调查报告》的建议，烟台市安监局对公司处以</w:t>
      </w:r>
      <w:r>
        <w:rPr>
          <w:bCs/>
          <w:color w:val="000000"/>
          <w:kern w:val="0"/>
          <w:sz w:val="24"/>
          <w:szCs w:val="24"/>
        </w:rPr>
        <w:t>80</w:t>
      </w:r>
      <w:r>
        <w:rPr>
          <w:bCs/>
          <w:color w:val="000000"/>
          <w:kern w:val="0"/>
          <w:sz w:val="24"/>
          <w:szCs w:val="24"/>
        </w:rPr>
        <w:t>万元罚款。</w:t>
      </w:r>
    </w:p>
    <w:p w:rsidR="00274205" w:rsidRDefault="00144CDC">
      <w:pPr>
        <w:autoSpaceDE w:val="0"/>
        <w:autoSpaceDN w:val="0"/>
        <w:adjustRightInd w:val="0"/>
        <w:spacing w:before="29" w:line="288" w:lineRule="auto"/>
        <w:jc w:val="left"/>
        <w:rPr>
          <w:bCs/>
          <w:color w:val="000000"/>
          <w:kern w:val="0"/>
          <w:sz w:val="24"/>
          <w:szCs w:val="24"/>
        </w:rPr>
      </w:pPr>
      <w:r>
        <w:rPr>
          <w:bCs/>
          <w:color w:val="000000"/>
          <w:kern w:val="0"/>
          <w:sz w:val="24"/>
          <w:szCs w:val="24"/>
        </w:rPr>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核心股票池。在对该证券的持有过程中公司研究员密切关注上市公司动向。在</w:t>
      </w:r>
      <w:r>
        <w:rPr>
          <w:bCs/>
          <w:color w:val="000000"/>
          <w:kern w:val="0"/>
          <w:sz w:val="24"/>
          <w:szCs w:val="24"/>
        </w:rPr>
        <w:t>上述事件发生时及时分析其对投资决策的影响，经过分析认为上述事件对上市公司财务状况、经营成果和现金流量未产生重大的实质性影响，所以不影响对该公司基本面和公司治理的投资判断。</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lastRenderedPageBreak/>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931,110.60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8,201,741.70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3,499,699.46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245,600.85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12,878,152.61</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274205">
        <w:trPr>
          <w:jc w:val="center"/>
        </w:trPr>
        <w:tc>
          <w:tcPr>
            <w:tcW w:w="1129" w:type="dxa"/>
            <w:vAlign w:val="center"/>
          </w:tcPr>
          <w:p w:rsidR="00274205" w:rsidRDefault="00144CDC">
            <w:pPr>
              <w:jc w:val="center"/>
            </w:pPr>
            <w:r>
              <w:rPr>
                <w:color w:val="000000"/>
                <w:sz w:val="24"/>
                <w:szCs w:val="24"/>
              </w:rPr>
              <w:t>1</w:t>
            </w:r>
          </w:p>
        </w:tc>
        <w:tc>
          <w:tcPr>
            <w:tcW w:w="1356" w:type="dxa"/>
            <w:vAlign w:val="center"/>
          </w:tcPr>
          <w:p w:rsidR="00274205" w:rsidRDefault="00144CDC">
            <w:pPr>
              <w:jc w:val="center"/>
            </w:pPr>
            <w:r>
              <w:rPr>
                <w:color w:val="000000"/>
                <w:sz w:val="24"/>
                <w:szCs w:val="24"/>
              </w:rPr>
              <w:t>600389</w:t>
            </w:r>
          </w:p>
        </w:tc>
        <w:tc>
          <w:tcPr>
            <w:tcW w:w="1355" w:type="dxa"/>
            <w:vAlign w:val="center"/>
          </w:tcPr>
          <w:p w:rsidR="00274205" w:rsidRDefault="00144CDC">
            <w:pPr>
              <w:jc w:val="center"/>
            </w:pPr>
            <w:r>
              <w:rPr>
                <w:color w:val="000000"/>
                <w:sz w:val="24"/>
                <w:szCs w:val="24"/>
              </w:rPr>
              <w:t>江山股份</w:t>
            </w:r>
          </w:p>
        </w:tc>
        <w:tc>
          <w:tcPr>
            <w:tcW w:w="1880" w:type="dxa"/>
            <w:vAlign w:val="center"/>
          </w:tcPr>
          <w:p w:rsidR="00274205" w:rsidRDefault="00144CDC">
            <w:pPr>
              <w:jc w:val="right"/>
            </w:pPr>
            <w:r>
              <w:rPr>
                <w:color w:val="000000"/>
                <w:sz w:val="24"/>
                <w:szCs w:val="24"/>
              </w:rPr>
              <w:t>93,446,781.36</w:t>
            </w:r>
          </w:p>
        </w:tc>
        <w:tc>
          <w:tcPr>
            <w:tcW w:w="1724" w:type="dxa"/>
            <w:vAlign w:val="center"/>
          </w:tcPr>
          <w:p w:rsidR="00274205" w:rsidRDefault="00144CDC">
            <w:pPr>
              <w:jc w:val="right"/>
            </w:pPr>
            <w:r>
              <w:rPr>
                <w:color w:val="000000"/>
                <w:sz w:val="24"/>
                <w:szCs w:val="24"/>
              </w:rPr>
              <w:t>3.60</w:t>
            </w:r>
          </w:p>
        </w:tc>
        <w:tc>
          <w:tcPr>
            <w:tcW w:w="1424" w:type="dxa"/>
            <w:vAlign w:val="center"/>
          </w:tcPr>
          <w:p w:rsidR="00274205" w:rsidRDefault="00144CDC">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2,822,362,837.43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40,879,310.09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173,858,972.36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2,689,383,175.16</w:t>
            </w:r>
          </w:p>
        </w:tc>
      </w:tr>
    </w:tbl>
    <w:p w:rsidR="00274205" w:rsidRDefault="00144CDC">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EE49FE">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lastRenderedPageBreak/>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274205" w:rsidRDefault="00144CDC">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、中国证监会批准交银施罗德蓝筹股票证券投资基金募集的文件；</w:t>
      </w:r>
      <w:r>
        <w:rPr>
          <w:color w:val="000000"/>
          <w:sz w:val="24"/>
          <w:szCs w:val="24"/>
        </w:rPr>
        <w:t xml:space="preserve"> </w:t>
      </w:r>
    </w:p>
    <w:p w:rsidR="00274205" w:rsidRDefault="00144CDC">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、《交银施罗德蓝筹混合型证券投资基金基金合同》；</w:t>
      </w:r>
      <w:r>
        <w:rPr>
          <w:color w:val="000000"/>
          <w:sz w:val="24"/>
          <w:szCs w:val="24"/>
        </w:rPr>
        <w:t xml:space="preserve"> </w:t>
      </w:r>
    </w:p>
    <w:p w:rsidR="00274205" w:rsidRDefault="00144CDC">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、《交银施罗德蓝筹混合型证券投资基金招募说明书》；</w:t>
      </w:r>
      <w:r>
        <w:rPr>
          <w:color w:val="000000"/>
          <w:sz w:val="24"/>
          <w:szCs w:val="24"/>
        </w:rPr>
        <w:t xml:space="preserve"> </w:t>
      </w:r>
    </w:p>
    <w:p w:rsidR="00274205" w:rsidRDefault="00144CDC">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、《交银施罗德蓝筹混合型证券投资基金托管协议》；</w:t>
      </w:r>
      <w:r>
        <w:rPr>
          <w:color w:val="000000"/>
          <w:sz w:val="24"/>
          <w:szCs w:val="24"/>
        </w:rPr>
        <w:t xml:space="preserve"> </w:t>
      </w:r>
    </w:p>
    <w:p w:rsidR="00274205" w:rsidRDefault="00144CDC">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、关于募集交银施罗德蓝筹股票证券投资基金之法律意见书；</w:t>
      </w:r>
      <w:r>
        <w:rPr>
          <w:color w:val="000000"/>
          <w:sz w:val="24"/>
          <w:szCs w:val="24"/>
        </w:rPr>
        <w:t xml:space="preserve"> </w:t>
      </w:r>
    </w:p>
    <w:p w:rsidR="00274205" w:rsidRDefault="00144CDC">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274205" w:rsidRDefault="00144CDC">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、报告期内交银施罗德蓝筹混合型证券投资基金在指定报刊上各项公告的原稿。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274205" w:rsidRDefault="00144CDC">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CDC" w:rsidRDefault="00144CDC" w:rsidP="00876D65">
      <w:r>
        <w:separator/>
      </w:r>
    </w:p>
  </w:endnote>
  <w:endnote w:type="continuationSeparator" w:id="0">
    <w:p w:rsidR="00144CDC" w:rsidRDefault="00144CDC"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52479B">
      <w:rPr>
        <w:kern w:val="0"/>
        <w:szCs w:val="21"/>
      </w:rPr>
      <w:fldChar w:fldCharType="begin"/>
    </w:r>
    <w:r>
      <w:rPr>
        <w:kern w:val="0"/>
        <w:szCs w:val="21"/>
      </w:rPr>
      <w:instrText xml:space="preserve"> PAGE </w:instrText>
    </w:r>
    <w:r w:rsidR="0052479B">
      <w:rPr>
        <w:kern w:val="0"/>
        <w:szCs w:val="21"/>
      </w:rPr>
      <w:fldChar w:fldCharType="separate"/>
    </w:r>
    <w:r w:rsidR="00553A31">
      <w:rPr>
        <w:noProof/>
        <w:kern w:val="0"/>
        <w:szCs w:val="21"/>
      </w:rPr>
      <w:t>1</w:t>
    </w:r>
    <w:r w:rsidR="0052479B">
      <w:rPr>
        <w:kern w:val="0"/>
        <w:szCs w:val="21"/>
      </w:rPr>
      <w:fldChar w:fldCharType="end"/>
    </w:r>
    <w:r>
      <w:rPr>
        <w:rFonts w:hint="eastAsia"/>
        <w:kern w:val="0"/>
        <w:szCs w:val="21"/>
      </w:rPr>
      <w:t>页共</w:t>
    </w:r>
    <w:r w:rsidR="0052479B">
      <w:rPr>
        <w:kern w:val="0"/>
        <w:szCs w:val="21"/>
      </w:rPr>
      <w:fldChar w:fldCharType="begin"/>
    </w:r>
    <w:r>
      <w:rPr>
        <w:kern w:val="0"/>
        <w:szCs w:val="21"/>
      </w:rPr>
      <w:instrText xml:space="preserve"> NUMPAGES </w:instrText>
    </w:r>
    <w:r w:rsidR="0052479B">
      <w:rPr>
        <w:kern w:val="0"/>
        <w:szCs w:val="21"/>
      </w:rPr>
      <w:fldChar w:fldCharType="separate"/>
    </w:r>
    <w:r w:rsidR="00553A31">
      <w:rPr>
        <w:noProof/>
        <w:kern w:val="0"/>
        <w:szCs w:val="21"/>
      </w:rPr>
      <w:t>11</w:t>
    </w:r>
    <w:r w:rsidR="0052479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CDC" w:rsidRDefault="00144CDC" w:rsidP="00876D65">
      <w:r>
        <w:separator/>
      </w:r>
    </w:p>
  </w:footnote>
  <w:footnote w:type="continuationSeparator" w:id="0">
    <w:p w:rsidR="00144CDC" w:rsidRDefault="00144CDC"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CDC"/>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4205"/>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50AD"/>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53A31"/>
    <w:rsid w:val="005608EF"/>
    <w:rsid w:val="005659E4"/>
    <w:rsid w:val="00570842"/>
    <w:rsid w:val="00572784"/>
    <w:rsid w:val="00572D9F"/>
    <w:rsid w:val="00573097"/>
    <w:rsid w:val="005761EE"/>
    <w:rsid w:val="00582D99"/>
    <w:rsid w:val="00585263"/>
    <w:rsid w:val="005866D3"/>
    <w:rsid w:val="0059076B"/>
    <w:rsid w:val="005910BF"/>
    <w:rsid w:val="005A0A33"/>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04BE1"/>
    <w:rsid w:val="00E215BA"/>
    <w:rsid w:val="00E36549"/>
    <w:rsid w:val="00E40D31"/>
    <w:rsid w:val="00E41260"/>
    <w:rsid w:val="00E44E18"/>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C9840E-A1DD-42A2-A654-F9B8DAB95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1AA04-80E0-49B0-98A8-40473CE70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1788</TotalTime>
  <Pages>1</Pages>
  <Words>1097</Words>
  <Characters>6256</Characters>
  <Application>Microsoft Office Word</Application>
  <DocSecurity>0</DocSecurity>
  <Lines>52</Lines>
  <Paragraphs>14</Paragraphs>
  <ScaleCrop>false</ScaleCrop>
  <Company/>
  <LinksUpToDate>false</LinksUpToDate>
  <CharactersWithSpaces>7339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荣华</cp:lastModifiedBy>
  <cp:revision>567</cp:revision>
  <dcterms:created xsi:type="dcterms:W3CDTF">2012-10-16T06:07:00Z</dcterms:created>
  <dcterms:modified xsi:type="dcterms:W3CDTF">2017-10-23T05:52:00Z</dcterms:modified>
</cp:coreProperties>
</file>