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67478" w:rsidRDefault="00885F3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67478" w:rsidRDefault="00885F34">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67478" w:rsidRDefault="00885F3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67478" w:rsidRDefault="00885F3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67478" w:rsidRDefault="00885F3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757,798,916.25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w:t>
            </w:r>
            <w:r w:rsidRPr="007F52FA">
              <w:rPr>
                <w:color w:val="000000"/>
                <w:kern w:val="0"/>
                <w:sz w:val="24"/>
              </w:rPr>
              <w:lastRenderedPageBreak/>
              <w:t>主要投资对象，追求超额收益，其风险和预期收益高于债券型基金和货币市场基金，低于股票型基金。属于承担较高风险、预期收益较高的证券投资基金品种。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519692</w:t>
            </w:r>
            <w:r w:rsidRPr="007F52FA">
              <w:rPr>
                <w:color w:val="000000" w:themeColor="text1"/>
                <w:sz w:val="24"/>
              </w:rPr>
              <w:t>（前端）、</w:t>
            </w:r>
            <w:r w:rsidRPr="007F52FA">
              <w:rPr>
                <w:color w:val="000000" w:themeColor="text1"/>
                <w:sz w:val="24"/>
              </w:rPr>
              <w:t>519693</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757,485,762.13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313,154.12</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31,655,388.76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12,437.34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383,179,412.05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186,567.15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0.4969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0.5042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3,329,168,677.45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1,384,573.59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4.3950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4.4214</w:t>
            </w:r>
          </w:p>
        </w:tc>
      </w:tr>
    </w:tbl>
    <w:p w:rsidR="00E67478" w:rsidRDefault="00885F3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127444">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27444">
        <w:trPr>
          <w:jc w:val="center"/>
        </w:trPr>
        <w:tc>
          <w:tcPr>
            <w:tcW w:w="1266" w:type="dxa"/>
            <w:vAlign w:val="center"/>
          </w:tcPr>
          <w:p w:rsidR="00127444" w:rsidRDefault="00127444" w:rsidP="00127444">
            <w:pPr>
              <w:jc w:val="left"/>
            </w:pPr>
            <w:r>
              <w:rPr>
                <w:color w:val="000000"/>
                <w:sz w:val="24"/>
              </w:rPr>
              <w:lastRenderedPageBreak/>
              <w:t>过去三个月</w:t>
            </w:r>
          </w:p>
        </w:tc>
        <w:tc>
          <w:tcPr>
            <w:tcW w:w="1267" w:type="dxa"/>
            <w:vAlign w:val="center"/>
          </w:tcPr>
          <w:p w:rsidR="00127444" w:rsidRDefault="00127444" w:rsidP="00127444">
            <w:pPr>
              <w:jc w:val="center"/>
            </w:pPr>
            <w:r>
              <w:rPr>
                <w:color w:val="000000"/>
                <w:sz w:val="24"/>
              </w:rPr>
              <w:t>12.75%</w:t>
            </w:r>
          </w:p>
        </w:tc>
        <w:tc>
          <w:tcPr>
            <w:tcW w:w="1267" w:type="dxa"/>
            <w:vAlign w:val="center"/>
          </w:tcPr>
          <w:p w:rsidR="00127444" w:rsidRDefault="00127444" w:rsidP="00127444">
            <w:pPr>
              <w:jc w:val="center"/>
            </w:pPr>
            <w:r>
              <w:rPr>
                <w:color w:val="000000"/>
                <w:sz w:val="24"/>
              </w:rPr>
              <w:t>1.12%</w:t>
            </w:r>
          </w:p>
        </w:tc>
        <w:tc>
          <w:tcPr>
            <w:tcW w:w="1267" w:type="dxa"/>
            <w:vAlign w:val="center"/>
          </w:tcPr>
          <w:p w:rsidR="00127444" w:rsidRPr="00127444" w:rsidRDefault="00127444" w:rsidP="00127444">
            <w:pPr>
              <w:jc w:val="center"/>
              <w:rPr>
                <w:color w:val="000000"/>
                <w:sz w:val="24"/>
              </w:rPr>
            </w:pPr>
            <w:r w:rsidRPr="00127444">
              <w:rPr>
                <w:color w:val="000000"/>
                <w:sz w:val="24"/>
              </w:rPr>
              <w:t>3.63%</w:t>
            </w:r>
          </w:p>
        </w:tc>
        <w:tc>
          <w:tcPr>
            <w:tcW w:w="1267" w:type="dxa"/>
            <w:vAlign w:val="center"/>
          </w:tcPr>
          <w:p w:rsidR="00127444" w:rsidRPr="00127444" w:rsidRDefault="00127444" w:rsidP="00127444">
            <w:pPr>
              <w:jc w:val="center"/>
              <w:rPr>
                <w:color w:val="000000"/>
                <w:sz w:val="24"/>
              </w:rPr>
            </w:pPr>
            <w:r w:rsidRPr="00127444">
              <w:rPr>
                <w:color w:val="000000"/>
                <w:sz w:val="24"/>
              </w:rPr>
              <w:t>0.52%</w:t>
            </w:r>
          </w:p>
        </w:tc>
        <w:tc>
          <w:tcPr>
            <w:tcW w:w="1267" w:type="dxa"/>
            <w:vAlign w:val="center"/>
          </w:tcPr>
          <w:p w:rsidR="00127444" w:rsidRPr="00127444" w:rsidRDefault="00127444" w:rsidP="00127444">
            <w:pPr>
              <w:jc w:val="center"/>
              <w:rPr>
                <w:color w:val="000000"/>
                <w:sz w:val="24"/>
              </w:rPr>
            </w:pPr>
            <w:r w:rsidRPr="00127444">
              <w:rPr>
                <w:color w:val="000000"/>
                <w:sz w:val="24"/>
              </w:rPr>
              <w:t>9.12%</w:t>
            </w:r>
          </w:p>
        </w:tc>
        <w:tc>
          <w:tcPr>
            <w:tcW w:w="1267" w:type="dxa"/>
            <w:vAlign w:val="center"/>
          </w:tcPr>
          <w:p w:rsidR="00127444" w:rsidRPr="00127444" w:rsidRDefault="00127444" w:rsidP="00127444">
            <w:pPr>
              <w:jc w:val="center"/>
              <w:rPr>
                <w:color w:val="000000"/>
                <w:sz w:val="24"/>
              </w:rPr>
            </w:pPr>
            <w:r w:rsidRPr="00127444">
              <w:rPr>
                <w:color w:val="000000"/>
                <w:sz w:val="24"/>
              </w:rPr>
              <w:t>0.60%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127444">
        <w:trPr>
          <w:jc w:val="center"/>
        </w:trPr>
        <w:tc>
          <w:tcPr>
            <w:tcW w:w="1266"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27444">
        <w:trPr>
          <w:jc w:val="center"/>
        </w:trPr>
        <w:tc>
          <w:tcPr>
            <w:tcW w:w="1266" w:type="dxa"/>
            <w:vAlign w:val="center"/>
          </w:tcPr>
          <w:p w:rsidR="00127444" w:rsidRDefault="00127444" w:rsidP="00127444">
            <w:pPr>
              <w:jc w:val="left"/>
            </w:pPr>
            <w:r>
              <w:rPr>
                <w:color w:val="000000"/>
                <w:sz w:val="24"/>
              </w:rPr>
              <w:t>过去三个月</w:t>
            </w:r>
          </w:p>
        </w:tc>
        <w:tc>
          <w:tcPr>
            <w:tcW w:w="1267" w:type="dxa"/>
            <w:vAlign w:val="center"/>
          </w:tcPr>
          <w:p w:rsidR="00127444" w:rsidRDefault="00127444" w:rsidP="00127444">
            <w:pPr>
              <w:jc w:val="center"/>
            </w:pPr>
            <w:r>
              <w:rPr>
                <w:color w:val="000000"/>
                <w:sz w:val="24"/>
              </w:rPr>
              <w:t>12.77%</w:t>
            </w:r>
          </w:p>
        </w:tc>
        <w:tc>
          <w:tcPr>
            <w:tcW w:w="1267" w:type="dxa"/>
            <w:vAlign w:val="center"/>
          </w:tcPr>
          <w:p w:rsidR="00127444" w:rsidRDefault="00127444" w:rsidP="00127444">
            <w:pPr>
              <w:jc w:val="center"/>
            </w:pPr>
            <w:r>
              <w:rPr>
                <w:color w:val="000000"/>
                <w:sz w:val="24"/>
              </w:rPr>
              <w:t>1.13%</w:t>
            </w:r>
          </w:p>
        </w:tc>
        <w:tc>
          <w:tcPr>
            <w:tcW w:w="1267" w:type="dxa"/>
            <w:vAlign w:val="center"/>
          </w:tcPr>
          <w:p w:rsidR="00127444" w:rsidRPr="00127444" w:rsidRDefault="00127444" w:rsidP="00127444">
            <w:pPr>
              <w:jc w:val="center"/>
              <w:rPr>
                <w:color w:val="000000"/>
                <w:sz w:val="24"/>
              </w:rPr>
            </w:pPr>
            <w:r w:rsidRPr="00127444">
              <w:rPr>
                <w:color w:val="000000"/>
                <w:sz w:val="24"/>
              </w:rPr>
              <w:t>3.63%</w:t>
            </w:r>
          </w:p>
        </w:tc>
        <w:tc>
          <w:tcPr>
            <w:tcW w:w="1267" w:type="dxa"/>
            <w:vAlign w:val="center"/>
          </w:tcPr>
          <w:p w:rsidR="00127444" w:rsidRPr="00127444" w:rsidRDefault="00127444" w:rsidP="00127444">
            <w:pPr>
              <w:jc w:val="center"/>
              <w:rPr>
                <w:color w:val="000000"/>
                <w:sz w:val="24"/>
              </w:rPr>
            </w:pPr>
            <w:r w:rsidRPr="00127444">
              <w:rPr>
                <w:color w:val="000000"/>
                <w:sz w:val="24"/>
              </w:rPr>
              <w:t>0.52%</w:t>
            </w:r>
          </w:p>
        </w:tc>
        <w:tc>
          <w:tcPr>
            <w:tcW w:w="1267" w:type="dxa"/>
            <w:vAlign w:val="center"/>
          </w:tcPr>
          <w:p w:rsidR="00127444" w:rsidRPr="00127444" w:rsidRDefault="00127444" w:rsidP="00127444">
            <w:pPr>
              <w:jc w:val="center"/>
              <w:rPr>
                <w:color w:val="000000"/>
                <w:sz w:val="24"/>
              </w:rPr>
            </w:pPr>
            <w:r w:rsidRPr="00127444">
              <w:rPr>
                <w:color w:val="000000"/>
                <w:sz w:val="24"/>
              </w:rPr>
              <w:t>9.14%</w:t>
            </w:r>
          </w:p>
        </w:tc>
        <w:tc>
          <w:tcPr>
            <w:tcW w:w="1267" w:type="dxa"/>
            <w:vAlign w:val="center"/>
          </w:tcPr>
          <w:p w:rsidR="00127444" w:rsidRPr="00127444" w:rsidRDefault="00127444" w:rsidP="00127444">
            <w:pPr>
              <w:jc w:val="center"/>
              <w:rPr>
                <w:color w:val="000000"/>
                <w:sz w:val="24"/>
              </w:rPr>
            </w:pPr>
            <w:r w:rsidRPr="00127444">
              <w:rPr>
                <w:color w:val="000000"/>
                <w:sz w:val="24"/>
              </w:rPr>
              <w:t>0.61%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w:t>
      </w:r>
      <w:r w:rsidRPr="007F52FA">
        <w:rPr>
          <w:color w:val="000000"/>
          <w:sz w:val="24"/>
        </w:rPr>
        <w:lastRenderedPageBreak/>
        <w:t>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类份额，当日投资者提交的申购申请于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67478">
        <w:trPr>
          <w:jc w:val="center"/>
        </w:trPr>
        <w:tc>
          <w:tcPr>
            <w:tcW w:w="946" w:type="dxa"/>
            <w:vAlign w:val="center"/>
          </w:tcPr>
          <w:p w:rsidR="00E67478" w:rsidRDefault="00885F34">
            <w:pPr>
              <w:jc w:val="center"/>
            </w:pPr>
            <w:r>
              <w:rPr>
                <w:color w:val="000000"/>
                <w:sz w:val="24"/>
              </w:rPr>
              <w:t>王少成</w:t>
            </w:r>
          </w:p>
        </w:tc>
        <w:tc>
          <w:tcPr>
            <w:tcW w:w="924" w:type="dxa"/>
            <w:vAlign w:val="center"/>
          </w:tcPr>
          <w:p w:rsidR="00E67478" w:rsidRDefault="00885F34">
            <w:pPr>
              <w:jc w:val="center"/>
            </w:pPr>
            <w:r>
              <w:rPr>
                <w:color w:val="000000"/>
                <w:sz w:val="24"/>
              </w:rPr>
              <w:t>交银成长混合、交银策略回报</w:t>
            </w:r>
            <w:r>
              <w:rPr>
                <w:color w:val="000000"/>
                <w:sz w:val="24"/>
              </w:rPr>
              <w:lastRenderedPageBreak/>
              <w:t>灵活配置混合、交银成长</w:t>
            </w:r>
            <w:r>
              <w:rPr>
                <w:color w:val="000000"/>
                <w:sz w:val="24"/>
              </w:rPr>
              <w:t>30</w:t>
            </w:r>
            <w:r>
              <w:rPr>
                <w:color w:val="000000"/>
                <w:sz w:val="24"/>
              </w:rPr>
              <w:t>混合、交银荣和保本混合的基金经理，公司权益投资总监</w:t>
            </w:r>
          </w:p>
        </w:tc>
        <w:tc>
          <w:tcPr>
            <w:tcW w:w="1202" w:type="dxa"/>
            <w:vAlign w:val="center"/>
          </w:tcPr>
          <w:p w:rsidR="00E67478" w:rsidRDefault="00885F34">
            <w:pPr>
              <w:jc w:val="center"/>
            </w:pPr>
            <w:r>
              <w:rPr>
                <w:color w:val="000000"/>
                <w:sz w:val="24"/>
              </w:rPr>
              <w:lastRenderedPageBreak/>
              <w:t>2015-03-24</w:t>
            </w:r>
          </w:p>
        </w:tc>
        <w:tc>
          <w:tcPr>
            <w:tcW w:w="1300" w:type="dxa"/>
            <w:vAlign w:val="center"/>
          </w:tcPr>
          <w:p w:rsidR="00E67478" w:rsidRDefault="00885F34">
            <w:pPr>
              <w:jc w:val="center"/>
            </w:pPr>
            <w:r>
              <w:rPr>
                <w:color w:val="000000"/>
                <w:sz w:val="24"/>
              </w:rPr>
              <w:t>-</w:t>
            </w:r>
          </w:p>
        </w:tc>
        <w:tc>
          <w:tcPr>
            <w:tcW w:w="1245" w:type="dxa"/>
            <w:vAlign w:val="center"/>
          </w:tcPr>
          <w:p w:rsidR="00E67478" w:rsidRDefault="00885F34">
            <w:pPr>
              <w:jc w:val="center"/>
            </w:pPr>
            <w:r>
              <w:rPr>
                <w:color w:val="000000"/>
                <w:sz w:val="24"/>
              </w:rPr>
              <w:t>13</w:t>
            </w:r>
            <w:r>
              <w:rPr>
                <w:color w:val="000000"/>
                <w:sz w:val="24"/>
              </w:rPr>
              <w:t>年</w:t>
            </w:r>
          </w:p>
        </w:tc>
        <w:tc>
          <w:tcPr>
            <w:tcW w:w="3251" w:type="dxa"/>
            <w:vAlign w:val="center"/>
          </w:tcPr>
          <w:p w:rsidR="00E67478" w:rsidRDefault="00885F34">
            <w:r>
              <w:rPr>
                <w:color w:val="000000"/>
                <w:sz w:val="24"/>
              </w:rPr>
              <w:t>王少成先生，复旦大学硕士学历。历任上海融昌资产管理公司研究员，中原证券投资经理，信诚基金管理有限公司研究总监助理，东吴基金管理有限公司投资经理、基金经理、</w:t>
            </w:r>
            <w:r>
              <w:rPr>
                <w:color w:val="000000"/>
                <w:sz w:val="24"/>
              </w:rPr>
              <w:lastRenderedPageBreak/>
              <w:t>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E67478" w:rsidRDefault="00885F3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67478" w:rsidRDefault="00885F3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w:t>
      </w:r>
      <w:r>
        <w:rPr>
          <w:color w:val="000000"/>
          <w:sz w:val="24"/>
        </w:rPr>
        <w:lastRenderedPageBreak/>
        <w:t>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67478" w:rsidRDefault="00885F3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67478" w:rsidRDefault="00885F34">
      <w:pPr>
        <w:spacing w:before="29" w:line="288" w:lineRule="auto"/>
        <w:ind w:firstLineChars="200" w:firstLine="480"/>
        <w:rPr>
          <w:color w:val="000000"/>
          <w:sz w:val="24"/>
        </w:rPr>
      </w:pPr>
      <w:r>
        <w:rPr>
          <w:color w:val="000000"/>
          <w:sz w:val="24"/>
        </w:rPr>
        <w:t>2017</w:t>
      </w:r>
      <w:r>
        <w:rPr>
          <w:color w:val="000000"/>
          <w:sz w:val="24"/>
        </w:rPr>
        <w:t>年三季度全球股市的风险偏好依旧高涨。美债收益率曲线平坦程度已达到历史极值，市场对美国经济增速持过度悲观预期。同时美国政治进程的摇摆也使得利率跌跌不休，但中美经济数据在四季度大概率共振式反弹，我们预计美元或将迎来反弹动能，新兴市场可能会面临一定资金回流压力。</w:t>
      </w:r>
    </w:p>
    <w:p w:rsidR="00E67478" w:rsidRDefault="00885F34">
      <w:pPr>
        <w:spacing w:before="29" w:line="288" w:lineRule="auto"/>
        <w:ind w:firstLineChars="200" w:firstLine="480"/>
        <w:rPr>
          <w:color w:val="000000"/>
          <w:sz w:val="24"/>
        </w:rPr>
      </w:pPr>
      <w:r>
        <w:rPr>
          <w:color w:val="000000"/>
          <w:sz w:val="24"/>
        </w:rPr>
        <w:t>三季度本基金保持中性偏高的仓位水平，提高了周期性板块配置比例。虽然</w:t>
      </w:r>
      <w:r>
        <w:rPr>
          <w:color w:val="000000"/>
          <w:sz w:val="24"/>
        </w:rPr>
        <w:t>“</w:t>
      </w:r>
      <w:r>
        <w:rPr>
          <w:color w:val="000000"/>
          <w:sz w:val="24"/>
        </w:rPr>
        <w:t>三去一降一补</w:t>
      </w:r>
      <w:r>
        <w:rPr>
          <w:color w:val="000000"/>
          <w:sz w:val="24"/>
        </w:rPr>
        <w:t>”</w:t>
      </w:r>
      <w:r>
        <w:rPr>
          <w:color w:val="000000"/>
          <w:sz w:val="24"/>
        </w:rPr>
        <w:t>的持续推进会对宏观经济增长形成潜在的中期压力，但是考虑到环保督察结束，海外需求依然强劲，未来</w:t>
      </w:r>
      <w:r>
        <w:rPr>
          <w:color w:val="000000"/>
          <w:sz w:val="24"/>
        </w:rPr>
        <w:t>2</w:t>
      </w:r>
      <w:r>
        <w:rPr>
          <w:color w:val="000000"/>
          <w:sz w:val="24"/>
        </w:rPr>
        <w:t>个季度国内宏观经济增长明显失速的可能不大，我们预计周期板块未来依然有超额收益。九月底公布的</w:t>
      </w:r>
      <w:r>
        <w:rPr>
          <w:color w:val="000000"/>
          <w:sz w:val="24"/>
        </w:rPr>
        <w:t>PMI</w:t>
      </w:r>
      <w:r>
        <w:rPr>
          <w:color w:val="000000"/>
          <w:sz w:val="24"/>
        </w:rPr>
        <w:t>数据也基本验证了宏观经济增速的企稳态势。</w:t>
      </w:r>
    </w:p>
    <w:p w:rsidR="00952A72" w:rsidRPr="007F52FA" w:rsidRDefault="00323F25" w:rsidP="007C14DF">
      <w:pPr>
        <w:spacing w:before="29" w:line="288" w:lineRule="auto"/>
        <w:ind w:firstLineChars="200" w:firstLine="480"/>
        <w:rPr>
          <w:color w:val="000000"/>
          <w:sz w:val="24"/>
        </w:rPr>
      </w:pPr>
      <w:r w:rsidRPr="007F52FA">
        <w:rPr>
          <w:color w:val="000000"/>
          <w:sz w:val="24"/>
        </w:rPr>
        <w:t>我们预计四季度宏观经济整体平稳，经济搭台，创新唱戏。整体经济将转向企稳，持续的景气局面将有利于提升周期板块的表现。政府对于创新的鼓励提倡一方面有利于继续释放改革红利，央企改革将继续稳定推进，另一方面也利好新技术驱动的新兴行业，如人工智能，我们认为体现国之重的先进制造相关行业和个股未来可能将有持续的超额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本报告期末，交银成长混合</w:t>
      </w:r>
      <w:r w:rsidRPr="007F52FA">
        <w:rPr>
          <w:color w:val="000000"/>
          <w:sz w:val="24"/>
        </w:rPr>
        <w:t>A</w:t>
      </w:r>
      <w:r w:rsidRPr="007F52FA">
        <w:rPr>
          <w:color w:val="000000"/>
          <w:sz w:val="24"/>
        </w:rPr>
        <w:t>份额净值为</w:t>
      </w:r>
      <w:r w:rsidRPr="007F52FA">
        <w:rPr>
          <w:color w:val="000000"/>
          <w:sz w:val="24"/>
        </w:rPr>
        <w:t>4.3950</w:t>
      </w:r>
      <w:r w:rsidRPr="007F52FA">
        <w:rPr>
          <w:color w:val="000000"/>
          <w:sz w:val="24"/>
        </w:rPr>
        <w:t>元，本报告期份额净值增长率为</w:t>
      </w:r>
      <w:r w:rsidRPr="007F52FA">
        <w:rPr>
          <w:color w:val="000000"/>
          <w:sz w:val="24"/>
        </w:rPr>
        <w:t>12.75%</w:t>
      </w:r>
      <w:r w:rsidRPr="007F52FA">
        <w:rPr>
          <w:color w:val="000000"/>
          <w:sz w:val="24"/>
        </w:rPr>
        <w:t>，同期业绩比较基准增长率为</w:t>
      </w:r>
      <w:r w:rsidRPr="007F52FA">
        <w:rPr>
          <w:color w:val="000000"/>
          <w:sz w:val="24"/>
        </w:rPr>
        <w:t>3.</w:t>
      </w:r>
      <w:r w:rsidR="00127444">
        <w:rPr>
          <w:color w:val="000000"/>
          <w:sz w:val="24"/>
        </w:rPr>
        <w:t>63</w:t>
      </w:r>
      <w:r w:rsidRPr="007F52FA">
        <w:rPr>
          <w:color w:val="000000"/>
          <w:sz w:val="24"/>
        </w:rPr>
        <w:t>%</w:t>
      </w:r>
      <w:r w:rsidRPr="007F52FA">
        <w:rPr>
          <w:color w:val="000000"/>
          <w:sz w:val="24"/>
        </w:rPr>
        <w:t>；交银成长混合</w:t>
      </w:r>
      <w:r w:rsidRPr="007F52FA">
        <w:rPr>
          <w:color w:val="000000"/>
          <w:sz w:val="24"/>
        </w:rPr>
        <w:t>H</w:t>
      </w:r>
      <w:r w:rsidRPr="007F52FA">
        <w:rPr>
          <w:color w:val="000000"/>
          <w:sz w:val="24"/>
        </w:rPr>
        <w:t>份额净值为</w:t>
      </w:r>
      <w:r w:rsidRPr="007F52FA">
        <w:rPr>
          <w:color w:val="000000"/>
          <w:sz w:val="24"/>
        </w:rPr>
        <w:t>4.4214</w:t>
      </w:r>
      <w:r w:rsidRPr="007F52FA">
        <w:rPr>
          <w:color w:val="000000"/>
          <w:sz w:val="24"/>
        </w:rPr>
        <w:t>元，本报告期份额净值增长率为</w:t>
      </w:r>
      <w:r w:rsidRPr="007F52FA">
        <w:rPr>
          <w:color w:val="000000"/>
          <w:sz w:val="24"/>
        </w:rPr>
        <w:t>12.77%</w:t>
      </w:r>
      <w:r w:rsidRPr="007F52FA">
        <w:rPr>
          <w:color w:val="000000"/>
          <w:sz w:val="24"/>
        </w:rPr>
        <w:t>，同期业绩比较基准增长率为</w:t>
      </w:r>
      <w:r w:rsidRPr="007F52FA">
        <w:rPr>
          <w:color w:val="000000"/>
          <w:sz w:val="24"/>
        </w:rPr>
        <w:t>3.</w:t>
      </w:r>
      <w:r w:rsidR="00127444">
        <w:rPr>
          <w:color w:val="000000"/>
          <w:sz w:val="24"/>
        </w:rPr>
        <w:t>63</w:t>
      </w:r>
      <w:bookmarkStart w:id="0" w:name="_GoBack"/>
      <w:bookmarkEnd w:id="0"/>
      <w:r w:rsidRPr="007F52FA">
        <w:rPr>
          <w:color w:val="000000"/>
          <w:sz w:val="24"/>
        </w:rPr>
        <w:t>%</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lastRenderedPageBreak/>
        <w:t>本基金本报告期内无需预警说明。</w:t>
      </w:r>
      <w:r w:rsidRPr="002070B4">
        <w:rPr>
          <w:color w:val="000000"/>
          <w:sz w:val="24"/>
        </w:rPr>
        <w:t xml:space="preserve"> </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2,968,605,880.45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88.43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2,968,605,880.45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88.43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149,635,000.00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149,635,000.00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4.46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72,450,348.68</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141,271,557.37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4.21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25,063,517.60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0.75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3,357,026,304.10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39,793.60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2,191,817,437.56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65.81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31,093.44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32,716,008.96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53,025,227.34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513,051,479.96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15.40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88,690,760.65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2.66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20,863,649.03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34,902,165.03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33,424,264.38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44,000.50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2,968,605,880.45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89.13</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E67478">
        <w:trPr>
          <w:jc w:val="center"/>
        </w:trPr>
        <w:tc>
          <w:tcPr>
            <w:tcW w:w="850" w:type="dxa"/>
            <w:vAlign w:val="center"/>
          </w:tcPr>
          <w:p w:rsidR="00E67478" w:rsidRDefault="00885F34">
            <w:pPr>
              <w:jc w:val="center"/>
            </w:pPr>
            <w:r>
              <w:rPr>
                <w:color w:val="000000"/>
                <w:sz w:val="24"/>
              </w:rPr>
              <w:t>1</w:t>
            </w:r>
          </w:p>
        </w:tc>
        <w:tc>
          <w:tcPr>
            <w:tcW w:w="1327" w:type="dxa"/>
            <w:vAlign w:val="center"/>
          </w:tcPr>
          <w:p w:rsidR="00E67478" w:rsidRDefault="00885F34">
            <w:pPr>
              <w:jc w:val="center"/>
            </w:pPr>
            <w:r>
              <w:rPr>
                <w:color w:val="000000"/>
                <w:sz w:val="24"/>
              </w:rPr>
              <w:t>002180</w:t>
            </w:r>
          </w:p>
        </w:tc>
        <w:tc>
          <w:tcPr>
            <w:tcW w:w="1769" w:type="dxa"/>
            <w:vAlign w:val="center"/>
          </w:tcPr>
          <w:p w:rsidR="00E67478" w:rsidRDefault="00885F34">
            <w:pPr>
              <w:jc w:val="center"/>
            </w:pPr>
            <w:r>
              <w:rPr>
                <w:color w:val="000000"/>
                <w:sz w:val="24"/>
              </w:rPr>
              <w:t>纳思达</w:t>
            </w:r>
          </w:p>
        </w:tc>
        <w:tc>
          <w:tcPr>
            <w:tcW w:w="1327" w:type="dxa"/>
            <w:vAlign w:val="center"/>
          </w:tcPr>
          <w:p w:rsidR="00E67478" w:rsidRDefault="00885F34">
            <w:pPr>
              <w:jc w:val="right"/>
            </w:pPr>
            <w:r>
              <w:rPr>
                <w:color w:val="000000"/>
                <w:sz w:val="24"/>
              </w:rPr>
              <w:t>11,579,529</w:t>
            </w:r>
          </w:p>
        </w:tc>
        <w:tc>
          <w:tcPr>
            <w:tcW w:w="1915" w:type="dxa"/>
            <w:vAlign w:val="center"/>
          </w:tcPr>
          <w:p w:rsidR="00E67478" w:rsidRDefault="00885F34">
            <w:pPr>
              <w:jc w:val="right"/>
            </w:pPr>
            <w:r>
              <w:rPr>
                <w:color w:val="000000"/>
                <w:sz w:val="24"/>
              </w:rPr>
              <w:t>328,627,033.02</w:t>
            </w:r>
          </w:p>
        </w:tc>
        <w:tc>
          <w:tcPr>
            <w:tcW w:w="1680" w:type="dxa"/>
            <w:vAlign w:val="center"/>
          </w:tcPr>
          <w:p w:rsidR="00E67478" w:rsidRDefault="00885F34">
            <w:pPr>
              <w:jc w:val="right"/>
            </w:pPr>
            <w:r>
              <w:rPr>
                <w:color w:val="000000"/>
                <w:sz w:val="24"/>
              </w:rPr>
              <w:t>9.87</w:t>
            </w:r>
          </w:p>
        </w:tc>
      </w:tr>
      <w:tr w:rsidR="00E67478">
        <w:trPr>
          <w:jc w:val="center"/>
        </w:trPr>
        <w:tc>
          <w:tcPr>
            <w:tcW w:w="850" w:type="dxa"/>
            <w:vAlign w:val="center"/>
          </w:tcPr>
          <w:p w:rsidR="00E67478" w:rsidRDefault="00885F34">
            <w:pPr>
              <w:jc w:val="center"/>
            </w:pPr>
            <w:r>
              <w:rPr>
                <w:color w:val="000000"/>
                <w:sz w:val="24"/>
              </w:rPr>
              <w:t>2</w:t>
            </w:r>
          </w:p>
        </w:tc>
        <w:tc>
          <w:tcPr>
            <w:tcW w:w="1327" w:type="dxa"/>
            <w:vAlign w:val="center"/>
          </w:tcPr>
          <w:p w:rsidR="00E67478" w:rsidRDefault="00885F34">
            <w:pPr>
              <w:jc w:val="center"/>
            </w:pPr>
            <w:r>
              <w:rPr>
                <w:color w:val="000000"/>
                <w:sz w:val="24"/>
              </w:rPr>
              <w:t>600389</w:t>
            </w:r>
          </w:p>
        </w:tc>
        <w:tc>
          <w:tcPr>
            <w:tcW w:w="1769" w:type="dxa"/>
            <w:vAlign w:val="center"/>
          </w:tcPr>
          <w:p w:rsidR="00E67478" w:rsidRDefault="00885F34">
            <w:pPr>
              <w:jc w:val="center"/>
            </w:pPr>
            <w:r>
              <w:rPr>
                <w:color w:val="000000"/>
                <w:sz w:val="24"/>
              </w:rPr>
              <w:t>江山股份</w:t>
            </w:r>
          </w:p>
        </w:tc>
        <w:tc>
          <w:tcPr>
            <w:tcW w:w="1327" w:type="dxa"/>
            <w:vAlign w:val="center"/>
          </w:tcPr>
          <w:p w:rsidR="00E67478" w:rsidRDefault="00885F34">
            <w:pPr>
              <w:jc w:val="right"/>
            </w:pPr>
            <w:r>
              <w:rPr>
                <w:color w:val="000000"/>
                <w:sz w:val="24"/>
              </w:rPr>
              <w:t>14,552,945</w:t>
            </w:r>
          </w:p>
        </w:tc>
        <w:tc>
          <w:tcPr>
            <w:tcW w:w="1915" w:type="dxa"/>
            <w:vAlign w:val="center"/>
          </w:tcPr>
          <w:p w:rsidR="00E67478" w:rsidRDefault="00885F34">
            <w:pPr>
              <w:jc w:val="right"/>
            </w:pPr>
            <w:r>
              <w:rPr>
                <w:color w:val="000000"/>
                <w:sz w:val="24"/>
              </w:rPr>
              <w:t>316,089,965.40</w:t>
            </w:r>
          </w:p>
        </w:tc>
        <w:tc>
          <w:tcPr>
            <w:tcW w:w="1680" w:type="dxa"/>
            <w:vAlign w:val="center"/>
          </w:tcPr>
          <w:p w:rsidR="00E67478" w:rsidRDefault="00885F34">
            <w:pPr>
              <w:jc w:val="right"/>
            </w:pPr>
            <w:r>
              <w:rPr>
                <w:color w:val="000000"/>
                <w:sz w:val="24"/>
              </w:rPr>
              <w:t>9.49</w:t>
            </w:r>
          </w:p>
        </w:tc>
      </w:tr>
      <w:tr w:rsidR="00E67478">
        <w:trPr>
          <w:jc w:val="center"/>
        </w:trPr>
        <w:tc>
          <w:tcPr>
            <w:tcW w:w="850" w:type="dxa"/>
            <w:vAlign w:val="center"/>
          </w:tcPr>
          <w:p w:rsidR="00E67478" w:rsidRDefault="00885F34">
            <w:pPr>
              <w:jc w:val="center"/>
            </w:pPr>
            <w:r>
              <w:rPr>
                <w:color w:val="000000"/>
                <w:sz w:val="24"/>
              </w:rPr>
              <w:t>3</w:t>
            </w:r>
          </w:p>
        </w:tc>
        <w:tc>
          <w:tcPr>
            <w:tcW w:w="1327" w:type="dxa"/>
            <w:vAlign w:val="center"/>
          </w:tcPr>
          <w:p w:rsidR="00E67478" w:rsidRDefault="00885F34">
            <w:pPr>
              <w:jc w:val="center"/>
            </w:pPr>
            <w:r>
              <w:rPr>
                <w:color w:val="000000"/>
                <w:sz w:val="24"/>
              </w:rPr>
              <w:t>600500</w:t>
            </w:r>
          </w:p>
        </w:tc>
        <w:tc>
          <w:tcPr>
            <w:tcW w:w="1769" w:type="dxa"/>
            <w:vAlign w:val="center"/>
          </w:tcPr>
          <w:p w:rsidR="00E67478" w:rsidRDefault="00885F34">
            <w:pPr>
              <w:jc w:val="center"/>
            </w:pPr>
            <w:r>
              <w:rPr>
                <w:color w:val="000000"/>
                <w:sz w:val="24"/>
              </w:rPr>
              <w:t>中化国际</w:t>
            </w:r>
          </w:p>
        </w:tc>
        <w:tc>
          <w:tcPr>
            <w:tcW w:w="1327" w:type="dxa"/>
            <w:vAlign w:val="center"/>
          </w:tcPr>
          <w:p w:rsidR="00E67478" w:rsidRDefault="00885F34">
            <w:pPr>
              <w:jc w:val="right"/>
            </w:pPr>
            <w:r>
              <w:rPr>
                <w:color w:val="000000"/>
                <w:sz w:val="24"/>
              </w:rPr>
              <w:t>29,027,420</w:t>
            </w:r>
          </w:p>
        </w:tc>
        <w:tc>
          <w:tcPr>
            <w:tcW w:w="1915" w:type="dxa"/>
            <w:vAlign w:val="center"/>
          </w:tcPr>
          <w:p w:rsidR="00E67478" w:rsidRDefault="00885F34">
            <w:pPr>
              <w:jc w:val="right"/>
            </w:pPr>
            <w:r>
              <w:rPr>
                <w:color w:val="000000"/>
                <w:sz w:val="24"/>
              </w:rPr>
              <w:t>297,821,329.20</w:t>
            </w:r>
          </w:p>
        </w:tc>
        <w:tc>
          <w:tcPr>
            <w:tcW w:w="1680" w:type="dxa"/>
            <w:vAlign w:val="center"/>
          </w:tcPr>
          <w:p w:rsidR="00E67478" w:rsidRDefault="00885F34">
            <w:pPr>
              <w:jc w:val="right"/>
            </w:pPr>
            <w:r>
              <w:rPr>
                <w:color w:val="000000"/>
                <w:sz w:val="24"/>
              </w:rPr>
              <w:t>8.94</w:t>
            </w:r>
          </w:p>
        </w:tc>
      </w:tr>
      <w:tr w:rsidR="00E67478">
        <w:trPr>
          <w:jc w:val="center"/>
        </w:trPr>
        <w:tc>
          <w:tcPr>
            <w:tcW w:w="850" w:type="dxa"/>
            <w:vAlign w:val="center"/>
          </w:tcPr>
          <w:p w:rsidR="00E67478" w:rsidRDefault="00885F34">
            <w:pPr>
              <w:jc w:val="center"/>
            </w:pPr>
            <w:r>
              <w:rPr>
                <w:color w:val="000000"/>
                <w:sz w:val="24"/>
              </w:rPr>
              <w:t>4</w:t>
            </w:r>
          </w:p>
        </w:tc>
        <w:tc>
          <w:tcPr>
            <w:tcW w:w="1327" w:type="dxa"/>
            <w:vAlign w:val="center"/>
          </w:tcPr>
          <w:p w:rsidR="00E67478" w:rsidRDefault="00885F34">
            <w:pPr>
              <w:jc w:val="center"/>
            </w:pPr>
            <w:r>
              <w:rPr>
                <w:color w:val="000000"/>
                <w:sz w:val="24"/>
              </w:rPr>
              <w:t>002120</w:t>
            </w:r>
          </w:p>
        </w:tc>
        <w:tc>
          <w:tcPr>
            <w:tcW w:w="1769" w:type="dxa"/>
            <w:vAlign w:val="center"/>
          </w:tcPr>
          <w:p w:rsidR="00E67478" w:rsidRDefault="00885F34">
            <w:pPr>
              <w:jc w:val="center"/>
            </w:pPr>
            <w:r>
              <w:rPr>
                <w:color w:val="000000"/>
                <w:sz w:val="24"/>
              </w:rPr>
              <w:t>韵达股份</w:t>
            </w:r>
          </w:p>
        </w:tc>
        <w:tc>
          <w:tcPr>
            <w:tcW w:w="1327" w:type="dxa"/>
            <w:vAlign w:val="center"/>
          </w:tcPr>
          <w:p w:rsidR="00E67478" w:rsidRDefault="00885F34">
            <w:pPr>
              <w:jc w:val="right"/>
            </w:pPr>
            <w:r>
              <w:rPr>
                <w:color w:val="000000"/>
                <w:sz w:val="24"/>
              </w:rPr>
              <w:t>4,731,702</w:t>
            </w:r>
          </w:p>
        </w:tc>
        <w:tc>
          <w:tcPr>
            <w:tcW w:w="1915" w:type="dxa"/>
            <w:vAlign w:val="center"/>
          </w:tcPr>
          <w:p w:rsidR="00E67478" w:rsidRDefault="00885F34">
            <w:pPr>
              <w:jc w:val="right"/>
            </w:pPr>
            <w:r>
              <w:rPr>
                <w:color w:val="000000"/>
                <w:sz w:val="24"/>
              </w:rPr>
              <w:t>218,036,828.16</w:t>
            </w:r>
          </w:p>
        </w:tc>
        <w:tc>
          <w:tcPr>
            <w:tcW w:w="1680" w:type="dxa"/>
            <w:vAlign w:val="center"/>
          </w:tcPr>
          <w:p w:rsidR="00E67478" w:rsidRDefault="00885F34">
            <w:pPr>
              <w:jc w:val="right"/>
            </w:pPr>
            <w:r>
              <w:rPr>
                <w:color w:val="000000"/>
                <w:sz w:val="24"/>
              </w:rPr>
              <w:t>6.55</w:t>
            </w:r>
          </w:p>
        </w:tc>
      </w:tr>
      <w:tr w:rsidR="00E67478">
        <w:trPr>
          <w:jc w:val="center"/>
        </w:trPr>
        <w:tc>
          <w:tcPr>
            <w:tcW w:w="850" w:type="dxa"/>
            <w:vAlign w:val="center"/>
          </w:tcPr>
          <w:p w:rsidR="00E67478" w:rsidRDefault="00885F34">
            <w:pPr>
              <w:jc w:val="center"/>
            </w:pPr>
            <w:r>
              <w:rPr>
                <w:color w:val="000000"/>
                <w:sz w:val="24"/>
              </w:rPr>
              <w:t>5</w:t>
            </w:r>
          </w:p>
        </w:tc>
        <w:tc>
          <w:tcPr>
            <w:tcW w:w="1327" w:type="dxa"/>
            <w:vAlign w:val="center"/>
          </w:tcPr>
          <w:p w:rsidR="00E67478" w:rsidRDefault="00885F34">
            <w:pPr>
              <w:jc w:val="center"/>
            </w:pPr>
            <w:r>
              <w:rPr>
                <w:color w:val="000000"/>
                <w:sz w:val="24"/>
              </w:rPr>
              <w:t>600233</w:t>
            </w:r>
          </w:p>
        </w:tc>
        <w:tc>
          <w:tcPr>
            <w:tcW w:w="1769" w:type="dxa"/>
            <w:vAlign w:val="center"/>
          </w:tcPr>
          <w:p w:rsidR="00E67478" w:rsidRDefault="00885F34">
            <w:pPr>
              <w:jc w:val="center"/>
            </w:pPr>
            <w:r>
              <w:rPr>
                <w:color w:val="000000"/>
                <w:sz w:val="24"/>
              </w:rPr>
              <w:t>圆通速递</w:t>
            </w:r>
          </w:p>
        </w:tc>
        <w:tc>
          <w:tcPr>
            <w:tcW w:w="1327" w:type="dxa"/>
            <w:vAlign w:val="center"/>
          </w:tcPr>
          <w:p w:rsidR="00E67478" w:rsidRDefault="00885F34">
            <w:pPr>
              <w:jc w:val="right"/>
            </w:pPr>
            <w:r>
              <w:rPr>
                <w:color w:val="000000"/>
                <w:sz w:val="24"/>
              </w:rPr>
              <w:t>9,437,865</w:t>
            </w:r>
          </w:p>
        </w:tc>
        <w:tc>
          <w:tcPr>
            <w:tcW w:w="1915" w:type="dxa"/>
            <w:vAlign w:val="center"/>
          </w:tcPr>
          <w:p w:rsidR="00E67478" w:rsidRDefault="00885F34">
            <w:pPr>
              <w:jc w:val="right"/>
            </w:pPr>
            <w:r>
              <w:rPr>
                <w:color w:val="000000"/>
                <w:sz w:val="24"/>
              </w:rPr>
              <w:t>208,482,437.85</w:t>
            </w:r>
          </w:p>
        </w:tc>
        <w:tc>
          <w:tcPr>
            <w:tcW w:w="1680" w:type="dxa"/>
            <w:vAlign w:val="center"/>
          </w:tcPr>
          <w:p w:rsidR="00E67478" w:rsidRDefault="00885F34">
            <w:pPr>
              <w:jc w:val="right"/>
            </w:pPr>
            <w:r>
              <w:rPr>
                <w:color w:val="000000"/>
                <w:sz w:val="24"/>
              </w:rPr>
              <w:t>6.26</w:t>
            </w:r>
          </w:p>
        </w:tc>
      </w:tr>
      <w:tr w:rsidR="00E67478">
        <w:trPr>
          <w:jc w:val="center"/>
        </w:trPr>
        <w:tc>
          <w:tcPr>
            <w:tcW w:w="850" w:type="dxa"/>
            <w:vAlign w:val="center"/>
          </w:tcPr>
          <w:p w:rsidR="00E67478" w:rsidRDefault="00885F34">
            <w:pPr>
              <w:jc w:val="center"/>
            </w:pPr>
            <w:r>
              <w:rPr>
                <w:color w:val="000000"/>
                <w:sz w:val="24"/>
              </w:rPr>
              <w:t>6</w:t>
            </w:r>
          </w:p>
        </w:tc>
        <w:tc>
          <w:tcPr>
            <w:tcW w:w="1327" w:type="dxa"/>
            <w:vAlign w:val="center"/>
          </w:tcPr>
          <w:p w:rsidR="00E67478" w:rsidRDefault="00885F34">
            <w:pPr>
              <w:jc w:val="center"/>
            </w:pPr>
            <w:r>
              <w:rPr>
                <w:color w:val="000000"/>
                <w:sz w:val="24"/>
              </w:rPr>
              <w:t>300458</w:t>
            </w:r>
          </w:p>
        </w:tc>
        <w:tc>
          <w:tcPr>
            <w:tcW w:w="1769" w:type="dxa"/>
            <w:vAlign w:val="center"/>
          </w:tcPr>
          <w:p w:rsidR="00E67478" w:rsidRDefault="00885F34">
            <w:pPr>
              <w:jc w:val="center"/>
            </w:pPr>
            <w:r>
              <w:rPr>
                <w:color w:val="000000"/>
                <w:sz w:val="24"/>
              </w:rPr>
              <w:t>全志科技</w:t>
            </w:r>
          </w:p>
        </w:tc>
        <w:tc>
          <w:tcPr>
            <w:tcW w:w="1327" w:type="dxa"/>
            <w:vAlign w:val="center"/>
          </w:tcPr>
          <w:p w:rsidR="00E67478" w:rsidRDefault="00885F34">
            <w:pPr>
              <w:jc w:val="right"/>
            </w:pPr>
            <w:r>
              <w:rPr>
                <w:color w:val="000000"/>
                <w:sz w:val="24"/>
              </w:rPr>
              <w:t>5,962,177</w:t>
            </w:r>
          </w:p>
        </w:tc>
        <w:tc>
          <w:tcPr>
            <w:tcW w:w="1915" w:type="dxa"/>
            <w:vAlign w:val="center"/>
          </w:tcPr>
          <w:p w:rsidR="00E67478" w:rsidRDefault="00885F34">
            <w:pPr>
              <w:jc w:val="right"/>
            </w:pPr>
            <w:r>
              <w:rPr>
                <w:color w:val="000000"/>
                <w:sz w:val="24"/>
              </w:rPr>
              <w:t>194,486,213.74</w:t>
            </w:r>
          </w:p>
        </w:tc>
        <w:tc>
          <w:tcPr>
            <w:tcW w:w="1680" w:type="dxa"/>
            <w:vAlign w:val="center"/>
          </w:tcPr>
          <w:p w:rsidR="00E67478" w:rsidRDefault="00885F34">
            <w:pPr>
              <w:jc w:val="right"/>
            </w:pPr>
            <w:r>
              <w:rPr>
                <w:color w:val="000000"/>
                <w:sz w:val="24"/>
              </w:rPr>
              <w:t>5.84</w:t>
            </w:r>
          </w:p>
        </w:tc>
      </w:tr>
      <w:tr w:rsidR="00E67478">
        <w:trPr>
          <w:jc w:val="center"/>
        </w:trPr>
        <w:tc>
          <w:tcPr>
            <w:tcW w:w="850" w:type="dxa"/>
            <w:vAlign w:val="center"/>
          </w:tcPr>
          <w:p w:rsidR="00E67478" w:rsidRDefault="00885F34">
            <w:pPr>
              <w:jc w:val="center"/>
            </w:pPr>
            <w:r>
              <w:rPr>
                <w:color w:val="000000"/>
                <w:sz w:val="24"/>
              </w:rPr>
              <w:t>7</w:t>
            </w:r>
          </w:p>
        </w:tc>
        <w:tc>
          <w:tcPr>
            <w:tcW w:w="1327" w:type="dxa"/>
            <w:vAlign w:val="center"/>
          </w:tcPr>
          <w:p w:rsidR="00E67478" w:rsidRDefault="00885F34">
            <w:pPr>
              <w:jc w:val="center"/>
            </w:pPr>
            <w:r>
              <w:rPr>
                <w:color w:val="000000"/>
                <w:sz w:val="24"/>
              </w:rPr>
              <w:t>601600</w:t>
            </w:r>
          </w:p>
        </w:tc>
        <w:tc>
          <w:tcPr>
            <w:tcW w:w="1769" w:type="dxa"/>
            <w:vAlign w:val="center"/>
          </w:tcPr>
          <w:p w:rsidR="00E67478" w:rsidRDefault="00885F34">
            <w:pPr>
              <w:jc w:val="center"/>
            </w:pPr>
            <w:r>
              <w:rPr>
                <w:color w:val="000000"/>
                <w:sz w:val="24"/>
              </w:rPr>
              <w:t>中国铝业</w:t>
            </w:r>
          </w:p>
        </w:tc>
        <w:tc>
          <w:tcPr>
            <w:tcW w:w="1327" w:type="dxa"/>
            <w:vAlign w:val="center"/>
          </w:tcPr>
          <w:p w:rsidR="00E67478" w:rsidRDefault="00885F34">
            <w:pPr>
              <w:jc w:val="right"/>
            </w:pPr>
            <w:r>
              <w:rPr>
                <w:color w:val="000000"/>
                <w:sz w:val="24"/>
              </w:rPr>
              <w:t>24,202,272</w:t>
            </w:r>
          </w:p>
        </w:tc>
        <w:tc>
          <w:tcPr>
            <w:tcW w:w="1915" w:type="dxa"/>
            <w:vAlign w:val="center"/>
          </w:tcPr>
          <w:p w:rsidR="00E67478" w:rsidRDefault="00885F34">
            <w:pPr>
              <w:jc w:val="right"/>
            </w:pPr>
            <w:r>
              <w:rPr>
                <w:color w:val="000000"/>
                <w:sz w:val="24"/>
              </w:rPr>
              <w:t>183,211,199.04</w:t>
            </w:r>
          </w:p>
        </w:tc>
        <w:tc>
          <w:tcPr>
            <w:tcW w:w="1680" w:type="dxa"/>
            <w:vAlign w:val="center"/>
          </w:tcPr>
          <w:p w:rsidR="00E67478" w:rsidRDefault="00885F34">
            <w:pPr>
              <w:jc w:val="right"/>
            </w:pPr>
            <w:r>
              <w:rPr>
                <w:color w:val="000000"/>
                <w:sz w:val="24"/>
              </w:rPr>
              <w:t>5.50</w:t>
            </w:r>
          </w:p>
        </w:tc>
      </w:tr>
      <w:tr w:rsidR="00E67478">
        <w:trPr>
          <w:jc w:val="center"/>
        </w:trPr>
        <w:tc>
          <w:tcPr>
            <w:tcW w:w="850" w:type="dxa"/>
            <w:vAlign w:val="center"/>
          </w:tcPr>
          <w:p w:rsidR="00E67478" w:rsidRDefault="00885F34">
            <w:pPr>
              <w:jc w:val="center"/>
            </w:pPr>
            <w:r>
              <w:rPr>
                <w:color w:val="000000"/>
                <w:sz w:val="24"/>
              </w:rPr>
              <w:t>8</w:t>
            </w:r>
          </w:p>
        </w:tc>
        <w:tc>
          <w:tcPr>
            <w:tcW w:w="1327" w:type="dxa"/>
            <w:vAlign w:val="center"/>
          </w:tcPr>
          <w:p w:rsidR="00E67478" w:rsidRDefault="00885F34">
            <w:pPr>
              <w:jc w:val="center"/>
            </w:pPr>
            <w:r>
              <w:rPr>
                <w:color w:val="000000"/>
                <w:sz w:val="24"/>
              </w:rPr>
              <w:t>600967</w:t>
            </w:r>
          </w:p>
        </w:tc>
        <w:tc>
          <w:tcPr>
            <w:tcW w:w="1769" w:type="dxa"/>
            <w:vAlign w:val="center"/>
          </w:tcPr>
          <w:p w:rsidR="00E67478" w:rsidRDefault="00885F34">
            <w:pPr>
              <w:jc w:val="center"/>
            </w:pPr>
            <w:r>
              <w:rPr>
                <w:color w:val="000000"/>
                <w:sz w:val="24"/>
              </w:rPr>
              <w:t>内蒙一机</w:t>
            </w:r>
          </w:p>
        </w:tc>
        <w:tc>
          <w:tcPr>
            <w:tcW w:w="1327" w:type="dxa"/>
            <w:vAlign w:val="center"/>
          </w:tcPr>
          <w:p w:rsidR="00E67478" w:rsidRDefault="00885F34">
            <w:pPr>
              <w:jc w:val="right"/>
            </w:pPr>
            <w:r>
              <w:rPr>
                <w:color w:val="000000"/>
                <w:sz w:val="24"/>
              </w:rPr>
              <w:t>13,193,498</w:t>
            </w:r>
          </w:p>
        </w:tc>
        <w:tc>
          <w:tcPr>
            <w:tcW w:w="1915" w:type="dxa"/>
            <w:vAlign w:val="center"/>
          </w:tcPr>
          <w:p w:rsidR="00E67478" w:rsidRDefault="00885F34">
            <w:pPr>
              <w:jc w:val="right"/>
            </w:pPr>
            <w:r>
              <w:rPr>
                <w:color w:val="000000"/>
                <w:sz w:val="24"/>
              </w:rPr>
              <w:t>178,376,092.96</w:t>
            </w:r>
          </w:p>
        </w:tc>
        <w:tc>
          <w:tcPr>
            <w:tcW w:w="1680" w:type="dxa"/>
            <w:vAlign w:val="center"/>
          </w:tcPr>
          <w:p w:rsidR="00E67478" w:rsidRDefault="00885F34">
            <w:pPr>
              <w:jc w:val="right"/>
            </w:pPr>
            <w:r>
              <w:rPr>
                <w:color w:val="000000"/>
                <w:sz w:val="24"/>
              </w:rPr>
              <w:t>5.36</w:t>
            </w:r>
          </w:p>
        </w:tc>
      </w:tr>
      <w:tr w:rsidR="00E67478">
        <w:trPr>
          <w:jc w:val="center"/>
        </w:trPr>
        <w:tc>
          <w:tcPr>
            <w:tcW w:w="850" w:type="dxa"/>
            <w:vAlign w:val="center"/>
          </w:tcPr>
          <w:p w:rsidR="00E67478" w:rsidRDefault="00885F34">
            <w:pPr>
              <w:jc w:val="center"/>
            </w:pPr>
            <w:r>
              <w:rPr>
                <w:color w:val="000000"/>
                <w:sz w:val="24"/>
              </w:rPr>
              <w:t>9</w:t>
            </w:r>
          </w:p>
        </w:tc>
        <w:tc>
          <w:tcPr>
            <w:tcW w:w="1327" w:type="dxa"/>
            <w:vAlign w:val="center"/>
          </w:tcPr>
          <w:p w:rsidR="00E67478" w:rsidRDefault="00885F34">
            <w:pPr>
              <w:jc w:val="center"/>
            </w:pPr>
            <w:r>
              <w:rPr>
                <w:color w:val="000000"/>
                <w:sz w:val="24"/>
              </w:rPr>
              <w:t>002045</w:t>
            </w:r>
          </w:p>
        </w:tc>
        <w:tc>
          <w:tcPr>
            <w:tcW w:w="1769" w:type="dxa"/>
            <w:vAlign w:val="center"/>
          </w:tcPr>
          <w:p w:rsidR="00E67478" w:rsidRDefault="00885F34">
            <w:pPr>
              <w:jc w:val="center"/>
            </w:pPr>
            <w:r>
              <w:rPr>
                <w:color w:val="000000"/>
                <w:sz w:val="24"/>
              </w:rPr>
              <w:t>国光电器</w:t>
            </w:r>
          </w:p>
        </w:tc>
        <w:tc>
          <w:tcPr>
            <w:tcW w:w="1327" w:type="dxa"/>
            <w:vAlign w:val="center"/>
          </w:tcPr>
          <w:p w:rsidR="00E67478" w:rsidRDefault="00885F34">
            <w:pPr>
              <w:jc w:val="right"/>
            </w:pPr>
            <w:r>
              <w:rPr>
                <w:color w:val="000000"/>
                <w:sz w:val="24"/>
              </w:rPr>
              <w:t>8,965,429</w:t>
            </w:r>
          </w:p>
        </w:tc>
        <w:tc>
          <w:tcPr>
            <w:tcW w:w="1915" w:type="dxa"/>
            <w:vAlign w:val="center"/>
          </w:tcPr>
          <w:p w:rsidR="00E67478" w:rsidRDefault="00885F34">
            <w:pPr>
              <w:jc w:val="right"/>
            </w:pPr>
            <w:r>
              <w:rPr>
                <w:color w:val="000000"/>
                <w:sz w:val="24"/>
              </w:rPr>
              <w:t>154,563,995.96</w:t>
            </w:r>
          </w:p>
        </w:tc>
        <w:tc>
          <w:tcPr>
            <w:tcW w:w="1680" w:type="dxa"/>
            <w:vAlign w:val="center"/>
          </w:tcPr>
          <w:p w:rsidR="00E67478" w:rsidRDefault="00885F34">
            <w:pPr>
              <w:jc w:val="right"/>
            </w:pPr>
            <w:r>
              <w:rPr>
                <w:color w:val="000000"/>
                <w:sz w:val="24"/>
              </w:rPr>
              <w:t>4.64</w:t>
            </w:r>
          </w:p>
        </w:tc>
      </w:tr>
      <w:tr w:rsidR="00E67478">
        <w:trPr>
          <w:jc w:val="center"/>
        </w:trPr>
        <w:tc>
          <w:tcPr>
            <w:tcW w:w="850" w:type="dxa"/>
            <w:vAlign w:val="center"/>
          </w:tcPr>
          <w:p w:rsidR="00E67478" w:rsidRDefault="00885F34">
            <w:pPr>
              <w:jc w:val="center"/>
            </w:pPr>
            <w:r>
              <w:rPr>
                <w:color w:val="000000"/>
                <w:sz w:val="24"/>
              </w:rPr>
              <w:t>10</w:t>
            </w:r>
          </w:p>
        </w:tc>
        <w:tc>
          <w:tcPr>
            <w:tcW w:w="1327" w:type="dxa"/>
            <w:vAlign w:val="center"/>
          </w:tcPr>
          <w:p w:rsidR="00E67478" w:rsidRDefault="00885F34">
            <w:pPr>
              <w:jc w:val="center"/>
            </w:pPr>
            <w:r>
              <w:rPr>
                <w:color w:val="000000"/>
                <w:sz w:val="24"/>
              </w:rPr>
              <w:t>000807</w:t>
            </w:r>
          </w:p>
        </w:tc>
        <w:tc>
          <w:tcPr>
            <w:tcW w:w="1769" w:type="dxa"/>
            <w:vAlign w:val="center"/>
          </w:tcPr>
          <w:p w:rsidR="00E67478" w:rsidRDefault="00885F34">
            <w:pPr>
              <w:jc w:val="center"/>
            </w:pPr>
            <w:r>
              <w:rPr>
                <w:color w:val="000000"/>
                <w:sz w:val="24"/>
              </w:rPr>
              <w:t>云铝股份</w:t>
            </w:r>
          </w:p>
        </w:tc>
        <w:tc>
          <w:tcPr>
            <w:tcW w:w="1327" w:type="dxa"/>
            <w:vAlign w:val="center"/>
          </w:tcPr>
          <w:p w:rsidR="00E67478" w:rsidRDefault="00885F34">
            <w:pPr>
              <w:jc w:val="right"/>
            </w:pPr>
            <w:r>
              <w:rPr>
                <w:color w:val="000000"/>
                <w:sz w:val="24"/>
              </w:rPr>
              <w:t>6,790,643</w:t>
            </w:r>
          </w:p>
        </w:tc>
        <w:tc>
          <w:tcPr>
            <w:tcW w:w="1915" w:type="dxa"/>
            <w:vAlign w:val="center"/>
          </w:tcPr>
          <w:p w:rsidR="00E67478" w:rsidRDefault="00885F34">
            <w:pPr>
              <w:jc w:val="right"/>
            </w:pPr>
            <w:r>
              <w:rPr>
                <w:color w:val="000000"/>
                <w:sz w:val="24"/>
              </w:rPr>
              <w:t>94,186,218.41</w:t>
            </w:r>
          </w:p>
        </w:tc>
        <w:tc>
          <w:tcPr>
            <w:tcW w:w="1680" w:type="dxa"/>
            <w:vAlign w:val="center"/>
          </w:tcPr>
          <w:p w:rsidR="00E67478" w:rsidRDefault="00885F34">
            <w:pPr>
              <w:jc w:val="right"/>
            </w:pPr>
            <w:r>
              <w:rPr>
                <w:color w:val="000000"/>
                <w:sz w:val="24"/>
              </w:rPr>
              <w:t>2.83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149,635,000.00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149,635,000.00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149,635,000.00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4.49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67478">
        <w:trPr>
          <w:jc w:val="center"/>
        </w:trPr>
        <w:tc>
          <w:tcPr>
            <w:tcW w:w="1075" w:type="dxa"/>
            <w:vAlign w:val="center"/>
          </w:tcPr>
          <w:p w:rsidR="00E67478" w:rsidRDefault="00885F34">
            <w:pPr>
              <w:jc w:val="center"/>
            </w:pPr>
            <w:r>
              <w:rPr>
                <w:color w:val="000000"/>
                <w:sz w:val="24"/>
              </w:rPr>
              <w:t>1</w:t>
            </w:r>
          </w:p>
        </w:tc>
        <w:tc>
          <w:tcPr>
            <w:tcW w:w="1533" w:type="dxa"/>
            <w:vAlign w:val="center"/>
          </w:tcPr>
          <w:p w:rsidR="00E67478" w:rsidRDefault="00885F34">
            <w:pPr>
              <w:jc w:val="center"/>
            </w:pPr>
            <w:r>
              <w:rPr>
                <w:color w:val="000000"/>
                <w:sz w:val="24"/>
              </w:rPr>
              <w:t>170204</w:t>
            </w:r>
          </w:p>
        </w:tc>
        <w:tc>
          <w:tcPr>
            <w:tcW w:w="1533" w:type="dxa"/>
            <w:vAlign w:val="center"/>
          </w:tcPr>
          <w:p w:rsidR="00E67478" w:rsidRDefault="00885F34">
            <w:pPr>
              <w:jc w:val="center"/>
            </w:pPr>
            <w:r>
              <w:rPr>
                <w:color w:val="000000"/>
                <w:sz w:val="24"/>
              </w:rPr>
              <w:t>17</w:t>
            </w:r>
            <w:r>
              <w:rPr>
                <w:color w:val="000000"/>
                <w:sz w:val="24"/>
              </w:rPr>
              <w:t>国开</w:t>
            </w:r>
            <w:r>
              <w:rPr>
                <w:color w:val="000000"/>
                <w:sz w:val="24"/>
              </w:rPr>
              <w:t>04</w:t>
            </w:r>
          </w:p>
        </w:tc>
        <w:tc>
          <w:tcPr>
            <w:tcW w:w="1394" w:type="dxa"/>
            <w:vAlign w:val="center"/>
          </w:tcPr>
          <w:p w:rsidR="00E67478" w:rsidRDefault="00885F34">
            <w:pPr>
              <w:jc w:val="right"/>
            </w:pPr>
            <w:r>
              <w:rPr>
                <w:color w:val="000000"/>
                <w:sz w:val="24"/>
              </w:rPr>
              <w:t>1,000,000</w:t>
            </w:r>
          </w:p>
        </w:tc>
        <w:tc>
          <w:tcPr>
            <w:tcW w:w="1944" w:type="dxa"/>
            <w:vAlign w:val="center"/>
          </w:tcPr>
          <w:p w:rsidR="00E67478" w:rsidRDefault="00885F34">
            <w:pPr>
              <w:jc w:val="right"/>
            </w:pPr>
            <w:r>
              <w:rPr>
                <w:color w:val="000000"/>
                <w:sz w:val="24"/>
              </w:rPr>
              <w:t>99,800,000.00</w:t>
            </w:r>
          </w:p>
        </w:tc>
        <w:tc>
          <w:tcPr>
            <w:tcW w:w="1389" w:type="dxa"/>
            <w:vAlign w:val="center"/>
          </w:tcPr>
          <w:p w:rsidR="00E67478" w:rsidRDefault="00885F34">
            <w:pPr>
              <w:jc w:val="right"/>
            </w:pPr>
            <w:r>
              <w:rPr>
                <w:color w:val="000000"/>
                <w:sz w:val="24"/>
              </w:rPr>
              <w:t>3.00</w:t>
            </w:r>
          </w:p>
        </w:tc>
      </w:tr>
      <w:tr w:rsidR="00E67478">
        <w:trPr>
          <w:jc w:val="center"/>
        </w:trPr>
        <w:tc>
          <w:tcPr>
            <w:tcW w:w="1075" w:type="dxa"/>
            <w:vAlign w:val="center"/>
          </w:tcPr>
          <w:p w:rsidR="00E67478" w:rsidRDefault="00885F34">
            <w:pPr>
              <w:jc w:val="center"/>
            </w:pPr>
            <w:r>
              <w:rPr>
                <w:color w:val="000000"/>
                <w:sz w:val="24"/>
              </w:rPr>
              <w:t>2</w:t>
            </w:r>
          </w:p>
        </w:tc>
        <w:tc>
          <w:tcPr>
            <w:tcW w:w="1533" w:type="dxa"/>
            <w:vAlign w:val="center"/>
          </w:tcPr>
          <w:p w:rsidR="00E67478" w:rsidRDefault="00885F34">
            <w:pPr>
              <w:jc w:val="center"/>
            </w:pPr>
            <w:r>
              <w:rPr>
                <w:color w:val="000000"/>
                <w:sz w:val="24"/>
              </w:rPr>
              <w:t>170410</w:t>
            </w:r>
          </w:p>
        </w:tc>
        <w:tc>
          <w:tcPr>
            <w:tcW w:w="1533" w:type="dxa"/>
            <w:vAlign w:val="center"/>
          </w:tcPr>
          <w:p w:rsidR="00E67478" w:rsidRDefault="00885F34">
            <w:pPr>
              <w:jc w:val="center"/>
            </w:pPr>
            <w:r>
              <w:rPr>
                <w:color w:val="000000"/>
                <w:sz w:val="24"/>
              </w:rPr>
              <w:t>17</w:t>
            </w:r>
            <w:r>
              <w:rPr>
                <w:color w:val="000000"/>
                <w:sz w:val="24"/>
              </w:rPr>
              <w:t>农发</w:t>
            </w:r>
            <w:r>
              <w:rPr>
                <w:color w:val="000000"/>
                <w:sz w:val="24"/>
              </w:rPr>
              <w:t>10</w:t>
            </w:r>
          </w:p>
        </w:tc>
        <w:tc>
          <w:tcPr>
            <w:tcW w:w="1394" w:type="dxa"/>
            <w:vAlign w:val="center"/>
          </w:tcPr>
          <w:p w:rsidR="00E67478" w:rsidRDefault="00885F34">
            <w:pPr>
              <w:jc w:val="right"/>
            </w:pPr>
            <w:r>
              <w:rPr>
                <w:color w:val="000000"/>
                <w:sz w:val="24"/>
              </w:rPr>
              <w:t>500,000</w:t>
            </w:r>
          </w:p>
        </w:tc>
        <w:tc>
          <w:tcPr>
            <w:tcW w:w="1944" w:type="dxa"/>
            <w:vAlign w:val="center"/>
          </w:tcPr>
          <w:p w:rsidR="00E67478" w:rsidRDefault="00885F34">
            <w:pPr>
              <w:jc w:val="right"/>
            </w:pPr>
            <w:r>
              <w:rPr>
                <w:color w:val="000000"/>
                <w:sz w:val="24"/>
              </w:rPr>
              <w:t>49,835,000.00</w:t>
            </w:r>
          </w:p>
        </w:tc>
        <w:tc>
          <w:tcPr>
            <w:tcW w:w="1389" w:type="dxa"/>
            <w:vAlign w:val="center"/>
          </w:tcPr>
          <w:p w:rsidR="00E67478" w:rsidRDefault="00885F34">
            <w:pPr>
              <w:jc w:val="right"/>
            </w:pPr>
            <w:r>
              <w:rPr>
                <w:color w:val="000000"/>
                <w:sz w:val="24"/>
              </w:rPr>
              <w:t>1.50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lastRenderedPageBreak/>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309,957.17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21,670,284.23</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2,153,077.98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930,198.22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25,063,517.60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E67478">
        <w:trPr>
          <w:jc w:val="center"/>
        </w:trPr>
        <w:tc>
          <w:tcPr>
            <w:tcW w:w="1129" w:type="dxa"/>
            <w:vAlign w:val="center"/>
          </w:tcPr>
          <w:p w:rsidR="00E67478" w:rsidRDefault="00885F34">
            <w:pPr>
              <w:jc w:val="center"/>
            </w:pPr>
            <w:r>
              <w:rPr>
                <w:rFonts w:eastAsiaTheme="minorEastAsia"/>
                <w:color w:val="000000"/>
                <w:sz w:val="24"/>
              </w:rPr>
              <w:t>1</w:t>
            </w:r>
          </w:p>
        </w:tc>
        <w:tc>
          <w:tcPr>
            <w:tcW w:w="1356" w:type="dxa"/>
            <w:vAlign w:val="center"/>
          </w:tcPr>
          <w:p w:rsidR="00E67478" w:rsidRDefault="00885F34">
            <w:pPr>
              <w:jc w:val="center"/>
            </w:pPr>
            <w:r>
              <w:rPr>
                <w:rFonts w:eastAsiaTheme="minorEastAsia"/>
                <w:color w:val="000000"/>
                <w:sz w:val="24"/>
              </w:rPr>
              <w:t>600389</w:t>
            </w:r>
          </w:p>
        </w:tc>
        <w:tc>
          <w:tcPr>
            <w:tcW w:w="1355" w:type="dxa"/>
            <w:vAlign w:val="center"/>
          </w:tcPr>
          <w:p w:rsidR="00E67478" w:rsidRDefault="00885F34">
            <w:pPr>
              <w:jc w:val="center"/>
            </w:pPr>
            <w:r>
              <w:rPr>
                <w:rFonts w:eastAsiaTheme="minorEastAsia"/>
                <w:color w:val="000000"/>
                <w:sz w:val="24"/>
              </w:rPr>
              <w:t>江山股份</w:t>
            </w:r>
          </w:p>
        </w:tc>
        <w:tc>
          <w:tcPr>
            <w:tcW w:w="1880" w:type="dxa"/>
            <w:vAlign w:val="center"/>
          </w:tcPr>
          <w:p w:rsidR="00E67478" w:rsidRDefault="00885F34">
            <w:pPr>
              <w:jc w:val="right"/>
            </w:pPr>
            <w:r>
              <w:rPr>
                <w:rFonts w:eastAsiaTheme="minorEastAsia"/>
                <w:color w:val="000000"/>
                <w:sz w:val="24"/>
              </w:rPr>
              <w:t>316,089,965.40</w:t>
            </w:r>
          </w:p>
        </w:tc>
        <w:tc>
          <w:tcPr>
            <w:tcW w:w="1724" w:type="dxa"/>
            <w:vAlign w:val="center"/>
          </w:tcPr>
          <w:p w:rsidR="00E67478" w:rsidRDefault="00885F34">
            <w:pPr>
              <w:jc w:val="right"/>
            </w:pPr>
            <w:r>
              <w:rPr>
                <w:rFonts w:eastAsiaTheme="minorEastAsia"/>
                <w:color w:val="000000"/>
                <w:sz w:val="24"/>
              </w:rPr>
              <w:t>9.49</w:t>
            </w:r>
          </w:p>
        </w:tc>
        <w:tc>
          <w:tcPr>
            <w:tcW w:w="1424" w:type="dxa"/>
            <w:vAlign w:val="center"/>
          </w:tcPr>
          <w:p w:rsidR="00E67478" w:rsidRDefault="009B1638">
            <w:pPr>
              <w:jc w:val="right"/>
            </w:pPr>
            <w:r w:rsidRPr="009B1638">
              <w:rPr>
                <w:rFonts w:eastAsiaTheme="minorEastAsia" w:hint="eastAsia"/>
                <w:color w:val="000000"/>
                <w:sz w:val="24"/>
              </w:rPr>
              <w:t>重大事项</w:t>
            </w:r>
          </w:p>
        </w:tc>
      </w:tr>
      <w:tr w:rsidR="00E67478">
        <w:trPr>
          <w:jc w:val="center"/>
        </w:trPr>
        <w:tc>
          <w:tcPr>
            <w:tcW w:w="1129" w:type="dxa"/>
            <w:vAlign w:val="center"/>
          </w:tcPr>
          <w:p w:rsidR="00E67478" w:rsidRDefault="00885F34">
            <w:pPr>
              <w:jc w:val="center"/>
            </w:pPr>
            <w:r>
              <w:rPr>
                <w:rFonts w:eastAsiaTheme="minorEastAsia"/>
                <w:color w:val="000000"/>
                <w:sz w:val="24"/>
              </w:rPr>
              <w:t>2</w:t>
            </w:r>
          </w:p>
        </w:tc>
        <w:tc>
          <w:tcPr>
            <w:tcW w:w="1356" w:type="dxa"/>
            <w:vAlign w:val="center"/>
          </w:tcPr>
          <w:p w:rsidR="00E67478" w:rsidRDefault="00885F34">
            <w:pPr>
              <w:jc w:val="center"/>
            </w:pPr>
            <w:r>
              <w:rPr>
                <w:rFonts w:eastAsiaTheme="minorEastAsia"/>
                <w:color w:val="000000"/>
                <w:sz w:val="24"/>
              </w:rPr>
              <w:t>601600</w:t>
            </w:r>
          </w:p>
        </w:tc>
        <w:tc>
          <w:tcPr>
            <w:tcW w:w="1355" w:type="dxa"/>
            <w:vAlign w:val="center"/>
          </w:tcPr>
          <w:p w:rsidR="00E67478" w:rsidRDefault="00885F34">
            <w:pPr>
              <w:jc w:val="center"/>
            </w:pPr>
            <w:r>
              <w:rPr>
                <w:rFonts w:eastAsiaTheme="minorEastAsia"/>
                <w:color w:val="000000"/>
                <w:sz w:val="24"/>
              </w:rPr>
              <w:t>中国铝业</w:t>
            </w:r>
          </w:p>
        </w:tc>
        <w:tc>
          <w:tcPr>
            <w:tcW w:w="1880" w:type="dxa"/>
            <w:vAlign w:val="center"/>
          </w:tcPr>
          <w:p w:rsidR="00E67478" w:rsidRDefault="00885F34">
            <w:pPr>
              <w:jc w:val="right"/>
            </w:pPr>
            <w:r>
              <w:rPr>
                <w:rFonts w:eastAsiaTheme="minorEastAsia"/>
                <w:color w:val="000000"/>
                <w:sz w:val="24"/>
              </w:rPr>
              <w:t>183,211,199.04</w:t>
            </w:r>
          </w:p>
        </w:tc>
        <w:tc>
          <w:tcPr>
            <w:tcW w:w="1724" w:type="dxa"/>
            <w:vAlign w:val="center"/>
          </w:tcPr>
          <w:p w:rsidR="00E67478" w:rsidRDefault="00885F34">
            <w:pPr>
              <w:jc w:val="right"/>
            </w:pPr>
            <w:r>
              <w:rPr>
                <w:rFonts w:eastAsiaTheme="minorEastAsia"/>
                <w:color w:val="000000"/>
                <w:sz w:val="24"/>
              </w:rPr>
              <w:t>5.50</w:t>
            </w:r>
          </w:p>
        </w:tc>
        <w:tc>
          <w:tcPr>
            <w:tcW w:w="1424" w:type="dxa"/>
            <w:vAlign w:val="center"/>
          </w:tcPr>
          <w:p w:rsidR="00E67478" w:rsidRDefault="009B1638">
            <w:pPr>
              <w:jc w:val="right"/>
            </w:pPr>
            <w:r w:rsidRPr="009B1638">
              <w:rPr>
                <w:rFonts w:eastAsiaTheme="minorEastAsia" w:hint="eastAsia"/>
                <w:color w:val="000000"/>
                <w:sz w:val="24"/>
              </w:rPr>
              <w:t>重大事项</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783,561,663.16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398,148.06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18,005,296.46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44,081,197.49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84,993.94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757,485,762.13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313,154.12</w:t>
            </w:r>
          </w:p>
        </w:tc>
      </w:tr>
    </w:tbl>
    <w:p w:rsidR="00E67478" w:rsidRDefault="00885F3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67478" w:rsidRDefault="00885F3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rsidR="00E67478" w:rsidRDefault="00885F3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rsidR="00E67478" w:rsidRDefault="00885F3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rsidR="00E67478" w:rsidRDefault="00885F3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rsidR="00E67478" w:rsidRDefault="00885F3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rsidR="00E67478" w:rsidRDefault="00885F3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67478" w:rsidRDefault="00885F3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E67478" w:rsidRDefault="00885F3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B9C" w:rsidRDefault="00703B9C">
      <w:r>
        <w:separator/>
      </w:r>
    </w:p>
  </w:endnote>
  <w:endnote w:type="continuationSeparator" w:id="0">
    <w:p w:rsidR="00703B9C" w:rsidRDefault="00703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127444">
      <w:rPr>
        <w:noProof/>
        <w:kern w:val="0"/>
        <w:szCs w:val="21"/>
      </w:rPr>
      <w:t>7</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127444">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B9C" w:rsidRDefault="00703B9C">
      <w:r>
        <w:separator/>
      </w:r>
    </w:p>
  </w:footnote>
  <w:footnote w:type="continuationSeparator" w:id="0">
    <w:p w:rsidR="00703B9C" w:rsidRDefault="00703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127444"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444"/>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3382"/>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B9C"/>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F34"/>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1638"/>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C6A"/>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478"/>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3B"/>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9C387AF9-B4DC-4A88-88C5-B3BDB86E0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2C551-4490-493B-A9E3-A1F0D8F0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198</TotalTime>
  <Pages>13</Pages>
  <Words>1149</Words>
  <Characters>6553</Characters>
  <Application>Microsoft Office Word</Application>
  <DocSecurity>0</DocSecurity>
  <Lines>54</Lines>
  <Paragraphs>15</Paragraphs>
  <ScaleCrop>false</ScaleCrop>
  <Company>TRT. Ltd. Co.</Company>
  <LinksUpToDate>false</LinksUpToDate>
  <CharactersWithSpaces>7687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375</cp:revision>
  <cp:lastPrinted>2007-07-19T00:46:00Z</cp:lastPrinted>
  <dcterms:created xsi:type="dcterms:W3CDTF">2014-01-17T06:19:00Z</dcterms:created>
  <dcterms:modified xsi:type="dcterms:W3CDTF">2017-10-24T02:19:00Z</dcterms:modified>
</cp:coreProperties>
</file>