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B6D0B" w:rsidRDefault="00B60A0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4,050,793,419.16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C5242" w:rsidRPr="00414345" w:rsidTr="002C524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C5242" w:rsidRPr="00414345" w:rsidTr="002C52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173,903,050.61</w:t>
            </w:r>
          </w:p>
        </w:tc>
      </w:tr>
      <w:tr w:rsidR="002C5242" w:rsidRPr="00414345" w:rsidTr="002C52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246,873,939.78</w:t>
            </w:r>
          </w:p>
        </w:tc>
      </w:tr>
      <w:tr w:rsidR="002C5242" w:rsidRPr="00414345" w:rsidTr="002C52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0.0604</w:t>
            </w:r>
          </w:p>
        </w:tc>
      </w:tr>
      <w:tr w:rsidR="002C5242" w:rsidRPr="00414345" w:rsidTr="002C52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2,600,743,135.21</w:t>
            </w:r>
          </w:p>
        </w:tc>
      </w:tr>
      <w:tr w:rsidR="002C5242" w:rsidRPr="00414345" w:rsidTr="002C524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0.6420</w:t>
            </w:r>
          </w:p>
        </w:tc>
      </w:tr>
    </w:tbl>
    <w:p w:rsidR="007B6D0B" w:rsidRDefault="00B60A0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B6D0B">
        <w:trPr>
          <w:jc w:val="center"/>
        </w:trPr>
        <w:tc>
          <w:tcPr>
            <w:tcW w:w="1701" w:type="dxa"/>
            <w:vAlign w:val="center"/>
          </w:tcPr>
          <w:p w:rsidR="007B6D0B" w:rsidRDefault="00B60A03">
            <w:pPr>
              <w:jc w:val="left"/>
            </w:pPr>
            <w:r>
              <w:rPr>
                <w:color w:val="000000"/>
                <w:sz w:val="24"/>
                <w:szCs w:val="24"/>
              </w:rPr>
              <w:t>过去三个月</w:t>
            </w:r>
          </w:p>
        </w:tc>
        <w:tc>
          <w:tcPr>
            <w:tcW w:w="1045" w:type="dxa"/>
            <w:vAlign w:val="center"/>
          </w:tcPr>
          <w:p w:rsidR="007B6D0B" w:rsidRDefault="00B60A03">
            <w:pPr>
              <w:jc w:val="center"/>
            </w:pPr>
            <w:r>
              <w:rPr>
                <w:color w:val="000000"/>
                <w:sz w:val="24"/>
                <w:szCs w:val="24"/>
              </w:rPr>
              <w:t>10.40%</w:t>
            </w:r>
          </w:p>
        </w:tc>
        <w:tc>
          <w:tcPr>
            <w:tcW w:w="1344" w:type="dxa"/>
            <w:vAlign w:val="center"/>
          </w:tcPr>
          <w:p w:rsidR="007B6D0B" w:rsidRDefault="00B60A03">
            <w:pPr>
              <w:jc w:val="center"/>
            </w:pPr>
            <w:r>
              <w:rPr>
                <w:color w:val="000000"/>
                <w:sz w:val="24"/>
                <w:szCs w:val="24"/>
              </w:rPr>
              <w:t>0.57%</w:t>
            </w:r>
          </w:p>
        </w:tc>
        <w:tc>
          <w:tcPr>
            <w:tcW w:w="1194" w:type="dxa"/>
            <w:vAlign w:val="center"/>
          </w:tcPr>
          <w:p w:rsidR="007B6D0B" w:rsidRDefault="00B60A03">
            <w:pPr>
              <w:jc w:val="center"/>
            </w:pPr>
            <w:r>
              <w:rPr>
                <w:color w:val="000000"/>
                <w:sz w:val="24"/>
                <w:szCs w:val="24"/>
              </w:rPr>
              <w:t>3.64%</w:t>
            </w:r>
          </w:p>
        </w:tc>
        <w:tc>
          <w:tcPr>
            <w:tcW w:w="1492" w:type="dxa"/>
            <w:vAlign w:val="center"/>
          </w:tcPr>
          <w:p w:rsidR="007B6D0B" w:rsidRDefault="00B60A03">
            <w:pPr>
              <w:jc w:val="center"/>
            </w:pPr>
            <w:r>
              <w:rPr>
                <w:color w:val="000000"/>
                <w:sz w:val="24"/>
                <w:szCs w:val="24"/>
              </w:rPr>
              <w:t>0.44%</w:t>
            </w:r>
          </w:p>
        </w:tc>
        <w:tc>
          <w:tcPr>
            <w:tcW w:w="1194" w:type="dxa"/>
            <w:vAlign w:val="center"/>
          </w:tcPr>
          <w:p w:rsidR="007B6D0B" w:rsidRDefault="00B60A03">
            <w:pPr>
              <w:jc w:val="center"/>
            </w:pPr>
            <w:r>
              <w:rPr>
                <w:color w:val="000000"/>
                <w:sz w:val="24"/>
                <w:szCs w:val="24"/>
              </w:rPr>
              <w:t>6.76%</w:t>
            </w:r>
          </w:p>
        </w:tc>
        <w:tc>
          <w:tcPr>
            <w:tcW w:w="898" w:type="dxa"/>
            <w:vAlign w:val="center"/>
          </w:tcPr>
          <w:p w:rsidR="007B6D0B" w:rsidRDefault="00B60A03">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B6D0B">
        <w:trPr>
          <w:jc w:val="center"/>
        </w:trPr>
        <w:tc>
          <w:tcPr>
            <w:tcW w:w="846" w:type="dxa"/>
            <w:vAlign w:val="center"/>
          </w:tcPr>
          <w:p w:rsidR="007B6D0B" w:rsidRDefault="00B60A03">
            <w:pPr>
              <w:jc w:val="center"/>
            </w:pPr>
            <w:r>
              <w:rPr>
                <w:color w:val="000000"/>
                <w:sz w:val="24"/>
                <w:szCs w:val="24"/>
              </w:rPr>
              <w:t>王崇</w:t>
            </w:r>
          </w:p>
        </w:tc>
        <w:tc>
          <w:tcPr>
            <w:tcW w:w="845" w:type="dxa"/>
            <w:vAlign w:val="center"/>
          </w:tcPr>
          <w:p w:rsidR="007B6D0B" w:rsidRDefault="00B60A03">
            <w:pPr>
              <w:jc w:val="center"/>
            </w:pPr>
            <w:r>
              <w:rPr>
                <w:color w:val="000000"/>
                <w:sz w:val="24"/>
                <w:szCs w:val="24"/>
              </w:rPr>
              <w:t>交银精选混合、交银新成长混合的基金经理</w:t>
            </w:r>
          </w:p>
        </w:tc>
        <w:tc>
          <w:tcPr>
            <w:tcW w:w="1549" w:type="dxa"/>
            <w:vAlign w:val="center"/>
          </w:tcPr>
          <w:p w:rsidR="007B6D0B" w:rsidRDefault="00B60A03">
            <w:pPr>
              <w:jc w:val="center"/>
            </w:pPr>
            <w:r>
              <w:rPr>
                <w:color w:val="000000"/>
                <w:sz w:val="24"/>
                <w:szCs w:val="24"/>
              </w:rPr>
              <w:t>2017-06-03</w:t>
            </w:r>
          </w:p>
        </w:tc>
        <w:tc>
          <w:tcPr>
            <w:tcW w:w="1548" w:type="dxa"/>
            <w:vAlign w:val="center"/>
          </w:tcPr>
          <w:p w:rsidR="007B6D0B" w:rsidRDefault="00B60A03">
            <w:pPr>
              <w:jc w:val="center"/>
            </w:pPr>
            <w:r>
              <w:rPr>
                <w:color w:val="000000"/>
                <w:sz w:val="24"/>
                <w:szCs w:val="24"/>
              </w:rPr>
              <w:t>-</w:t>
            </w:r>
          </w:p>
        </w:tc>
        <w:tc>
          <w:tcPr>
            <w:tcW w:w="1407" w:type="dxa"/>
            <w:vAlign w:val="center"/>
          </w:tcPr>
          <w:p w:rsidR="007B6D0B" w:rsidRDefault="00B60A03">
            <w:pPr>
              <w:jc w:val="center"/>
            </w:pPr>
            <w:r>
              <w:rPr>
                <w:color w:val="000000"/>
                <w:sz w:val="24"/>
                <w:szCs w:val="24"/>
              </w:rPr>
              <w:t>9</w:t>
            </w:r>
            <w:r>
              <w:rPr>
                <w:color w:val="000000"/>
                <w:sz w:val="24"/>
                <w:szCs w:val="24"/>
              </w:rPr>
              <w:t>年</w:t>
            </w:r>
          </w:p>
        </w:tc>
        <w:tc>
          <w:tcPr>
            <w:tcW w:w="2673" w:type="dxa"/>
            <w:vAlign w:val="center"/>
          </w:tcPr>
          <w:p w:rsidR="007B6D0B" w:rsidRDefault="00B60A03">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B6D0B" w:rsidRDefault="00B60A0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B6D0B" w:rsidRDefault="00B60A0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B6D0B" w:rsidRDefault="00B60A0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B6D0B" w:rsidRDefault="00B60A03">
      <w:pPr>
        <w:spacing w:before="29" w:line="288" w:lineRule="auto"/>
        <w:ind w:firstLineChars="200" w:firstLine="480"/>
        <w:rPr>
          <w:color w:val="000000"/>
          <w:sz w:val="24"/>
          <w:szCs w:val="24"/>
        </w:rPr>
      </w:pPr>
      <w:r>
        <w:rPr>
          <w:color w:val="000000"/>
          <w:sz w:val="24"/>
          <w:szCs w:val="24"/>
        </w:rPr>
        <w:t>三季度国内经济短周期见顶趋势进一步确认，地产销售回落，</w:t>
      </w:r>
      <w:r>
        <w:rPr>
          <w:color w:val="000000"/>
          <w:sz w:val="24"/>
          <w:szCs w:val="24"/>
        </w:rPr>
        <w:t>PPI</w:t>
      </w:r>
      <w:r>
        <w:rPr>
          <w:color w:val="000000"/>
          <w:sz w:val="24"/>
          <w:szCs w:val="24"/>
        </w:rPr>
        <w:t>仍旧较高，货币政策总体稳健中性。三季度</w:t>
      </w:r>
      <w:r>
        <w:rPr>
          <w:color w:val="000000"/>
          <w:sz w:val="24"/>
          <w:szCs w:val="24"/>
        </w:rPr>
        <w:t>A</w:t>
      </w:r>
      <w:r>
        <w:rPr>
          <w:color w:val="000000"/>
          <w:sz w:val="24"/>
          <w:szCs w:val="24"/>
        </w:rPr>
        <w:t>股市场继续小幅上涨，其中钢铁、煤炭、有色等传统行业受益于供给侧改革和全球需求回升，股价与盈利同时出现大幅上涨，在新兴成长领域，新能源汽车板块异军突起，表现亮眼。</w:t>
      </w:r>
    </w:p>
    <w:p w:rsidR="007B6D0B" w:rsidRDefault="00B60A03">
      <w:pPr>
        <w:spacing w:before="29" w:line="288" w:lineRule="auto"/>
        <w:ind w:firstLineChars="200" w:firstLine="480"/>
        <w:rPr>
          <w:color w:val="000000"/>
          <w:sz w:val="24"/>
          <w:szCs w:val="24"/>
        </w:rPr>
      </w:pPr>
      <w:r>
        <w:rPr>
          <w:color w:val="000000"/>
          <w:sz w:val="24"/>
          <w:szCs w:val="24"/>
        </w:rPr>
        <w:t>三季度本基金采取稳健投资策略，保持中性仓位，精选个股，减持部分通信、化工、汽车零部件、风电、有色以及部分医药股，加仓电子、保险股、医药、新能源客车、农业等相关个股</w:t>
      </w:r>
      <w:r>
        <w:rPr>
          <w:color w:val="000000"/>
          <w:sz w:val="24"/>
          <w:szCs w:val="24"/>
        </w:rPr>
        <w:t>。总体来看，三季度本基金跑赢业绩比较基准。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w:t>
      </w:r>
      <w:r w:rsidRPr="00414345">
        <w:rPr>
          <w:color w:val="000000"/>
          <w:sz w:val="24"/>
          <w:szCs w:val="24"/>
        </w:rPr>
        <w:t>A</w:t>
      </w:r>
      <w:r w:rsidRPr="00414345">
        <w:rPr>
          <w:color w:val="000000"/>
          <w:sz w:val="24"/>
          <w:szCs w:val="24"/>
        </w:rPr>
        <w:t>股市场，我们维持谨慎乐观的态度。一方面，国内经济预计延续回落趋势，以</w:t>
      </w:r>
      <w:r w:rsidRPr="00414345">
        <w:rPr>
          <w:color w:val="000000"/>
          <w:sz w:val="24"/>
          <w:szCs w:val="24"/>
        </w:rPr>
        <w:t>PPI</w:t>
      </w:r>
      <w:r w:rsidRPr="00414345">
        <w:rPr>
          <w:color w:val="000000"/>
          <w:sz w:val="24"/>
          <w:szCs w:val="24"/>
        </w:rPr>
        <w:t>和房价度量的通胀仍旧比较高，加之海外美联储缩表加息等因素，国内</w:t>
      </w:r>
      <w:r w:rsidRPr="00414345">
        <w:rPr>
          <w:color w:val="000000"/>
          <w:sz w:val="24"/>
          <w:szCs w:val="24"/>
        </w:rPr>
        <w:lastRenderedPageBreak/>
        <w:t>货币政策较难放松。另一方面，一些新兴产业蓬勃发展，一批优秀的企业茁壮高速成长。本基金四季度对周期股持谨慎态度，将重点关注医药、电子、通信等新兴行业投资机会，精选优质成长公司，恪守安全边际，努力为基金份额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0.6420</w:t>
      </w:r>
      <w:r w:rsidRPr="00414345">
        <w:rPr>
          <w:color w:val="000000"/>
          <w:sz w:val="24"/>
          <w:szCs w:val="24"/>
        </w:rPr>
        <w:t>元，本报告期份额净值增长率为</w:t>
      </w:r>
      <w:r w:rsidRPr="00414345">
        <w:rPr>
          <w:color w:val="000000"/>
          <w:sz w:val="24"/>
          <w:szCs w:val="24"/>
        </w:rPr>
        <w:t>10.40%</w:t>
      </w:r>
      <w:r w:rsidRPr="00414345">
        <w:rPr>
          <w:color w:val="000000"/>
          <w:sz w:val="24"/>
          <w:szCs w:val="24"/>
        </w:rPr>
        <w:t>，同期业绩比较基准增长率为</w:t>
      </w:r>
      <w:r w:rsidRPr="00414345">
        <w:rPr>
          <w:color w:val="000000"/>
          <w:sz w:val="24"/>
          <w:szCs w:val="24"/>
        </w:rPr>
        <w:t>3.64%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2,029,287,890.29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2,029,287,890.29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432,559,000.00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432,559,000.00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16.56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123,463,938.75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27,410,957.37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2,612,721,786.41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103,973,532.00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1,182,017,003.28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78,914,200.38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263,716,112.79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46,664,540.84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63,051,643.30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107,498,128.40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183,285,888.95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44,000.50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2,029,287,890.29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78.03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B6D0B">
        <w:trPr>
          <w:jc w:val="center"/>
        </w:trPr>
        <w:tc>
          <w:tcPr>
            <w:tcW w:w="855" w:type="dxa"/>
            <w:vAlign w:val="center"/>
          </w:tcPr>
          <w:p w:rsidR="007B6D0B" w:rsidRDefault="00B60A03">
            <w:pPr>
              <w:jc w:val="center"/>
            </w:pPr>
            <w:r>
              <w:rPr>
                <w:color w:val="000000"/>
                <w:sz w:val="24"/>
                <w:szCs w:val="24"/>
              </w:rPr>
              <w:t>1</w:t>
            </w:r>
          </w:p>
        </w:tc>
        <w:tc>
          <w:tcPr>
            <w:tcW w:w="1334" w:type="dxa"/>
            <w:vAlign w:val="center"/>
          </w:tcPr>
          <w:p w:rsidR="007B6D0B" w:rsidRDefault="00B60A03">
            <w:pPr>
              <w:jc w:val="center"/>
            </w:pPr>
            <w:r>
              <w:rPr>
                <w:color w:val="000000"/>
                <w:sz w:val="24"/>
                <w:szCs w:val="24"/>
              </w:rPr>
              <w:t>603986</w:t>
            </w:r>
          </w:p>
        </w:tc>
        <w:tc>
          <w:tcPr>
            <w:tcW w:w="1777" w:type="dxa"/>
            <w:vAlign w:val="center"/>
          </w:tcPr>
          <w:p w:rsidR="007B6D0B" w:rsidRDefault="00B60A03">
            <w:pPr>
              <w:jc w:val="center"/>
            </w:pPr>
            <w:r>
              <w:rPr>
                <w:color w:val="000000"/>
                <w:sz w:val="24"/>
                <w:szCs w:val="24"/>
              </w:rPr>
              <w:t>兆易创新</w:t>
            </w:r>
          </w:p>
        </w:tc>
        <w:tc>
          <w:tcPr>
            <w:tcW w:w="1334" w:type="dxa"/>
            <w:vAlign w:val="center"/>
          </w:tcPr>
          <w:p w:rsidR="007B6D0B" w:rsidRDefault="00B60A03">
            <w:pPr>
              <w:jc w:val="right"/>
            </w:pPr>
            <w:r>
              <w:rPr>
                <w:color w:val="000000"/>
                <w:sz w:val="24"/>
                <w:szCs w:val="24"/>
              </w:rPr>
              <w:t>1,862,977</w:t>
            </w:r>
          </w:p>
        </w:tc>
        <w:tc>
          <w:tcPr>
            <w:tcW w:w="1924" w:type="dxa"/>
            <w:vAlign w:val="center"/>
          </w:tcPr>
          <w:p w:rsidR="007B6D0B" w:rsidRDefault="00B60A03">
            <w:pPr>
              <w:jc w:val="right"/>
            </w:pPr>
            <w:r>
              <w:rPr>
                <w:color w:val="000000"/>
                <w:sz w:val="24"/>
                <w:szCs w:val="24"/>
              </w:rPr>
              <w:t>242,671,384.02</w:t>
            </w:r>
          </w:p>
        </w:tc>
        <w:tc>
          <w:tcPr>
            <w:tcW w:w="1644" w:type="dxa"/>
            <w:vAlign w:val="center"/>
          </w:tcPr>
          <w:p w:rsidR="007B6D0B" w:rsidRDefault="00B60A03">
            <w:pPr>
              <w:jc w:val="right"/>
            </w:pPr>
            <w:r>
              <w:rPr>
                <w:color w:val="000000"/>
                <w:sz w:val="24"/>
                <w:szCs w:val="24"/>
              </w:rPr>
              <w:t>9.33</w:t>
            </w:r>
          </w:p>
        </w:tc>
      </w:tr>
      <w:tr w:rsidR="007B6D0B">
        <w:trPr>
          <w:jc w:val="center"/>
        </w:trPr>
        <w:tc>
          <w:tcPr>
            <w:tcW w:w="855" w:type="dxa"/>
            <w:vAlign w:val="center"/>
          </w:tcPr>
          <w:p w:rsidR="007B6D0B" w:rsidRDefault="00B60A03">
            <w:pPr>
              <w:jc w:val="center"/>
            </w:pPr>
            <w:r>
              <w:rPr>
                <w:color w:val="000000"/>
                <w:sz w:val="24"/>
                <w:szCs w:val="24"/>
              </w:rPr>
              <w:t>2</w:t>
            </w:r>
          </w:p>
        </w:tc>
        <w:tc>
          <w:tcPr>
            <w:tcW w:w="1334" w:type="dxa"/>
            <w:vAlign w:val="center"/>
          </w:tcPr>
          <w:p w:rsidR="007B6D0B" w:rsidRDefault="00B60A03">
            <w:pPr>
              <w:jc w:val="center"/>
            </w:pPr>
            <w:r>
              <w:rPr>
                <w:color w:val="000000"/>
                <w:sz w:val="24"/>
                <w:szCs w:val="24"/>
              </w:rPr>
              <w:t>300347</w:t>
            </w:r>
          </w:p>
        </w:tc>
        <w:tc>
          <w:tcPr>
            <w:tcW w:w="1777" w:type="dxa"/>
            <w:vAlign w:val="center"/>
          </w:tcPr>
          <w:p w:rsidR="007B6D0B" w:rsidRDefault="00B60A03">
            <w:pPr>
              <w:jc w:val="center"/>
            </w:pPr>
            <w:r>
              <w:rPr>
                <w:color w:val="000000"/>
                <w:sz w:val="24"/>
                <w:szCs w:val="24"/>
              </w:rPr>
              <w:t>泰格医药</w:t>
            </w:r>
          </w:p>
        </w:tc>
        <w:tc>
          <w:tcPr>
            <w:tcW w:w="1334" w:type="dxa"/>
            <w:vAlign w:val="center"/>
          </w:tcPr>
          <w:p w:rsidR="007B6D0B" w:rsidRDefault="00B60A03">
            <w:pPr>
              <w:jc w:val="right"/>
            </w:pPr>
            <w:r>
              <w:rPr>
                <w:color w:val="000000"/>
                <w:sz w:val="24"/>
                <w:szCs w:val="24"/>
              </w:rPr>
              <w:t>6,322,768</w:t>
            </w:r>
          </w:p>
        </w:tc>
        <w:tc>
          <w:tcPr>
            <w:tcW w:w="1924" w:type="dxa"/>
            <w:vAlign w:val="center"/>
          </w:tcPr>
          <w:p w:rsidR="007B6D0B" w:rsidRDefault="00B60A03">
            <w:pPr>
              <w:jc w:val="right"/>
            </w:pPr>
            <w:r>
              <w:rPr>
                <w:color w:val="000000"/>
                <w:sz w:val="24"/>
                <w:szCs w:val="24"/>
              </w:rPr>
              <w:t>183,170,588.96</w:t>
            </w:r>
          </w:p>
        </w:tc>
        <w:tc>
          <w:tcPr>
            <w:tcW w:w="1644" w:type="dxa"/>
            <w:vAlign w:val="center"/>
          </w:tcPr>
          <w:p w:rsidR="007B6D0B" w:rsidRDefault="00B60A03">
            <w:pPr>
              <w:jc w:val="right"/>
            </w:pPr>
            <w:r>
              <w:rPr>
                <w:color w:val="000000"/>
                <w:sz w:val="24"/>
                <w:szCs w:val="24"/>
              </w:rPr>
              <w:t>7.04</w:t>
            </w:r>
          </w:p>
        </w:tc>
      </w:tr>
      <w:tr w:rsidR="007B6D0B">
        <w:trPr>
          <w:jc w:val="center"/>
        </w:trPr>
        <w:tc>
          <w:tcPr>
            <w:tcW w:w="855" w:type="dxa"/>
            <w:vAlign w:val="center"/>
          </w:tcPr>
          <w:p w:rsidR="007B6D0B" w:rsidRDefault="00B60A03">
            <w:pPr>
              <w:jc w:val="center"/>
            </w:pPr>
            <w:r>
              <w:rPr>
                <w:color w:val="000000"/>
                <w:sz w:val="24"/>
                <w:szCs w:val="24"/>
              </w:rPr>
              <w:t>3</w:t>
            </w:r>
          </w:p>
        </w:tc>
        <w:tc>
          <w:tcPr>
            <w:tcW w:w="1334" w:type="dxa"/>
            <w:vAlign w:val="center"/>
          </w:tcPr>
          <w:p w:rsidR="007B6D0B" w:rsidRDefault="00B60A03">
            <w:pPr>
              <w:jc w:val="center"/>
            </w:pPr>
            <w:r>
              <w:rPr>
                <w:color w:val="000000"/>
                <w:sz w:val="24"/>
                <w:szCs w:val="24"/>
              </w:rPr>
              <w:t>601318</w:t>
            </w:r>
          </w:p>
        </w:tc>
        <w:tc>
          <w:tcPr>
            <w:tcW w:w="1777" w:type="dxa"/>
            <w:vAlign w:val="center"/>
          </w:tcPr>
          <w:p w:rsidR="007B6D0B" w:rsidRDefault="00B60A03">
            <w:pPr>
              <w:jc w:val="center"/>
            </w:pPr>
            <w:r>
              <w:rPr>
                <w:color w:val="000000"/>
                <w:sz w:val="24"/>
                <w:szCs w:val="24"/>
              </w:rPr>
              <w:t>中国平安</w:t>
            </w:r>
          </w:p>
        </w:tc>
        <w:tc>
          <w:tcPr>
            <w:tcW w:w="1334" w:type="dxa"/>
            <w:vAlign w:val="center"/>
          </w:tcPr>
          <w:p w:rsidR="007B6D0B" w:rsidRDefault="00B60A03">
            <w:pPr>
              <w:jc w:val="right"/>
            </w:pPr>
            <w:r>
              <w:rPr>
                <w:color w:val="000000"/>
                <w:sz w:val="24"/>
                <w:szCs w:val="24"/>
              </w:rPr>
              <w:t>2,479,880</w:t>
            </w:r>
          </w:p>
        </w:tc>
        <w:tc>
          <w:tcPr>
            <w:tcW w:w="1924" w:type="dxa"/>
            <w:vAlign w:val="center"/>
          </w:tcPr>
          <w:p w:rsidR="007B6D0B" w:rsidRDefault="00B60A03">
            <w:pPr>
              <w:jc w:val="right"/>
            </w:pPr>
            <w:r>
              <w:rPr>
                <w:color w:val="000000"/>
                <w:sz w:val="24"/>
                <w:szCs w:val="24"/>
              </w:rPr>
              <w:t>134,310,300.80</w:t>
            </w:r>
          </w:p>
        </w:tc>
        <w:tc>
          <w:tcPr>
            <w:tcW w:w="1644" w:type="dxa"/>
            <w:vAlign w:val="center"/>
          </w:tcPr>
          <w:p w:rsidR="007B6D0B" w:rsidRDefault="00B60A03">
            <w:pPr>
              <w:jc w:val="right"/>
            </w:pPr>
            <w:r>
              <w:rPr>
                <w:color w:val="000000"/>
                <w:sz w:val="24"/>
                <w:szCs w:val="24"/>
              </w:rPr>
              <w:t>5.16</w:t>
            </w:r>
          </w:p>
        </w:tc>
      </w:tr>
      <w:tr w:rsidR="007B6D0B">
        <w:trPr>
          <w:jc w:val="center"/>
        </w:trPr>
        <w:tc>
          <w:tcPr>
            <w:tcW w:w="855" w:type="dxa"/>
            <w:vAlign w:val="center"/>
          </w:tcPr>
          <w:p w:rsidR="007B6D0B" w:rsidRDefault="00B60A03">
            <w:pPr>
              <w:jc w:val="center"/>
            </w:pPr>
            <w:r>
              <w:rPr>
                <w:color w:val="000000"/>
                <w:sz w:val="24"/>
                <w:szCs w:val="24"/>
              </w:rPr>
              <w:lastRenderedPageBreak/>
              <w:t>4</w:t>
            </w:r>
          </w:p>
        </w:tc>
        <w:tc>
          <w:tcPr>
            <w:tcW w:w="1334" w:type="dxa"/>
            <w:vAlign w:val="center"/>
          </w:tcPr>
          <w:p w:rsidR="007B6D0B" w:rsidRDefault="00B60A03">
            <w:pPr>
              <w:jc w:val="center"/>
            </w:pPr>
            <w:r>
              <w:rPr>
                <w:color w:val="000000"/>
                <w:sz w:val="24"/>
                <w:szCs w:val="24"/>
              </w:rPr>
              <w:t>601166</w:t>
            </w:r>
          </w:p>
        </w:tc>
        <w:tc>
          <w:tcPr>
            <w:tcW w:w="1777" w:type="dxa"/>
            <w:vAlign w:val="center"/>
          </w:tcPr>
          <w:p w:rsidR="007B6D0B" w:rsidRDefault="00B60A03">
            <w:pPr>
              <w:jc w:val="center"/>
            </w:pPr>
            <w:r>
              <w:rPr>
                <w:color w:val="000000"/>
                <w:sz w:val="24"/>
                <w:szCs w:val="24"/>
              </w:rPr>
              <w:t>兴业银行</w:t>
            </w:r>
          </w:p>
        </w:tc>
        <w:tc>
          <w:tcPr>
            <w:tcW w:w="1334" w:type="dxa"/>
            <w:vAlign w:val="center"/>
          </w:tcPr>
          <w:p w:rsidR="007B6D0B" w:rsidRDefault="00B60A03">
            <w:pPr>
              <w:jc w:val="right"/>
            </w:pPr>
            <w:r>
              <w:rPr>
                <w:color w:val="000000"/>
                <w:sz w:val="24"/>
                <w:szCs w:val="24"/>
              </w:rPr>
              <w:t>7,484,431</w:t>
            </w:r>
          </w:p>
        </w:tc>
        <w:tc>
          <w:tcPr>
            <w:tcW w:w="1924" w:type="dxa"/>
            <w:vAlign w:val="center"/>
          </w:tcPr>
          <w:p w:rsidR="007B6D0B" w:rsidRDefault="00B60A03">
            <w:pPr>
              <w:jc w:val="right"/>
            </w:pPr>
            <w:r>
              <w:rPr>
                <w:color w:val="000000"/>
                <w:sz w:val="24"/>
                <w:szCs w:val="24"/>
              </w:rPr>
              <w:t>129,405,811.99</w:t>
            </w:r>
          </w:p>
        </w:tc>
        <w:tc>
          <w:tcPr>
            <w:tcW w:w="1644" w:type="dxa"/>
            <w:vAlign w:val="center"/>
          </w:tcPr>
          <w:p w:rsidR="007B6D0B" w:rsidRDefault="00B60A03">
            <w:pPr>
              <w:jc w:val="right"/>
            </w:pPr>
            <w:r>
              <w:rPr>
                <w:color w:val="000000"/>
                <w:sz w:val="24"/>
                <w:szCs w:val="24"/>
              </w:rPr>
              <w:t>4.98</w:t>
            </w:r>
          </w:p>
        </w:tc>
      </w:tr>
      <w:tr w:rsidR="007B6D0B">
        <w:trPr>
          <w:jc w:val="center"/>
        </w:trPr>
        <w:tc>
          <w:tcPr>
            <w:tcW w:w="855" w:type="dxa"/>
            <w:vAlign w:val="center"/>
          </w:tcPr>
          <w:p w:rsidR="007B6D0B" w:rsidRDefault="00B60A03">
            <w:pPr>
              <w:jc w:val="center"/>
            </w:pPr>
            <w:r>
              <w:rPr>
                <w:color w:val="000000"/>
                <w:sz w:val="24"/>
                <w:szCs w:val="24"/>
              </w:rPr>
              <w:t>5</w:t>
            </w:r>
          </w:p>
        </w:tc>
        <w:tc>
          <w:tcPr>
            <w:tcW w:w="1334" w:type="dxa"/>
            <w:vAlign w:val="center"/>
          </w:tcPr>
          <w:p w:rsidR="007B6D0B" w:rsidRDefault="00B60A03">
            <w:pPr>
              <w:jc w:val="center"/>
            </w:pPr>
            <w:r>
              <w:rPr>
                <w:color w:val="000000"/>
                <w:sz w:val="24"/>
                <w:szCs w:val="24"/>
              </w:rPr>
              <w:t>600285</w:t>
            </w:r>
          </w:p>
        </w:tc>
        <w:tc>
          <w:tcPr>
            <w:tcW w:w="1777" w:type="dxa"/>
            <w:vAlign w:val="center"/>
          </w:tcPr>
          <w:p w:rsidR="007B6D0B" w:rsidRDefault="00B60A03">
            <w:pPr>
              <w:jc w:val="center"/>
            </w:pPr>
            <w:r>
              <w:rPr>
                <w:color w:val="000000"/>
                <w:sz w:val="24"/>
                <w:szCs w:val="24"/>
              </w:rPr>
              <w:t>羚锐制药</w:t>
            </w:r>
          </w:p>
        </w:tc>
        <w:tc>
          <w:tcPr>
            <w:tcW w:w="1334" w:type="dxa"/>
            <w:vAlign w:val="center"/>
          </w:tcPr>
          <w:p w:rsidR="007B6D0B" w:rsidRDefault="00B60A03">
            <w:pPr>
              <w:jc w:val="right"/>
            </w:pPr>
            <w:r>
              <w:rPr>
                <w:color w:val="000000"/>
                <w:sz w:val="24"/>
                <w:szCs w:val="24"/>
              </w:rPr>
              <w:t>10,643,687</w:t>
            </w:r>
          </w:p>
        </w:tc>
        <w:tc>
          <w:tcPr>
            <w:tcW w:w="1924" w:type="dxa"/>
            <w:vAlign w:val="center"/>
          </w:tcPr>
          <w:p w:rsidR="007B6D0B" w:rsidRDefault="00B60A03">
            <w:pPr>
              <w:jc w:val="right"/>
            </w:pPr>
            <w:r>
              <w:rPr>
                <w:color w:val="000000"/>
                <w:sz w:val="24"/>
                <w:szCs w:val="24"/>
              </w:rPr>
              <w:t>124,850,448.51</w:t>
            </w:r>
          </w:p>
        </w:tc>
        <w:tc>
          <w:tcPr>
            <w:tcW w:w="1644" w:type="dxa"/>
            <w:vAlign w:val="center"/>
          </w:tcPr>
          <w:p w:rsidR="007B6D0B" w:rsidRDefault="00B60A03">
            <w:pPr>
              <w:jc w:val="right"/>
            </w:pPr>
            <w:r>
              <w:rPr>
                <w:color w:val="000000"/>
                <w:sz w:val="24"/>
                <w:szCs w:val="24"/>
              </w:rPr>
              <w:t>4.80</w:t>
            </w:r>
          </w:p>
        </w:tc>
      </w:tr>
      <w:tr w:rsidR="007B6D0B">
        <w:trPr>
          <w:jc w:val="center"/>
        </w:trPr>
        <w:tc>
          <w:tcPr>
            <w:tcW w:w="855" w:type="dxa"/>
            <w:vAlign w:val="center"/>
          </w:tcPr>
          <w:p w:rsidR="007B6D0B" w:rsidRDefault="00B60A03">
            <w:pPr>
              <w:jc w:val="center"/>
            </w:pPr>
            <w:r>
              <w:rPr>
                <w:color w:val="000000"/>
                <w:sz w:val="24"/>
                <w:szCs w:val="24"/>
              </w:rPr>
              <w:t>6</w:t>
            </w:r>
          </w:p>
        </w:tc>
        <w:tc>
          <w:tcPr>
            <w:tcW w:w="1334" w:type="dxa"/>
            <w:vAlign w:val="center"/>
          </w:tcPr>
          <w:p w:rsidR="007B6D0B" w:rsidRDefault="00B60A03">
            <w:pPr>
              <w:jc w:val="center"/>
            </w:pPr>
            <w:r>
              <w:rPr>
                <w:color w:val="000000"/>
                <w:sz w:val="24"/>
                <w:szCs w:val="24"/>
              </w:rPr>
              <w:t>002456</w:t>
            </w:r>
          </w:p>
        </w:tc>
        <w:tc>
          <w:tcPr>
            <w:tcW w:w="1777" w:type="dxa"/>
            <w:vAlign w:val="center"/>
          </w:tcPr>
          <w:p w:rsidR="007B6D0B" w:rsidRDefault="00B60A03">
            <w:pPr>
              <w:jc w:val="center"/>
            </w:pPr>
            <w:r>
              <w:rPr>
                <w:color w:val="000000"/>
                <w:sz w:val="24"/>
                <w:szCs w:val="24"/>
              </w:rPr>
              <w:t>欧菲光</w:t>
            </w:r>
          </w:p>
        </w:tc>
        <w:tc>
          <w:tcPr>
            <w:tcW w:w="1334" w:type="dxa"/>
            <w:vAlign w:val="center"/>
          </w:tcPr>
          <w:p w:rsidR="007B6D0B" w:rsidRDefault="00B60A03">
            <w:pPr>
              <w:jc w:val="right"/>
            </w:pPr>
            <w:r>
              <w:rPr>
                <w:color w:val="000000"/>
                <w:sz w:val="24"/>
                <w:szCs w:val="24"/>
              </w:rPr>
              <w:t>5,558,400</w:t>
            </w:r>
          </w:p>
        </w:tc>
        <w:tc>
          <w:tcPr>
            <w:tcW w:w="1924" w:type="dxa"/>
            <w:vAlign w:val="center"/>
          </w:tcPr>
          <w:p w:rsidR="007B6D0B" w:rsidRDefault="00B60A03">
            <w:pPr>
              <w:jc w:val="right"/>
            </w:pPr>
            <w:r>
              <w:rPr>
                <w:color w:val="000000"/>
                <w:sz w:val="24"/>
                <w:szCs w:val="24"/>
              </w:rPr>
              <w:t>117,782,496.00</w:t>
            </w:r>
          </w:p>
        </w:tc>
        <w:tc>
          <w:tcPr>
            <w:tcW w:w="1644" w:type="dxa"/>
            <w:vAlign w:val="center"/>
          </w:tcPr>
          <w:p w:rsidR="007B6D0B" w:rsidRDefault="00B60A03">
            <w:pPr>
              <w:jc w:val="right"/>
            </w:pPr>
            <w:r>
              <w:rPr>
                <w:color w:val="000000"/>
                <w:sz w:val="24"/>
                <w:szCs w:val="24"/>
              </w:rPr>
              <w:t>4.53</w:t>
            </w:r>
          </w:p>
        </w:tc>
      </w:tr>
      <w:tr w:rsidR="007B6D0B">
        <w:trPr>
          <w:jc w:val="center"/>
        </w:trPr>
        <w:tc>
          <w:tcPr>
            <w:tcW w:w="855" w:type="dxa"/>
            <w:vAlign w:val="center"/>
          </w:tcPr>
          <w:p w:rsidR="007B6D0B" w:rsidRDefault="00B60A03">
            <w:pPr>
              <w:jc w:val="center"/>
            </w:pPr>
            <w:r>
              <w:rPr>
                <w:color w:val="000000"/>
                <w:sz w:val="24"/>
                <w:szCs w:val="24"/>
              </w:rPr>
              <w:t>7</w:t>
            </w:r>
          </w:p>
        </w:tc>
        <w:tc>
          <w:tcPr>
            <w:tcW w:w="1334" w:type="dxa"/>
            <w:vAlign w:val="center"/>
          </w:tcPr>
          <w:p w:rsidR="007B6D0B" w:rsidRDefault="00B60A03">
            <w:pPr>
              <w:jc w:val="center"/>
            </w:pPr>
            <w:r>
              <w:rPr>
                <w:color w:val="000000"/>
                <w:sz w:val="24"/>
                <w:szCs w:val="24"/>
              </w:rPr>
              <w:t>002583</w:t>
            </w:r>
          </w:p>
        </w:tc>
        <w:tc>
          <w:tcPr>
            <w:tcW w:w="1777" w:type="dxa"/>
            <w:vAlign w:val="center"/>
          </w:tcPr>
          <w:p w:rsidR="007B6D0B" w:rsidRDefault="00B60A03">
            <w:pPr>
              <w:jc w:val="center"/>
            </w:pPr>
            <w:r>
              <w:rPr>
                <w:color w:val="000000"/>
                <w:sz w:val="24"/>
                <w:szCs w:val="24"/>
              </w:rPr>
              <w:t>海能达</w:t>
            </w:r>
          </w:p>
        </w:tc>
        <w:tc>
          <w:tcPr>
            <w:tcW w:w="1334" w:type="dxa"/>
            <w:vAlign w:val="center"/>
          </w:tcPr>
          <w:p w:rsidR="007B6D0B" w:rsidRDefault="00B60A03">
            <w:pPr>
              <w:jc w:val="right"/>
            </w:pPr>
            <w:r>
              <w:rPr>
                <w:color w:val="000000"/>
                <w:sz w:val="24"/>
                <w:szCs w:val="24"/>
              </w:rPr>
              <w:t>6,776,213</w:t>
            </w:r>
          </w:p>
        </w:tc>
        <w:tc>
          <w:tcPr>
            <w:tcW w:w="1924" w:type="dxa"/>
            <w:vAlign w:val="center"/>
          </w:tcPr>
          <w:p w:rsidR="007B6D0B" w:rsidRDefault="00B60A03">
            <w:pPr>
              <w:jc w:val="right"/>
            </w:pPr>
            <w:r>
              <w:rPr>
                <w:color w:val="000000"/>
                <w:sz w:val="24"/>
                <w:szCs w:val="24"/>
              </w:rPr>
              <w:t>112,417,373.67</w:t>
            </w:r>
          </w:p>
        </w:tc>
        <w:tc>
          <w:tcPr>
            <w:tcW w:w="1644" w:type="dxa"/>
            <w:vAlign w:val="center"/>
          </w:tcPr>
          <w:p w:rsidR="007B6D0B" w:rsidRDefault="00B60A03">
            <w:pPr>
              <w:jc w:val="right"/>
            </w:pPr>
            <w:r>
              <w:rPr>
                <w:color w:val="000000"/>
                <w:sz w:val="24"/>
                <w:szCs w:val="24"/>
              </w:rPr>
              <w:t>4.32</w:t>
            </w:r>
          </w:p>
        </w:tc>
      </w:tr>
      <w:tr w:rsidR="007B6D0B">
        <w:trPr>
          <w:jc w:val="center"/>
        </w:trPr>
        <w:tc>
          <w:tcPr>
            <w:tcW w:w="855" w:type="dxa"/>
            <w:vAlign w:val="center"/>
          </w:tcPr>
          <w:p w:rsidR="007B6D0B" w:rsidRDefault="00B60A03">
            <w:pPr>
              <w:jc w:val="center"/>
            </w:pPr>
            <w:r>
              <w:rPr>
                <w:color w:val="000000"/>
                <w:sz w:val="24"/>
                <w:szCs w:val="24"/>
              </w:rPr>
              <w:t>8</w:t>
            </w:r>
          </w:p>
        </w:tc>
        <w:tc>
          <w:tcPr>
            <w:tcW w:w="1334" w:type="dxa"/>
            <w:vAlign w:val="center"/>
          </w:tcPr>
          <w:p w:rsidR="007B6D0B" w:rsidRDefault="00B60A03">
            <w:pPr>
              <w:jc w:val="center"/>
            </w:pPr>
            <w:r>
              <w:rPr>
                <w:color w:val="000000"/>
                <w:sz w:val="24"/>
                <w:szCs w:val="24"/>
              </w:rPr>
              <w:t>600054</w:t>
            </w:r>
          </w:p>
        </w:tc>
        <w:tc>
          <w:tcPr>
            <w:tcW w:w="1777" w:type="dxa"/>
            <w:vAlign w:val="center"/>
          </w:tcPr>
          <w:p w:rsidR="007B6D0B" w:rsidRDefault="00B60A03">
            <w:pPr>
              <w:jc w:val="center"/>
            </w:pPr>
            <w:r>
              <w:rPr>
                <w:color w:val="000000"/>
                <w:sz w:val="24"/>
                <w:szCs w:val="24"/>
              </w:rPr>
              <w:t>黄山旅游</w:t>
            </w:r>
          </w:p>
        </w:tc>
        <w:tc>
          <w:tcPr>
            <w:tcW w:w="1334" w:type="dxa"/>
            <w:vAlign w:val="center"/>
          </w:tcPr>
          <w:p w:rsidR="007B6D0B" w:rsidRDefault="00B60A03">
            <w:pPr>
              <w:jc w:val="right"/>
            </w:pPr>
            <w:r>
              <w:rPr>
                <w:color w:val="000000"/>
                <w:sz w:val="24"/>
                <w:szCs w:val="24"/>
              </w:rPr>
              <w:t>6,360,836</w:t>
            </w:r>
          </w:p>
        </w:tc>
        <w:tc>
          <w:tcPr>
            <w:tcW w:w="1924" w:type="dxa"/>
            <w:vAlign w:val="center"/>
          </w:tcPr>
          <w:p w:rsidR="007B6D0B" w:rsidRDefault="00B60A03">
            <w:pPr>
              <w:jc w:val="right"/>
            </w:pPr>
            <w:r>
              <w:rPr>
                <w:color w:val="000000"/>
                <w:sz w:val="24"/>
                <w:szCs w:val="24"/>
              </w:rPr>
              <w:t>107,498,128.40</w:t>
            </w:r>
          </w:p>
        </w:tc>
        <w:tc>
          <w:tcPr>
            <w:tcW w:w="1644" w:type="dxa"/>
            <w:vAlign w:val="center"/>
          </w:tcPr>
          <w:p w:rsidR="007B6D0B" w:rsidRDefault="00B60A03">
            <w:pPr>
              <w:jc w:val="right"/>
            </w:pPr>
            <w:r>
              <w:rPr>
                <w:color w:val="000000"/>
                <w:sz w:val="24"/>
                <w:szCs w:val="24"/>
              </w:rPr>
              <w:t>4.13</w:t>
            </w:r>
          </w:p>
        </w:tc>
      </w:tr>
      <w:tr w:rsidR="007B6D0B">
        <w:trPr>
          <w:jc w:val="center"/>
        </w:trPr>
        <w:tc>
          <w:tcPr>
            <w:tcW w:w="855" w:type="dxa"/>
            <w:vAlign w:val="center"/>
          </w:tcPr>
          <w:p w:rsidR="007B6D0B" w:rsidRDefault="00B60A03">
            <w:pPr>
              <w:jc w:val="center"/>
            </w:pPr>
            <w:r>
              <w:rPr>
                <w:color w:val="000000"/>
                <w:sz w:val="24"/>
                <w:szCs w:val="24"/>
              </w:rPr>
              <w:t>9</w:t>
            </w:r>
          </w:p>
        </w:tc>
        <w:tc>
          <w:tcPr>
            <w:tcW w:w="1334" w:type="dxa"/>
            <w:vAlign w:val="center"/>
          </w:tcPr>
          <w:p w:rsidR="007B6D0B" w:rsidRDefault="00B60A03">
            <w:pPr>
              <w:jc w:val="center"/>
            </w:pPr>
            <w:r>
              <w:rPr>
                <w:color w:val="000000"/>
                <w:sz w:val="24"/>
                <w:szCs w:val="24"/>
              </w:rPr>
              <w:t>600066</w:t>
            </w:r>
          </w:p>
        </w:tc>
        <w:tc>
          <w:tcPr>
            <w:tcW w:w="1777" w:type="dxa"/>
            <w:vAlign w:val="center"/>
          </w:tcPr>
          <w:p w:rsidR="007B6D0B" w:rsidRDefault="00B60A03">
            <w:pPr>
              <w:jc w:val="center"/>
            </w:pPr>
            <w:r>
              <w:rPr>
                <w:color w:val="000000"/>
                <w:sz w:val="24"/>
                <w:szCs w:val="24"/>
              </w:rPr>
              <w:t>宇通客车</w:t>
            </w:r>
          </w:p>
        </w:tc>
        <w:tc>
          <w:tcPr>
            <w:tcW w:w="1334" w:type="dxa"/>
            <w:vAlign w:val="center"/>
          </w:tcPr>
          <w:p w:rsidR="007B6D0B" w:rsidRDefault="00B60A03">
            <w:pPr>
              <w:jc w:val="right"/>
            </w:pPr>
            <w:r>
              <w:rPr>
                <w:color w:val="000000"/>
                <w:sz w:val="24"/>
                <w:szCs w:val="24"/>
              </w:rPr>
              <w:t>4,281,886</w:t>
            </w:r>
          </w:p>
        </w:tc>
        <w:tc>
          <w:tcPr>
            <w:tcW w:w="1924" w:type="dxa"/>
            <w:vAlign w:val="center"/>
          </w:tcPr>
          <w:p w:rsidR="007B6D0B" w:rsidRDefault="00B60A03">
            <w:pPr>
              <w:jc w:val="right"/>
            </w:pPr>
            <w:r>
              <w:rPr>
                <w:color w:val="000000"/>
                <w:sz w:val="24"/>
                <w:szCs w:val="24"/>
              </w:rPr>
              <w:t>105,334,395.60</w:t>
            </w:r>
          </w:p>
        </w:tc>
        <w:tc>
          <w:tcPr>
            <w:tcW w:w="1644" w:type="dxa"/>
            <w:vAlign w:val="center"/>
          </w:tcPr>
          <w:p w:rsidR="007B6D0B" w:rsidRDefault="00B60A03">
            <w:pPr>
              <w:jc w:val="right"/>
            </w:pPr>
            <w:r>
              <w:rPr>
                <w:color w:val="000000"/>
                <w:sz w:val="24"/>
                <w:szCs w:val="24"/>
              </w:rPr>
              <w:t>4.05</w:t>
            </w:r>
          </w:p>
        </w:tc>
      </w:tr>
      <w:tr w:rsidR="007B6D0B">
        <w:trPr>
          <w:jc w:val="center"/>
        </w:trPr>
        <w:tc>
          <w:tcPr>
            <w:tcW w:w="855" w:type="dxa"/>
            <w:vAlign w:val="center"/>
          </w:tcPr>
          <w:p w:rsidR="007B6D0B" w:rsidRDefault="00B60A03">
            <w:pPr>
              <w:jc w:val="center"/>
            </w:pPr>
            <w:r>
              <w:rPr>
                <w:color w:val="000000"/>
                <w:sz w:val="24"/>
                <w:szCs w:val="24"/>
              </w:rPr>
              <w:t>10</w:t>
            </w:r>
          </w:p>
        </w:tc>
        <w:tc>
          <w:tcPr>
            <w:tcW w:w="1334" w:type="dxa"/>
            <w:vAlign w:val="center"/>
          </w:tcPr>
          <w:p w:rsidR="007B6D0B" w:rsidRDefault="00B60A03">
            <w:pPr>
              <w:jc w:val="center"/>
            </w:pPr>
            <w:r>
              <w:rPr>
                <w:color w:val="000000"/>
                <w:sz w:val="24"/>
                <w:szCs w:val="24"/>
              </w:rPr>
              <w:t>000998</w:t>
            </w:r>
          </w:p>
        </w:tc>
        <w:tc>
          <w:tcPr>
            <w:tcW w:w="1777" w:type="dxa"/>
            <w:vAlign w:val="center"/>
          </w:tcPr>
          <w:p w:rsidR="007B6D0B" w:rsidRDefault="00B60A03">
            <w:pPr>
              <w:jc w:val="center"/>
            </w:pPr>
            <w:r>
              <w:rPr>
                <w:color w:val="000000"/>
                <w:sz w:val="24"/>
                <w:szCs w:val="24"/>
              </w:rPr>
              <w:t>隆平高科</w:t>
            </w:r>
          </w:p>
        </w:tc>
        <w:tc>
          <w:tcPr>
            <w:tcW w:w="1334" w:type="dxa"/>
            <w:vAlign w:val="center"/>
          </w:tcPr>
          <w:p w:rsidR="007B6D0B" w:rsidRDefault="00B60A03">
            <w:pPr>
              <w:jc w:val="right"/>
            </w:pPr>
            <w:r>
              <w:rPr>
                <w:color w:val="000000"/>
                <w:sz w:val="24"/>
                <w:szCs w:val="24"/>
              </w:rPr>
              <w:t>3,998,982</w:t>
            </w:r>
          </w:p>
        </w:tc>
        <w:tc>
          <w:tcPr>
            <w:tcW w:w="1924" w:type="dxa"/>
            <w:vAlign w:val="center"/>
          </w:tcPr>
          <w:p w:rsidR="007B6D0B" w:rsidRDefault="00B60A03">
            <w:pPr>
              <w:jc w:val="right"/>
            </w:pPr>
            <w:r>
              <w:rPr>
                <w:color w:val="000000"/>
                <w:sz w:val="24"/>
                <w:szCs w:val="24"/>
              </w:rPr>
              <w:t>103,973,532.00</w:t>
            </w:r>
          </w:p>
        </w:tc>
        <w:tc>
          <w:tcPr>
            <w:tcW w:w="1644" w:type="dxa"/>
            <w:vAlign w:val="center"/>
          </w:tcPr>
          <w:p w:rsidR="007B6D0B" w:rsidRDefault="00B60A03">
            <w:pPr>
              <w:jc w:val="right"/>
            </w:pPr>
            <w:r>
              <w:rPr>
                <w:color w:val="000000"/>
                <w:sz w:val="24"/>
                <w:szCs w:val="24"/>
              </w:rPr>
              <w:t>4.00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99,955,000.00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332,604,000.00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12.79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432,559,000.00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B6D0B">
        <w:trPr>
          <w:jc w:val="center"/>
        </w:trPr>
        <w:tc>
          <w:tcPr>
            <w:tcW w:w="850" w:type="dxa"/>
            <w:vAlign w:val="center"/>
          </w:tcPr>
          <w:p w:rsidR="007B6D0B" w:rsidRDefault="00B60A03">
            <w:pPr>
              <w:jc w:val="center"/>
            </w:pPr>
            <w:r>
              <w:rPr>
                <w:color w:val="000000"/>
                <w:sz w:val="24"/>
                <w:szCs w:val="24"/>
              </w:rPr>
              <w:t>1</w:t>
            </w:r>
          </w:p>
        </w:tc>
        <w:tc>
          <w:tcPr>
            <w:tcW w:w="1475" w:type="dxa"/>
            <w:vAlign w:val="center"/>
          </w:tcPr>
          <w:p w:rsidR="007B6D0B" w:rsidRDefault="00B60A03">
            <w:pPr>
              <w:jc w:val="center"/>
            </w:pPr>
            <w:r>
              <w:rPr>
                <w:color w:val="000000"/>
                <w:sz w:val="24"/>
                <w:szCs w:val="24"/>
              </w:rPr>
              <w:t>111717153</w:t>
            </w:r>
          </w:p>
        </w:tc>
        <w:tc>
          <w:tcPr>
            <w:tcW w:w="1769" w:type="dxa"/>
            <w:vAlign w:val="center"/>
          </w:tcPr>
          <w:p w:rsidR="007B6D0B" w:rsidRDefault="00B60A03">
            <w:pPr>
              <w:jc w:val="center"/>
            </w:pPr>
            <w:r>
              <w:rPr>
                <w:color w:val="000000"/>
                <w:sz w:val="24"/>
                <w:szCs w:val="24"/>
              </w:rPr>
              <w:t>17</w:t>
            </w:r>
            <w:r>
              <w:rPr>
                <w:color w:val="000000"/>
                <w:sz w:val="24"/>
                <w:szCs w:val="24"/>
              </w:rPr>
              <w:t>光大银行</w:t>
            </w:r>
            <w:r>
              <w:rPr>
                <w:color w:val="000000"/>
                <w:sz w:val="24"/>
                <w:szCs w:val="24"/>
              </w:rPr>
              <w:t>CD153</w:t>
            </w:r>
          </w:p>
        </w:tc>
        <w:tc>
          <w:tcPr>
            <w:tcW w:w="1387" w:type="dxa"/>
            <w:vAlign w:val="center"/>
          </w:tcPr>
          <w:p w:rsidR="007B6D0B" w:rsidRDefault="00B60A03">
            <w:pPr>
              <w:jc w:val="right"/>
            </w:pPr>
            <w:r>
              <w:rPr>
                <w:color w:val="000000"/>
                <w:sz w:val="24"/>
                <w:szCs w:val="24"/>
              </w:rPr>
              <w:t>2,000,000</w:t>
            </w:r>
          </w:p>
        </w:tc>
        <w:tc>
          <w:tcPr>
            <w:tcW w:w="2150" w:type="dxa"/>
            <w:vAlign w:val="center"/>
          </w:tcPr>
          <w:p w:rsidR="007B6D0B" w:rsidRDefault="00B60A03">
            <w:pPr>
              <w:jc w:val="right"/>
            </w:pPr>
            <w:r>
              <w:rPr>
                <w:color w:val="000000"/>
                <w:sz w:val="24"/>
                <w:szCs w:val="24"/>
              </w:rPr>
              <w:t>195,700,000.00</w:t>
            </w:r>
          </w:p>
        </w:tc>
        <w:tc>
          <w:tcPr>
            <w:tcW w:w="1237" w:type="dxa"/>
            <w:vAlign w:val="center"/>
          </w:tcPr>
          <w:p w:rsidR="007B6D0B" w:rsidRDefault="00B60A03">
            <w:pPr>
              <w:jc w:val="right"/>
            </w:pPr>
            <w:r>
              <w:rPr>
                <w:color w:val="000000"/>
                <w:sz w:val="24"/>
                <w:szCs w:val="24"/>
              </w:rPr>
              <w:t>7.52</w:t>
            </w:r>
          </w:p>
        </w:tc>
      </w:tr>
      <w:tr w:rsidR="007B6D0B">
        <w:trPr>
          <w:jc w:val="center"/>
        </w:trPr>
        <w:tc>
          <w:tcPr>
            <w:tcW w:w="850" w:type="dxa"/>
            <w:vAlign w:val="center"/>
          </w:tcPr>
          <w:p w:rsidR="007B6D0B" w:rsidRDefault="00B60A03">
            <w:pPr>
              <w:jc w:val="center"/>
            </w:pPr>
            <w:r>
              <w:rPr>
                <w:color w:val="000000"/>
                <w:sz w:val="24"/>
                <w:szCs w:val="24"/>
              </w:rPr>
              <w:t>2</w:t>
            </w:r>
          </w:p>
        </w:tc>
        <w:tc>
          <w:tcPr>
            <w:tcW w:w="1475" w:type="dxa"/>
            <w:vAlign w:val="center"/>
          </w:tcPr>
          <w:p w:rsidR="007B6D0B" w:rsidRDefault="00B60A03">
            <w:pPr>
              <w:jc w:val="center"/>
            </w:pPr>
            <w:r>
              <w:rPr>
                <w:color w:val="000000"/>
                <w:sz w:val="24"/>
                <w:szCs w:val="24"/>
              </w:rPr>
              <w:t>150207</w:t>
            </w:r>
          </w:p>
        </w:tc>
        <w:tc>
          <w:tcPr>
            <w:tcW w:w="1769" w:type="dxa"/>
            <w:vAlign w:val="center"/>
          </w:tcPr>
          <w:p w:rsidR="007B6D0B" w:rsidRDefault="00B60A03">
            <w:pPr>
              <w:jc w:val="center"/>
            </w:pPr>
            <w:r>
              <w:rPr>
                <w:color w:val="000000"/>
                <w:sz w:val="24"/>
                <w:szCs w:val="24"/>
              </w:rPr>
              <w:t>15</w:t>
            </w:r>
            <w:r>
              <w:rPr>
                <w:color w:val="000000"/>
                <w:sz w:val="24"/>
                <w:szCs w:val="24"/>
              </w:rPr>
              <w:t>国开</w:t>
            </w:r>
            <w:r>
              <w:rPr>
                <w:color w:val="000000"/>
                <w:sz w:val="24"/>
                <w:szCs w:val="24"/>
              </w:rPr>
              <w:t>07</w:t>
            </w:r>
          </w:p>
        </w:tc>
        <w:tc>
          <w:tcPr>
            <w:tcW w:w="1387" w:type="dxa"/>
            <w:vAlign w:val="center"/>
          </w:tcPr>
          <w:p w:rsidR="007B6D0B" w:rsidRDefault="00B60A03">
            <w:pPr>
              <w:jc w:val="right"/>
            </w:pPr>
            <w:r>
              <w:rPr>
                <w:color w:val="000000"/>
                <w:sz w:val="24"/>
                <w:szCs w:val="24"/>
              </w:rPr>
              <w:t>500,000</w:t>
            </w:r>
          </w:p>
        </w:tc>
        <w:tc>
          <w:tcPr>
            <w:tcW w:w="2150" w:type="dxa"/>
            <w:vAlign w:val="center"/>
          </w:tcPr>
          <w:p w:rsidR="007B6D0B" w:rsidRDefault="00B60A03">
            <w:pPr>
              <w:jc w:val="right"/>
            </w:pPr>
            <w:r>
              <w:rPr>
                <w:color w:val="000000"/>
                <w:sz w:val="24"/>
                <w:szCs w:val="24"/>
              </w:rPr>
              <w:t>50,110,000.00</w:t>
            </w:r>
          </w:p>
        </w:tc>
        <w:tc>
          <w:tcPr>
            <w:tcW w:w="1237" w:type="dxa"/>
            <w:vAlign w:val="center"/>
          </w:tcPr>
          <w:p w:rsidR="007B6D0B" w:rsidRDefault="00B60A03">
            <w:pPr>
              <w:jc w:val="right"/>
            </w:pPr>
            <w:r>
              <w:rPr>
                <w:color w:val="000000"/>
                <w:sz w:val="24"/>
                <w:szCs w:val="24"/>
              </w:rPr>
              <w:t>1.93</w:t>
            </w:r>
          </w:p>
        </w:tc>
      </w:tr>
      <w:tr w:rsidR="007B6D0B">
        <w:trPr>
          <w:jc w:val="center"/>
        </w:trPr>
        <w:tc>
          <w:tcPr>
            <w:tcW w:w="850" w:type="dxa"/>
            <w:vAlign w:val="center"/>
          </w:tcPr>
          <w:p w:rsidR="007B6D0B" w:rsidRDefault="00B60A03">
            <w:pPr>
              <w:jc w:val="center"/>
            </w:pPr>
            <w:r>
              <w:rPr>
                <w:color w:val="000000"/>
                <w:sz w:val="24"/>
                <w:szCs w:val="24"/>
              </w:rPr>
              <w:t>3</w:t>
            </w:r>
          </w:p>
        </w:tc>
        <w:tc>
          <w:tcPr>
            <w:tcW w:w="1475" w:type="dxa"/>
            <w:vAlign w:val="center"/>
          </w:tcPr>
          <w:p w:rsidR="007B6D0B" w:rsidRDefault="00B60A03">
            <w:pPr>
              <w:jc w:val="center"/>
            </w:pPr>
            <w:r>
              <w:rPr>
                <w:color w:val="000000"/>
                <w:sz w:val="24"/>
                <w:szCs w:val="24"/>
              </w:rPr>
              <w:t>150418</w:t>
            </w:r>
          </w:p>
        </w:tc>
        <w:tc>
          <w:tcPr>
            <w:tcW w:w="1769" w:type="dxa"/>
            <w:vAlign w:val="center"/>
          </w:tcPr>
          <w:p w:rsidR="007B6D0B" w:rsidRDefault="00B60A03">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7B6D0B" w:rsidRDefault="00B60A03">
            <w:pPr>
              <w:jc w:val="right"/>
            </w:pPr>
            <w:r>
              <w:rPr>
                <w:color w:val="000000"/>
                <w:sz w:val="24"/>
                <w:szCs w:val="24"/>
              </w:rPr>
              <w:t>500,000</w:t>
            </w:r>
          </w:p>
        </w:tc>
        <w:tc>
          <w:tcPr>
            <w:tcW w:w="2150" w:type="dxa"/>
            <w:vAlign w:val="center"/>
          </w:tcPr>
          <w:p w:rsidR="007B6D0B" w:rsidRDefault="00B60A03">
            <w:pPr>
              <w:jc w:val="right"/>
            </w:pPr>
            <w:r>
              <w:rPr>
                <w:color w:val="000000"/>
                <w:sz w:val="24"/>
                <w:szCs w:val="24"/>
              </w:rPr>
              <w:t>49,845,000.00</w:t>
            </w:r>
          </w:p>
        </w:tc>
        <w:tc>
          <w:tcPr>
            <w:tcW w:w="1237" w:type="dxa"/>
            <w:vAlign w:val="center"/>
          </w:tcPr>
          <w:p w:rsidR="007B6D0B" w:rsidRDefault="00B60A03">
            <w:pPr>
              <w:jc w:val="right"/>
            </w:pPr>
            <w:r>
              <w:rPr>
                <w:color w:val="000000"/>
                <w:sz w:val="24"/>
                <w:szCs w:val="24"/>
              </w:rPr>
              <w:t>1.92</w:t>
            </w:r>
          </w:p>
        </w:tc>
      </w:tr>
      <w:tr w:rsidR="007B6D0B">
        <w:trPr>
          <w:jc w:val="center"/>
        </w:trPr>
        <w:tc>
          <w:tcPr>
            <w:tcW w:w="850" w:type="dxa"/>
            <w:vAlign w:val="center"/>
          </w:tcPr>
          <w:p w:rsidR="007B6D0B" w:rsidRDefault="00B60A03">
            <w:pPr>
              <w:jc w:val="center"/>
            </w:pPr>
            <w:r>
              <w:rPr>
                <w:color w:val="000000"/>
                <w:sz w:val="24"/>
                <w:szCs w:val="24"/>
              </w:rPr>
              <w:t>4</w:t>
            </w:r>
          </w:p>
        </w:tc>
        <w:tc>
          <w:tcPr>
            <w:tcW w:w="1475" w:type="dxa"/>
            <w:vAlign w:val="center"/>
          </w:tcPr>
          <w:p w:rsidR="007B6D0B" w:rsidRDefault="00B60A03">
            <w:pPr>
              <w:jc w:val="center"/>
            </w:pPr>
            <w:r>
              <w:rPr>
                <w:color w:val="000000"/>
                <w:sz w:val="24"/>
                <w:szCs w:val="24"/>
              </w:rPr>
              <w:t>111713079</w:t>
            </w:r>
          </w:p>
        </w:tc>
        <w:tc>
          <w:tcPr>
            <w:tcW w:w="1769" w:type="dxa"/>
            <w:vAlign w:val="center"/>
          </w:tcPr>
          <w:p w:rsidR="007B6D0B" w:rsidRDefault="00B60A03">
            <w:pPr>
              <w:jc w:val="center"/>
            </w:pPr>
            <w:r>
              <w:rPr>
                <w:color w:val="000000"/>
                <w:sz w:val="24"/>
                <w:szCs w:val="24"/>
              </w:rPr>
              <w:t>17</w:t>
            </w:r>
            <w:r>
              <w:rPr>
                <w:color w:val="000000"/>
                <w:sz w:val="24"/>
                <w:szCs w:val="24"/>
              </w:rPr>
              <w:t>浙商银行</w:t>
            </w:r>
            <w:r>
              <w:rPr>
                <w:color w:val="000000"/>
                <w:sz w:val="24"/>
                <w:szCs w:val="24"/>
              </w:rPr>
              <w:t>CD079</w:t>
            </w:r>
          </w:p>
        </w:tc>
        <w:tc>
          <w:tcPr>
            <w:tcW w:w="1387" w:type="dxa"/>
            <w:vAlign w:val="center"/>
          </w:tcPr>
          <w:p w:rsidR="007B6D0B" w:rsidRDefault="00B60A03">
            <w:pPr>
              <w:jc w:val="right"/>
            </w:pPr>
            <w:r>
              <w:rPr>
                <w:color w:val="000000"/>
                <w:sz w:val="24"/>
                <w:szCs w:val="24"/>
              </w:rPr>
              <w:t>500,000</w:t>
            </w:r>
          </w:p>
        </w:tc>
        <w:tc>
          <w:tcPr>
            <w:tcW w:w="2150" w:type="dxa"/>
            <w:vAlign w:val="center"/>
          </w:tcPr>
          <w:p w:rsidR="007B6D0B" w:rsidRDefault="00B60A03">
            <w:pPr>
              <w:jc w:val="right"/>
            </w:pPr>
            <w:r>
              <w:rPr>
                <w:color w:val="000000"/>
                <w:sz w:val="24"/>
                <w:szCs w:val="24"/>
              </w:rPr>
              <w:t>48,900,000.00</w:t>
            </w:r>
          </w:p>
        </w:tc>
        <w:tc>
          <w:tcPr>
            <w:tcW w:w="1237" w:type="dxa"/>
            <w:vAlign w:val="center"/>
          </w:tcPr>
          <w:p w:rsidR="007B6D0B" w:rsidRDefault="00B60A03">
            <w:pPr>
              <w:jc w:val="right"/>
            </w:pPr>
            <w:r>
              <w:rPr>
                <w:color w:val="000000"/>
                <w:sz w:val="24"/>
                <w:szCs w:val="24"/>
              </w:rPr>
              <w:t>1.88</w:t>
            </w:r>
          </w:p>
        </w:tc>
      </w:tr>
      <w:tr w:rsidR="007B6D0B">
        <w:trPr>
          <w:jc w:val="center"/>
        </w:trPr>
        <w:tc>
          <w:tcPr>
            <w:tcW w:w="850" w:type="dxa"/>
            <w:vAlign w:val="center"/>
          </w:tcPr>
          <w:p w:rsidR="007B6D0B" w:rsidRDefault="00B60A03">
            <w:pPr>
              <w:jc w:val="center"/>
            </w:pPr>
            <w:r>
              <w:rPr>
                <w:color w:val="000000"/>
                <w:sz w:val="24"/>
                <w:szCs w:val="24"/>
              </w:rPr>
              <w:lastRenderedPageBreak/>
              <w:t>5</w:t>
            </w:r>
          </w:p>
        </w:tc>
        <w:tc>
          <w:tcPr>
            <w:tcW w:w="1475" w:type="dxa"/>
            <w:vAlign w:val="center"/>
          </w:tcPr>
          <w:p w:rsidR="007B6D0B" w:rsidRDefault="00B60A03">
            <w:pPr>
              <w:jc w:val="center"/>
            </w:pPr>
            <w:r>
              <w:rPr>
                <w:color w:val="000000"/>
                <w:sz w:val="24"/>
                <w:szCs w:val="24"/>
              </w:rPr>
              <w:t>111781337</w:t>
            </w:r>
          </w:p>
        </w:tc>
        <w:tc>
          <w:tcPr>
            <w:tcW w:w="1769" w:type="dxa"/>
            <w:vAlign w:val="center"/>
          </w:tcPr>
          <w:p w:rsidR="007B6D0B" w:rsidRDefault="00B60A03">
            <w:pPr>
              <w:jc w:val="center"/>
            </w:pPr>
            <w:r>
              <w:rPr>
                <w:color w:val="000000"/>
                <w:sz w:val="24"/>
                <w:szCs w:val="24"/>
              </w:rPr>
              <w:t>17</w:t>
            </w:r>
            <w:r>
              <w:rPr>
                <w:color w:val="000000"/>
                <w:sz w:val="24"/>
                <w:szCs w:val="24"/>
              </w:rPr>
              <w:t>厦门国际银行</w:t>
            </w:r>
            <w:r>
              <w:rPr>
                <w:color w:val="000000"/>
                <w:sz w:val="24"/>
                <w:szCs w:val="24"/>
              </w:rPr>
              <w:t>CD107</w:t>
            </w:r>
          </w:p>
        </w:tc>
        <w:tc>
          <w:tcPr>
            <w:tcW w:w="1387" w:type="dxa"/>
            <w:vAlign w:val="center"/>
          </w:tcPr>
          <w:p w:rsidR="007B6D0B" w:rsidRDefault="00B60A03">
            <w:pPr>
              <w:jc w:val="right"/>
            </w:pPr>
            <w:r>
              <w:rPr>
                <w:color w:val="000000"/>
                <w:sz w:val="24"/>
                <w:szCs w:val="24"/>
              </w:rPr>
              <w:t>500,000</w:t>
            </w:r>
          </w:p>
        </w:tc>
        <w:tc>
          <w:tcPr>
            <w:tcW w:w="2150" w:type="dxa"/>
            <w:vAlign w:val="center"/>
          </w:tcPr>
          <w:p w:rsidR="007B6D0B" w:rsidRDefault="00B60A03">
            <w:pPr>
              <w:jc w:val="right"/>
            </w:pPr>
            <w:r>
              <w:rPr>
                <w:color w:val="000000"/>
                <w:sz w:val="24"/>
                <w:szCs w:val="24"/>
              </w:rPr>
              <w:t>48,880,000.00</w:t>
            </w:r>
          </w:p>
        </w:tc>
        <w:tc>
          <w:tcPr>
            <w:tcW w:w="1237" w:type="dxa"/>
            <w:vAlign w:val="center"/>
          </w:tcPr>
          <w:p w:rsidR="007B6D0B" w:rsidRDefault="00B60A03">
            <w:pPr>
              <w:jc w:val="right"/>
            </w:pPr>
            <w:r>
              <w:rPr>
                <w:color w:val="000000"/>
                <w:sz w:val="24"/>
                <w:szCs w:val="24"/>
              </w:rPr>
              <w:t>1.88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1,411,750.75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10,415,466.77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4,289,024.60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11,294,385.25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27,410,957.37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4,198,067,110.48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447,420,424.43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594,694,115.75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4,050,793,419.16</w:t>
            </w:r>
          </w:p>
        </w:tc>
      </w:tr>
    </w:tbl>
    <w:p w:rsidR="007B6D0B" w:rsidRDefault="00B60A0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B6D0B" w:rsidRDefault="00B60A0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、《交银施罗德精选混合型证券投资基金基金合同》；</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B6D0B" w:rsidRDefault="00B60A0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B6D0B" w:rsidRDefault="00B60A0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03" w:rsidRDefault="00B60A03" w:rsidP="00876D65">
      <w:r>
        <w:separator/>
      </w:r>
    </w:p>
  </w:endnote>
  <w:endnote w:type="continuationSeparator" w:id="0">
    <w:p w:rsidR="00B60A03" w:rsidRDefault="00B60A0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2C5242">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2C5242">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03" w:rsidRDefault="00B60A03" w:rsidP="00876D65">
      <w:r>
        <w:separator/>
      </w:r>
    </w:p>
  </w:footnote>
  <w:footnote w:type="continuationSeparator" w:id="0">
    <w:p w:rsidR="00B60A03" w:rsidRDefault="00B60A0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242"/>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6D0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0A0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54F5A1-8152-4BB9-85E3-67D4EF3B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C35C-6758-41D3-966A-CCF0690D5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567</cp:revision>
  <dcterms:created xsi:type="dcterms:W3CDTF">2012-10-16T06:07:00Z</dcterms:created>
  <dcterms:modified xsi:type="dcterms:W3CDTF">2017-10-23T05:52:00Z</dcterms:modified>
</cp:coreProperties>
</file>