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0C101" w14:textId="77777777" w:rsidR="00084DB4" w:rsidRDefault="00084DB4">
      <w:pPr>
        <w:adjustRightInd w:val="0"/>
        <w:snapToGrid w:val="0"/>
        <w:spacing w:line="360" w:lineRule="auto"/>
        <w:rPr>
          <w:sz w:val="32"/>
        </w:rPr>
      </w:pPr>
    </w:p>
    <w:p w14:paraId="0E4909E0" w14:textId="77777777" w:rsidR="00084DB4" w:rsidRDefault="00084DB4">
      <w:pPr>
        <w:adjustRightInd w:val="0"/>
        <w:snapToGrid w:val="0"/>
        <w:spacing w:line="360" w:lineRule="auto"/>
        <w:rPr>
          <w:sz w:val="32"/>
        </w:rPr>
      </w:pPr>
    </w:p>
    <w:p w14:paraId="230C86EE" w14:textId="77777777" w:rsidR="00084DB4" w:rsidRDefault="00084DB4">
      <w:pPr>
        <w:adjustRightInd w:val="0"/>
        <w:snapToGrid w:val="0"/>
        <w:spacing w:line="360" w:lineRule="auto"/>
        <w:rPr>
          <w:sz w:val="32"/>
        </w:rPr>
      </w:pPr>
    </w:p>
    <w:p w14:paraId="32A126E9" w14:textId="77777777" w:rsidR="00084DB4" w:rsidRPr="00F00B77" w:rsidRDefault="009D76CE">
      <w:pPr>
        <w:adjustRightInd w:val="0"/>
        <w:snapToGrid w:val="0"/>
        <w:spacing w:line="360" w:lineRule="auto"/>
        <w:jc w:val="center"/>
        <w:rPr>
          <w:sz w:val="32"/>
        </w:rPr>
      </w:pPr>
      <w:r>
        <w:rPr>
          <w:noProof/>
        </w:rPr>
        <w:drawing>
          <wp:inline distT="0" distB="0" distL="0" distR="0" wp14:anchorId="10C8C884" wp14:editId="01C1366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5E994D" w14:textId="77777777" w:rsidR="00084DB4" w:rsidRPr="00F00B77" w:rsidRDefault="00084DB4">
      <w:pPr>
        <w:adjustRightInd w:val="0"/>
        <w:snapToGrid w:val="0"/>
        <w:spacing w:line="360" w:lineRule="auto"/>
        <w:jc w:val="center"/>
        <w:rPr>
          <w:b/>
          <w:sz w:val="32"/>
        </w:rPr>
      </w:pPr>
    </w:p>
    <w:p w14:paraId="272C04F4" w14:textId="77777777" w:rsidR="00084DB4" w:rsidRPr="00F00B77" w:rsidRDefault="00084DB4">
      <w:pPr>
        <w:adjustRightInd w:val="0"/>
        <w:snapToGrid w:val="0"/>
        <w:spacing w:line="360" w:lineRule="auto"/>
        <w:rPr>
          <w:b/>
          <w:sz w:val="44"/>
        </w:rPr>
      </w:pPr>
    </w:p>
    <w:p w14:paraId="5EC6C05B" w14:textId="77777777" w:rsidR="00084DB4" w:rsidRPr="00F00B77" w:rsidRDefault="00084DB4">
      <w:pPr>
        <w:adjustRightInd w:val="0"/>
        <w:snapToGrid w:val="0"/>
        <w:spacing w:line="360" w:lineRule="auto"/>
        <w:jc w:val="center"/>
        <w:rPr>
          <w:rFonts w:hAnsi="宋体"/>
          <w:b/>
          <w:sz w:val="44"/>
        </w:rPr>
      </w:pPr>
      <w:r w:rsidRPr="00F00B77">
        <w:rPr>
          <w:rFonts w:hAnsi="宋体"/>
          <w:b/>
          <w:sz w:val="44"/>
        </w:rPr>
        <w:t>交银施罗德</w:t>
      </w:r>
      <w:r w:rsidR="00952456" w:rsidRPr="00F00B77">
        <w:rPr>
          <w:rFonts w:hint="eastAsia"/>
          <w:b/>
          <w:sz w:val="44"/>
          <w:szCs w:val="44"/>
        </w:rPr>
        <w:t>活期通</w:t>
      </w:r>
      <w:r w:rsidRPr="00F00B77">
        <w:rPr>
          <w:rFonts w:hint="eastAsia"/>
          <w:b/>
          <w:sz w:val="44"/>
          <w:szCs w:val="44"/>
        </w:rPr>
        <w:t>货币市场</w:t>
      </w:r>
      <w:r w:rsidRPr="00F00B77">
        <w:rPr>
          <w:rFonts w:hAnsi="宋体"/>
          <w:b/>
          <w:sz w:val="44"/>
        </w:rPr>
        <w:t>基金</w:t>
      </w:r>
    </w:p>
    <w:p w14:paraId="09CE5A59" w14:textId="77777777" w:rsidR="00084DB4" w:rsidRPr="00F00B77" w:rsidRDefault="00751833">
      <w:pPr>
        <w:adjustRightInd w:val="0"/>
        <w:snapToGrid w:val="0"/>
        <w:spacing w:line="360" w:lineRule="auto"/>
        <w:jc w:val="center"/>
        <w:rPr>
          <w:rFonts w:hAnsi="宋体"/>
          <w:b/>
          <w:sz w:val="28"/>
          <w:szCs w:val="28"/>
        </w:rPr>
      </w:pPr>
      <w:r w:rsidRPr="00F00B77">
        <w:rPr>
          <w:rFonts w:hAnsi="宋体" w:hint="eastAsia"/>
          <w:b/>
          <w:sz w:val="44"/>
        </w:rPr>
        <w:t>（更新</w:t>
      </w:r>
      <w:r w:rsidRPr="00F00B77">
        <w:rPr>
          <w:rFonts w:hAnsi="宋体"/>
          <w:b/>
          <w:sz w:val="44"/>
        </w:rPr>
        <w:t>）</w:t>
      </w:r>
      <w:r w:rsidR="00084DB4" w:rsidRPr="00F00B77">
        <w:rPr>
          <w:rFonts w:hAnsi="宋体"/>
          <w:b/>
          <w:sz w:val="44"/>
        </w:rPr>
        <w:t>招募说明书</w:t>
      </w:r>
    </w:p>
    <w:p w14:paraId="4C6CC267" w14:textId="77777777" w:rsidR="00084DB4" w:rsidRPr="00F00B77" w:rsidRDefault="00084DB4">
      <w:pPr>
        <w:adjustRightInd w:val="0"/>
        <w:snapToGrid w:val="0"/>
        <w:ind w:left="720"/>
        <w:jc w:val="left"/>
        <w:rPr>
          <w:rFonts w:hAnsi="宋体"/>
          <w:b/>
          <w:sz w:val="28"/>
          <w:szCs w:val="28"/>
        </w:rPr>
      </w:pPr>
    </w:p>
    <w:p w14:paraId="036ABA7F" w14:textId="77777777" w:rsidR="00AE2366" w:rsidRPr="00F00B77" w:rsidRDefault="00AE2366">
      <w:pPr>
        <w:adjustRightInd w:val="0"/>
        <w:snapToGrid w:val="0"/>
        <w:ind w:left="720"/>
        <w:jc w:val="left"/>
        <w:rPr>
          <w:rFonts w:hAnsi="宋体"/>
          <w:b/>
          <w:sz w:val="28"/>
          <w:szCs w:val="28"/>
        </w:rPr>
      </w:pPr>
    </w:p>
    <w:p w14:paraId="30813BC8" w14:textId="77777777" w:rsidR="00D41D19" w:rsidRPr="00F00B77" w:rsidRDefault="00D41D19" w:rsidP="00D41D19">
      <w:pPr>
        <w:spacing w:line="360" w:lineRule="auto"/>
        <w:jc w:val="center"/>
        <w:rPr>
          <w:rFonts w:eastAsia="黑体"/>
          <w:b/>
          <w:sz w:val="32"/>
        </w:rPr>
      </w:pPr>
      <w:r w:rsidRPr="00F00B77">
        <w:rPr>
          <w:rFonts w:eastAsia="黑体"/>
          <w:b/>
          <w:sz w:val="32"/>
        </w:rPr>
        <w:t>（</w:t>
      </w:r>
      <w:r w:rsidRPr="00F00B77">
        <w:rPr>
          <w:rFonts w:eastAsia="黑体"/>
          <w:b/>
          <w:sz w:val="32"/>
        </w:rPr>
        <w:t>20</w:t>
      </w:r>
      <w:r w:rsidRPr="00F00B77">
        <w:rPr>
          <w:rFonts w:eastAsia="黑体" w:hint="eastAsia"/>
          <w:b/>
          <w:sz w:val="32"/>
        </w:rPr>
        <w:t>1</w:t>
      </w:r>
      <w:r w:rsidRPr="00F00B77">
        <w:rPr>
          <w:rFonts w:eastAsia="黑体"/>
          <w:b/>
          <w:sz w:val="32"/>
        </w:rPr>
        <w:t>7</w:t>
      </w:r>
      <w:r w:rsidRPr="00F00B77">
        <w:rPr>
          <w:rFonts w:eastAsia="黑体"/>
          <w:b/>
          <w:sz w:val="32"/>
        </w:rPr>
        <w:t>年第</w:t>
      </w:r>
      <w:r w:rsidR="00B26C1C">
        <w:rPr>
          <w:rFonts w:eastAsia="黑体"/>
          <w:b/>
          <w:sz w:val="32"/>
        </w:rPr>
        <w:t>2</w:t>
      </w:r>
      <w:r w:rsidRPr="00F00B77">
        <w:rPr>
          <w:rFonts w:eastAsia="黑体"/>
          <w:b/>
          <w:sz w:val="32"/>
        </w:rPr>
        <w:t>号）</w:t>
      </w:r>
    </w:p>
    <w:p w14:paraId="68DF307C" w14:textId="77777777" w:rsidR="00084DB4" w:rsidRPr="00F00B77" w:rsidRDefault="00084DB4">
      <w:pPr>
        <w:adjustRightInd w:val="0"/>
        <w:snapToGrid w:val="0"/>
        <w:ind w:left="720"/>
        <w:jc w:val="left"/>
        <w:rPr>
          <w:rFonts w:hAnsi="宋体"/>
          <w:b/>
          <w:sz w:val="28"/>
          <w:szCs w:val="28"/>
        </w:rPr>
      </w:pPr>
    </w:p>
    <w:p w14:paraId="5553F42A" w14:textId="77777777" w:rsidR="00084DB4" w:rsidRPr="00F00B77" w:rsidRDefault="00084DB4">
      <w:pPr>
        <w:adjustRightInd w:val="0"/>
        <w:snapToGrid w:val="0"/>
        <w:ind w:left="720"/>
        <w:jc w:val="left"/>
        <w:rPr>
          <w:rFonts w:hAnsi="宋体"/>
          <w:b/>
          <w:sz w:val="28"/>
          <w:szCs w:val="28"/>
        </w:rPr>
      </w:pPr>
    </w:p>
    <w:p w14:paraId="10CAD769" w14:textId="77777777" w:rsidR="00084DB4" w:rsidRPr="00F00B77" w:rsidRDefault="00084DB4">
      <w:pPr>
        <w:adjustRightInd w:val="0"/>
        <w:snapToGrid w:val="0"/>
        <w:ind w:left="720"/>
        <w:jc w:val="left"/>
        <w:rPr>
          <w:rFonts w:hAnsi="宋体"/>
          <w:b/>
          <w:sz w:val="28"/>
          <w:szCs w:val="28"/>
        </w:rPr>
      </w:pPr>
    </w:p>
    <w:p w14:paraId="50B69D0D" w14:textId="77777777" w:rsidR="00084DB4" w:rsidRPr="00F00B77" w:rsidRDefault="00084DB4">
      <w:pPr>
        <w:adjustRightInd w:val="0"/>
        <w:snapToGrid w:val="0"/>
        <w:ind w:left="720"/>
        <w:jc w:val="left"/>
        <w:rPr>
          <w:rFonts w:hAnsi="宋体"/>
          <w:b/>
          <w:sz w:val="28"/>
          <w:szCs w:val="28"/>
        </w:rPr>
      </w:pPr>
    </w:p>
    <w:p w14:paraId="08B3E7A0" w14:textId="77777777" w:rsidR="00084DB4" w:rsidRPr="00F00B77" w:rsidRDefault="00084DB4">
      <w:pPr>
        <w:adjustRightInd w:val="0"/>
        <w:snapToGrid w:val="0"/>
        <w:ind w:left="720"/>
        <w:jc w:val="left"/>
        <w:rPr>
          <w:rFonts w:hAnsi="宋体"/>
          <w:b/>
          <w:sz w:val="28"/>
          <w:szCs w:val="28"/>
        </w:rPr>
      </w:pPr>
    </w:p>
    <w:p w14:paraId="78C987D0" w14:textId="77777777" w:rsidR="00084DB4" w:rsidRPr="00F00B77" w:rsidRDefault="00084DB4">
      <w:pPr>
        <w:adjustRightInd w:val="0"/>
        <w:snapToGrid w:val="0"/>
        <w:ind w:left="720"/>
        <w:jc w:val="left"/>
        <w:rPr>
          <w:rFonts w:hAnsi="宋体"/>
          <w:b/>
          <w:sz w:val="28"/>
          <w:szCs w:val="28"/>
        </w:rPr>
      </w:pPr>
    </w:p>
    <w:p w14:paraId="666C3A96" w14:textId="77777777" w:rsidR="00084DB4" w:rsidRPr="00F00B77" w:rsidRDefault="00084DB4">
      <w:pPr>
        <w:adjustRightInd w:val="0"/>
        <w:snapToGrid w:val="0"/>
        <w:spacing w:line="360" w:lineRule="auto"/>
        <w:rPr>
          <w:b/>
          <w:sz w:val="28"/>
        </w:rPr>
      </w:pPr>
    </w:p>
    <w:p w14:paraId="6110686D" w14:textId="77777777" w:rsidR="00084DB4" w:rsidRPr="00F00B77" w:rsidRDefault="00084DB4">
      <w:pPr>
        <w:adjustRightInd w:val="0"/>
        <w:snapToGrid w:val="0"/>
        <w:spacing w:line="360" w:lineRule="auto"/>
        <w:ind w:leftChars="942" w:left="1978"/>
        <w:rPr>
          <w:b/>
          <w:sz w:val="28"/>
        </w:rPr>
      </w:pPr>
      <w:r w:rsidRPr="00F00B77">
        <w:rPr>
          <w:rFonts w:hAnsi="宋体"/>
          <w:b/>
          <w:sz w:val="28"/>
        </w:rPr>
        <w:t>基金管理人：交银施罗德基金管理有限公司</w:t>
      </w:r>
    </w:p>
    <w:p w14:paraId="4D8318EE" w14:textId="77777777" w:rsidR="00084DB4" w:rsidRPr="00F00B77" w:rsidRDefault="00084DB4">
      <w:pPr>
        <w:adjustRightInd w:val="0"/>
        <w:snapToGrid w:val="0"/>
        <w:spacing w:line="360" w:lineRule="auto"/>
        <w:ind w:leftChars="942" w:left="1978"/>
        <w:rPr>
          <w:b/>
          <w:sz w:val="28"/>
        </w:rPr>
      </w:pPr>
      <w:r w:rsidRPr="00F00B77">
        <w:rPr>
          <w:rFonts w:hAnsi="宋体"/>
          <w:b/>
          <w:sz w:val="28"/>
        </w:rPr>
        <w:t>基金托管人：</w:t>
      </w:r>
      <w:r w:rsidR="00952456" w:rsidRPr="00F00B77">
        <w:rPr>
          <w:rFonts w:hAnsi="宋体" w:hint="eastAsia"/>
          <w:b/>
          <w:sz w:val="28"/>
        </w:rPr>
        <w:t>中信建投证券股份有限公司</w:t>
      </w:r>
    </w:p>
    <w:p w14:paraId="39603B8D" w14:textId="77777777" w:rsidR="00084DB4" w:rsidRPr="00F00B77" w:rsidRDefault="00084DB4">
      <w:pPr>
        <w:widowControl/>
        <w:adjustRightInd w:val="0"/>
        <w:snapToGrid w:val="0"/>
        <w:spacing w:line="360" w:lineRule="auto"/>
        <w:ind w:firstLineChars="200" w:firstLine="420"/>
        <w:rPr>
          <w:rFonts w:ascii="宋体" w:hAnsi="宋体"/>
          <w:kern w:val="0"/>
        </w:rPr>
      </w:pPr>
    </w:p>
    <w:p w14:paraId="3BD968F0" w14:textId="77777777" w:rsidR="00084DB4" w:rsidRPr="00F00B77" w:rsidRDefault="00084DB4">
      <w:pPr>
        <w:autoSpaceDE w:val="0"/>
        <w:autoSpaceDN w:val="0"/>
        <w:adjustRightInd w:val="0"/>
        <w:snapToGrid w:val="0"/>
        <w:spacing w:line="360" w:lineRule="auto"/>
        <w:ind w:left="2996" w:hanging="2996"/>
        <w:jc w:val="center"/>
        <w:textAlignment w:val="bottom"/>
        <w:rPr>
          <w:b/>
          <w:sz w:val="24"/>
        </w:rPr>
      </w:pPr>
      <w:r w:rsidRPr="00F00B77">
        <w:rPr>
          <w:rFonts w:hAnsi="宋体"/>
          <w:b/>
          <w:sz w:val="28"/>
        </w:rPr>
        <w:t>二〇一</w:t>
      </w:r>
      <w:r w:rsidR="006E1BCB" w:rsidRPr="00F00B77">
        <w:rPr>
          <w:rFonts w:hint="eastAsia"/>
          <w:b/>
          <w:sz w:val="28"/>
        </w:rPr>
        <w:t>七</w:t>
      </w:r>
      <w:r w:rsidRPr="00F00B77">
        <w:rPr>
          <w:rFonts w:hAnsi="宋体"/>
          <w:b/>
          <w:sz w:val="28"/>
        </w:rPr>
        <w:t>年</w:t>
      </w:r>
      <w:r w:rsidR="00B26C1C">
        <w:rPr>
          <w:rFonts w:hAnsi="宋体" w:hint="eastAsia"/>
          <w:b/>
          <w:sz w:val="28"/>
        </w:rPr>
        <w:t>七</w:t>
      </w:r>
      <w:r w:rsidRPr="00F00B77">
        <w:rPr>
          <w:rFonts w:hAnsi="宋体"/>
          <w:b/>
          <w:sz w:val="28"/>
        </w:rPr>
        <w:t>月</w:t>
      </w:r>
    </w:p>
    <w:p w14:paraId="1E9B9B6D" w14:textId="77777777" w:rsidR="00084DB4" w:rsidRPr="00F00B77" w:rsidRDefault="00084DB4">
      <w:pPr>
        <w:widowControl/>
        <w:adjustRightInd w:val="0"/>
        <w:snapToGrid w:val="0"/>
        <w:spacing w:line="360" w:lineRule="auto"/>
        <w:jc w:val="left"/>
        <w:rPr>
          <w:rFonts w:hAnsi="宋体"/>
          <w:kern w:val="0"/>
        </w:rPr>
      </w:pPr>
      <w:r w:rsidRPr="00F00B77">
        <w:rPr>
          <w:rFonts w:hAnsi="宋体"/>
          <w:kern w:val="0"/>
        </w:rPr>
        <w:t>基金招募说明书自基金合同生效日起，每</w:t>
      </w:r>
      <w:r w:rsidRPr="00F00B77">
        <w:rPr>
          <w:kern w:val="0"/>
        </w:rPr>
        <w:t>6</w:t>
      </w:r>
      <w:r w:rsidRPr="00F00B77">
        <w:rPr>
          <w:rFonts w:hAnsi="宋体"/>
          <w:kern w:val="0"/>
        </w:rPr>
        <w:t>个月更新一次，并于每</w:t>
      </w:r>
      <w:r w:rsidRPr="00F00B77">
        <w:rPr>
          <w:kern w:val="0"/>
        </w:rPr>
        <w:t>6</w:t>
      </w:r>
      <w:r w:rsidRPr="00F00B77">
        <w:rPr>
          <w:rFonts w:hAnsi="宋体"/>
          <w:kern w:val="0"/>
        </w:rPr>
        <w:t>个月结束之日后的</w:t>
      </w:r>
      <w:r w:rsidRPr="00F00B77">
        <w:rPr>
          <w:kern w:val="0"/>
        </w:rPr>
        <w:t>45</w:t>
      </w:r>
      <w:r w:rsidRPr="00F00B77">
        <w:rPr>
          <w:rFonts w:hAnsi="宋体"/>
          <w:kern w:val="0"/>
        </w:rPr>
        <w:t>日内公告，更新内容截至每</w:t>
      </w:r>
      <w:r w:rsidRPr="00F00B77">
        <w:rPr>
          <w:kern w:val="0"/>
        </w:rPr>
        <w:t>6</w:t>
      </w:r>
      <w:r w:rsidRPr="00F00B77">
        <w:rPr>
          <w:rFonts w:hAnsi="宋体"/>
          <w:kern w:val="0"/>
        </w:rPr>
        <w:t>个月的最后</w:t>
      </w:r>
      <w:r w:rsidRPr="00F00B77">
        <w:rPr>
          <w:kern w:val="0"/>
        </w:rPr>
        <w:t>1</w:t>
      </w:r>
      <w:r w:rsidRPr="00F00B77">
        <w:rPr>
          <w:rFonts w:hAnsi="宋体"/>
          <w:kern w:val="0"/>
        </w:rPr>
        <w:t>日。</w:t>
      </w:r>
    </w:p>
    <w:p w14:paraId="52A66F13" w14:textId="77777777" w:rsidR="00084DB4" w:rsidRPr="00F00B77" w:rsidRDefault="00084DB4">
      <w:pPr>
        <w:widowControl/>
        <w:adjustRightInd w:val="0"/>
        <w:snapToGrid w:val="0"/>
        <w:spacing w:line="360" w:lineRule="auto"/>
        <w:jc w:val="left"/>
        <w:rPr>
          <w:rFonts w:ascii="宋体" w:hAnsi="宋体"/>
          <w:b/>
          <w:kern w:val="0"/>
          <w:sz w:val="30"/>
        </w:rPr>
      </w:pPr>
    </w:p>
    <w:p w14:paraId="56001ADF" w14:textId="77777777" w:rsidR="00084DB4" w:rsidRPr="00F00B77" w:rsidRDefault="00084DB4">
      <w:pPr>
        <w:widowControl/>
        <w:adjustRightInd w:val="0"/>
        <w:snapToGrid w:val="0"/>
        <w:spacing w:line="360" w:lineRule="auto"/>
        <w:jc w:val="center"/>
        <w:rPr>
          <w:rFonts w:ascii="宋体" w:hAnsi="宋体"/>
          <w:b/>
          <w:kern w:val="0"/>
          <w:sz w:val="30"/>
        </w:rPr>
      </w:pPr>
      <w:r w:rsidRPr="00F00B77">
        <w:rPr>
          <w:rFonts w:ascii="宋体" w:hAnsi="宋体" w:hint="eastAsia"/>
          <w:b/>
          <w:kern w:val="0"/>
          <w:sz w:val="30"/>
        </w:rPr>
        <w:lastRenderedPageBreak/>
        <w:t>【</w:t>
      </w:r>
      <w:r w:rsidRPr="00F00B77">
        <w:rPr>
          <w:rFonts w:ascii="宋体" w:hAnsi="宋体"/>
          <w:b/>
          <w:kern w:val="0"/>
          <w:sz w:val="30"/>
        </w:rPr>
        <w:t>重要提示】</w:t>
      </w:r>
    </w:p>
    <w:p w14:paraId="5D13B73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交银施罗德</w:t>
      </w:r>
      <w:r w:rsidR="00952456" w:rsidRPr="00F00B77">
        <w:rPr>
          <w:rFonts w:hint="eastAsia"/>
          <w:bCs/>
          <w:sz w:val="24"/>
        </w:rPr>
        <w:t>活期通</w:t>
      </w:r>
      <w:r w:rsidRPr="00F00B77">
        <w:rPr>
          <w:rFonts w:hint="eastAsia"/>
          <w:bCs/>
          <w:sz w:val="24"/>
        </w:rPr>
        <w:t>货币市场</w:t>
      </w:r>
      <w:r w:rsidRPr="00F00B77">
        <w:rPr>
          <w:kern w:val="0"/>
          <w:sz w:val="24"/>
        </w:rPr>
        <w:t>基金（以下简称</w:t>
      </w:r>
      <w:r w:rsidRPr="00F00B77">
        <w:rPr>
          <w:rFonts w:ascii="宋体" w:hAnsi="宋体"/>
          <w:kern w:val="0"/>
          <w:sz w:val="24"/>
        </w:rPr>
        <w:t>“本基金”</w:t>
      </w:r>
      <w:r w:rsidRPr="00F00B77">
        <w:rPr>
          <w:rFonts w:hAnsi="宋体"/>
          <w:kern w:val="0"/>
          <w:sz w:val="24"/>
        </w:rPr>
        <w:t>）经</w:t>
      </w:r>
      <w:r w:rsidRPr="00F00B77">
        <w:rPr>
          <w:kern w:val="0"/>
          <w:sz w:val="24"/>
        </w:rPr>
        <w:t>201</w:t>
      </w:r>
      <w:r w:rsidRPr="00F00B77">
        <w:rPr>
          <w:rFonts w:hint="eastAsia"/>
          <w:kern w:val="0"/>
          <w:sz w:val="24"/>
        </w:rPr>
        <w:t>6</w:t>
      </w:r>
      <w:r w:rsidRPr="00F00B77">
        <w:rPr>
          <w:rFonts w:hAnsi="宋体"/>
          <w:kern w:val="0"/>
          <w:sz w:val="24"/>
        </w:rPr>
        <w:t>年</w:t>
      </w:r>
      <w:r w:rsidR="00CD5AB1" w:rsidRPr="00F00B77">
        <w:rPr>
          <w:rFonts w:hint="eastAsia"/>
          <w:kern w:val="0"/>
          <w:sz w:val="24"/>
        </w:rPr>
        <w:t>7</w:t>
      </w:r>
      <w:r w:rsidR="00CD5AB1" w:rsidRPr="00F00B77">
        <w:rPr>
          <w:rFonts w:hAnsi="宋体"/>
          <w:kern w:val="0"/>
          <w:sz w:val="24"/>
        </w:rPr>
        <w:t>月</w:t>
      </w:r>
      <w:r w:rsidR="00CD5AB1" w:rsidRPr="00F00B77">
        <w:rPr>
          <w:rFonts w:hint="eastAsia"/>
          <w:kern w:val="0"/>
          <w:sz w:val="24"/>
        </w:rPr>
        <w:t>12</w:t>
      </w:r>
      <w:r w:rsidRPr="00F00B77">
        <w:rPr>
          <w:rFonts w:hAnsi="宋体"/>
          <w:kern w:val="0"/>
          <w:sz w:val="24"/>
        </w:rPr>
        <w:t>日中国证券监督管理委员会（以下简称</w:t>
      </w:r>
      <w:r w:rsidRPr="00F00B77">
        <w:rPr>
          <w:rFonts w:ascii="宋体" w:hAnsi="宋体"/>
          <w:kern w:val="0"/>
          <w:sz w:val="24"/>
        </w:rPr>
        <w:t>“中国证监会”</w:t>
      </w:r>
      <w:r w:rsidRPr="00F00B77">
        <w:rPr>
          <w:rFonts w:hAnsi="宋体"/>
          <w:kern w:val="0"/>
          <w:sz w:val="24"/>
        </w:rPr>
        <w:t>）证监许可【</w:t>
      </w:r>
      <w:r w:rsidRPr="00F00B77">
        <w:rPr>
          <w:kern w:val="0"/>
          <w:sz w:val="24"/>
        </w:rPr>
        <w:t>201</w:t>
      </w:r>
      <w:r w:rsidRPr="00F00B77">
        <w:rPr>
          <w:rFonts w:hint="eastAsia"/>
          <w:kern w:val="0"/>
          <w:sz w:val="24"/>
        </w:rPr>
        <w:t>6</w:t>
      </w:r>
      <w:r w:rsidRPr="00F00B77">
        <w:rPr>
          <w:rFonts w:hAnsi="宋体"/>
          <w:kern w:val="0"/>
          <w:sz w:val="24"/>
        </w:rPr>
        <w:t>】</w:t>
      </w:r>
      <w:r w:rsidR="00CD5AB1" w:rsidRPr="00F00B77">
        <w:rPr>
          <w:rFonts w:hAnsi="宋体" w:hint="eastAsia"/>
          <w:kern w:val="0"/>
          <w:sz w:val="24"/>
        </w:rPr>
        <w:t>1570</w:t>
      </w:r>
      <w:r w:rsidRPr="00F00B77">
        <w:rPr>
          <w:rFonts w:hAnsi="宋体"/>
          <w:kern w:val="0"/>
          <w:sz w:val="24"/>
        </w:rPr>
        <w:t>号文</w:t>
      </w:r>
      <w:r w:rsidR="00A435FA" w:rsidRPr="00F00B77">
        <w:rPr>
          <w:rFonts w:hAnsi="宋体" w:hint="eastAsia"/>
          <w:kern w:val="0"/>
          <w:sz w:val="24"/>
        </w:rPr>
        <w:t>准予</w:t>
      </w:r>
      <w:r w:rsidRPr="00F00B77">
        <w:rPr>
          <w:kern w:val="0"/>
          <w:sz w:val="24"/>
        </w:rPr>
        <w:t>募集</w:t>
      </w:r>
      <w:r w:rsidRPr="00F00B77">
        <w:rPr>
          <w:rFonts w:hint="eastAsia"/>
          <w:kern w:val="0"/>
          <w:sz w:val="24"/>
        </w:rPr>
        <w:t>注册</w:t>
      </w:r>
      <w:r w:rsidRPr="00F00B77">
        <w:rPr>
          <w:rFonts w:hAnsi="宋体"/>
          <w:kern w:val="0"/>
          <w:sz w:val="24"/>
        </w:rPr>
        <w:t>。</w:t>
      </w:r>
      <w:r w:rsidR="0028542D" w:rsidRPr="00F00B77">
        <w:rPr>
          <w:rFonts w:hAnsi="宋体" w:hint="eastAsia"/>
          <w:kern w:val="0"/>
          <w:sz w:val="24"/>
        </w:rPr>
        <w:t>本基金基金合同于</w:t>
      </w:r>
      <w:r w:rsidR="0028542D" w:rsidRPr="00F00B77">
        <w:rPr>
          <w:rFonts w:hAnsi="宋体" w:hint="eastAsia"/>
          <w:kern w:val="0"/>
          <w:sz w:val="24"/>
        </w:rPr>
        <w:t>20</w:t>
      </w:r>
      <w:r w:rsidR="0028542D" w:rsidRPr="00F00B77">
        <w:rPr>
          <w:rFonts w:hAnsi="宋体"/>
          <w:kern w:val="0"/>
          <w:sz w:val="24"/>
        </w:rPr>
        <w:t>1</w:t>
      </w:r>
      <w:r w:rsidR="0028542D" w:rsidRPr="00F00B77">
        <w:rPr>
          <w:rFonts w:hAnsi="宋体" w:hint="eastAsia"/>
          <w:kern w:val="0"/>
          <w:sz w:val="24"/>
        </w:rPr>
        <w:t>6</w:t>
      </w:r>
      <w:r w:rsidR="0028542D" w:rsidRPr="00F00B77">
        <w:rPr>
          <w:rFonts w:hAnsi="宋体" w:hint="eastAsia"/>
          <w:kern w:val="0"/>
          <w:sz w:val="24"/>
        </w:rPr>
        <w:t>年</w:t>
      </w:r>
      <w:r w:rsidR="0028542D" w:rsidRPr="00F00B77">
        <w:rPr>
          <w:rFonts w:hAnsi="宋体" w:hint="eastAsia"/>
          <w:kern w:val="0"/>
          <w:sz w:val="24"/>
        </w:rPr>
        <w:t>7</w:t>
      </w:r>
      <w:r w:rsidR="0028542D" w:rsidRPr="00F00B77">
        <w:rPr>
          <w:rFonts w:hAnsi="宋体" w:hint="eastAsia"/>
          <w:kern w:val="0"/>
          <w:sz w:val="24"/>
        </w:rPr>
        <w:t>月</w:t>
      </w:r>
      <w:r w:rsidR="0028542D" w:rsidRPr="00F00B77">
        <w:rPr>
          <w:rFonts w:hAnsi="宋体" w:hint="eastAsia"/>
          <w:kern w:val="0"/>
          <w:sz w:val="24"/>
        </w:rPr>
        <w:t>27</w:t>
      </w:r>
      <w:r w:rsidR="0028542D" w:rsidRPr="00F00B77">
        <w:rPr>
          <w:rFonts w:hAnsi="宋体" w:hint="eastAsia"/>
          <w:kern w:val="0"/>
          <w:sz w:val="24"/>
        </w:rPr>
        <w:t>日正式生效。</w:t>
      </w:r>
    </w:p>
    <w:p w14:paraId="5868FA3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基金管理人保证招募说明书的内容真实、准确、完整。本招募说明书经中国证监会</w:t>
      </w:r>
      <w:r w:rsidRPr="00F00B77">
        <w:rPr>
          <w:rFonts w:hint="eastAsia"/>
          <w:kern w:val="0"/>
          <w:sz w:val="24"/>
        </w:rPr>
        <w:t>注册</w:t>
      </w:r>
      <w:r w:rsidRPr="00F00B77">
        <w:rPr>
          <w:kern w:val="0"/>
          <w:sz w:val="24"/>
        </w:rPr>
        <w:t>，但中国证监会对本基金募集的</w:t>
      </w:r>
      <w:r w:rsidRPr="00F00B77">
        <w:rPr>
          <w:rFonts w:hint="eastAsia"/>
          <w:kern w:val="0"/>
          <w:sz w:val="24"/>
        </w:rPr>
        <w:t>注册</w:t>
      </w:r>
      <w:r w:rsidRPr="00F00B77">
        <w:rPr>
          <w:kern w:val="0"/>
          <w:sz w:val="24"/>
        </w:rPr>
        <w:t>，并不表明其对本基金的价值和收益作出实质性判断或保证，也不表明投资于本基金没有风险。</w:t>
      </w:r>
      <w:r w:rsidRPr="00F00B77">
        <w:rPr>
          <w:rFonts w:hint="eastAsia"/>
          <w:kern w:val="0"/>
          <w:sz w:val="24"/>
        </w:rPr>
        <w:t>中国证监会不对基金的投资价值及市场前景等作出实质性判断或者保证。</w:t>
      </w:r>
    </w:p>
    <w:p w14:paraId="4E54217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C95AEE0" w14:textId="77777777" w:rsidR="002A20CE" w:rsidRPr="00F00B77" w:rsidRDefault="00084DB4">
      <w:pPr>
        <w:widowControl/>
        <w:adjustRightInd w:val="0"/>
        <w:snapToGrid w:val="0"/>
        <w:spacing w:line="360" w:lineRule="auto"/>
        <w:ind w:firstLineChars="200" w:firstLine="480"/>
        <w:rPr>
          <w:i/>
          <w:kern w:val="0"/>
          <w:sz w:val="24"/>
        </w:rPr>
      </w:pPr>
      <w:r w:rsidRPr="00F00B77">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F00B77">
        <w:rPr>
          <w:rFonts w:hint="eastAsia"/>
          <w:kern w:val="0"/>
          <w:sz w:val="24"/>
        </w:rPr>
        <w:t>市场风险；基金管理人在基金管理实施过程中产生的基金管理风险；由于基金投资者连续大量赎回基金产生的流动性风险；交易对手违约风险；投资</w:t>
      </w:r>
      <w:r w:rsidR="008D3784" w:rsidRPr="00F00B77">
        <w:rPr>
          <w:rFonts w:hint="eastAsia"/>
          <w:kern w:val="0"/>
          <w:sz w:val="24"/>
        </w:rPr>
        <w:t>货币市场</w:t>
      </w:r>
      <w:r w:rsidRPr="00F00B77">
        <w:rPr>
          <w:rFonts w:hint="eastAsia"/>
          <w:kern w:val="0"/>
          <w:sz w:val="24"/>
        </w:rPr>
        <w:t>基金特有的其他风险等等</w:t>
      </w:r>
      <w:r w:rsidRPr="00F00B77">
        <w:rPr>
          <w:kern w:val="0"/>
          <w:sz w:val="24"/>
        </w:rPr>
        <w:t>。</w:t>
      </w:r>
      <w:r w:rsidRPr="00F00B77">
        <w:rPr>
          <w:rFonts w:hint="eastAsia"/>
          <w:kern w:val="0"/>
          <w:sz w:val="24"/>
        </w:rPr>
        <w:t>本基金属于货币市场基金，长期风险收益水平低于股票型基金、混合型基金和债券型基金。</w:t>
      </w:r>
    </w:p>
    <w:p w14:paraId="65628184" w14:textId="77777777" w:rsidR="00084DB4" w:rsidRPr="00F00B77" w:rsidRDefault="00084DB4">
      <w:pPr>
        <w:widowControl/>
        <w:adjustRightInd w:val="0"/>
        <w:snapToGrid w:val="0"/>
        <w:spacing w:line="360" w:lineRule="auto"/>
        <w:ind w:firstLineChars="200" w:firstLine="480"/>
        <w:rPr>
          <w:sz w:val="24"/>
          <w:szCs w:val="18"/>
        </w:rPr>
      </w:pPr>
      <w:r w:rsidRPr="00F00B77">
        <w:rPr>
          <w:rFonts w:hint="eastAsia"/>
          <w:sz w:val="24"/>
          <w:szCs w:val="18"/>
        </w:rPr>
        <w:t>本基金投资于货币市场工具，面临货币市场利率波动的风险，基金每日的收益将根据市场情况上下波动，在极端情况下可能为负值。</w:t>
      </w:r>
      <w:r w:rsidRPr="00F00B77">
        <w:rPr>
          <w:rFonts w:hint="eastAsia"/>
          <w:kern w:val="0"/>
          <w:sz w:val="24"/>
        </w:rPr>
        <w:t>由于货币市场基金的特殊要求，</w:t>
      </w:r>
      <w:r w:rsidRPr="00F00B77">
        <w:rPr>
          <w:rFonts w:hint="eastAsia"/>
          <w:sz w:val="24"/>
          <w:szCs w:val="18"/>
        </w:rPr>
        <w:t>为满足投资者的赎回需要，基金</w:t>
      </w:r>
      <w:r w:rsidRPr="00F00B77">
        <w:rPr>
          <w:rFonts w:hint="eastAsia"/>
          <w:kern w:val="0"/>
          <w:sz w:val="24"/>
        </w:rPr>
        <w:t>必须保持一定的现金比例以应对赎回的需求</w:t>
      </w:r>
      <w:r w:rsidRPr="00F00B77">
        <w:rPr>
          <w:rFonts w:hint="eastAsia"/>
          <w:sz w:val="24"/>
          <w:szCs w:val="18"/>
        </w:rPr>
        <w:t>，</w:t>
      </w:r>
      <w:r w:rsidRPr="00F00B77">
        <w:rPr>
          <w:rFonts w:hint="eastAsia"/>
          <w:kern w:val="0"/>
          <w:sz w:val="24"/>
        </w:rPr>
        <w:t>在管理现金头寸时，有可能存在现金不足的风险或现金过多而带来的机会成本风险</w:t>
      </w:r>
      <w:r w:rsidRPr="00F00B77">
        <w:rPr>
          <w:rFonts w:hint="eastAsia"/>
          <w:sz w:val="24"/>
          <w:szCs w:val="18"/>
        </w:rPr>
        <w:t>。</w:t>
      </w:r>
    </w:p>
    <w:p w14:paraId="0F0FA35C" w14:textId="77777777" w:rsidR="00AC2E64" w:rsidRPr="00F00B77" w:rsidRDefault="00AC2E64" w:rsidP="00AC2E64">
      <w:pPr>
        <w:widowControl/>
        <w:adjustRightInd w:val="0"/>
        <w:snapToGrid w:val="0"/>
        <w:spacing w:line="360" w:lineRule="auto"/>
        <w:ind w:firstLineChars="200" w:firstLine="480"/>
        <w:rPr>
          <w:bCs/>
          <w:sz w:val="24"/>
        </w:rPr>
      </w:pPr>
      <w:r w:rsidRPr="00F00B77">
        <w:rPr>
          <w:rFonts w:hint="eastAsia"/>
          <w:bCs/>
          <w:sz w:val="24"/>
        </w:rPr>
        <w:t>当影子定价确定的基金资产净值与摊余成本法计算的基金资产净值的正偏离度绝对值达到</w:t>
      </w:r>
      <w:r w:rsidRPr="00F00B77">
        <w:rPr>
          <w:rFonts w:hint="eastAsia"/>
          <w:bCs/>
          <w:sz w:val="24"/>
        </w:rPr>
        <w:t>0.5%</w:t>
      </w:r>
      <w:r w:rsidRPr="00F00B77">
        <w:rPr>
          <w:rFonts w:hint="eastAsia"/>
          <w:bCs/>
          <w:sz w:val="24"/>
        </w:rPr>
        <w:t>时，基金管理人应当暂停接受申购并在</w:t>
      </w:r>
      <w:r w:rsidRPr="00F00B77">
        <w:rPr>
          <w:rFonts w:hint="eastAsia"/>
          <w:bCs/>
          <w:sz w:val="24"/>
        </w:rPr>
        <w:t>5</w:t>
      </w:r>
      <w:r w:rsidRPr="00F00B77">
        <w:rPr>
          <w:rFonts w:hint="eastAsia"/>
          <w:bCs/>
          <w:sz w:val="24"/>
        </w:rPr>
        <w:t>个交易日内将正偏离度绝对值调整到</w:t>
      </w:r>
      <w:r w:rsidRPr="00F00B77">
        <w:rPr>
          <w:rFonts w:hint="eastAsia"/>
          <w:bCs/>
          <w:sz w:val="24"/>
        </w:rPr>
        <w:t>0.5%</w:t>
      </w:r>
      <w:r w:rsidRPr="00F00B77">
        <w:rPr>
          <w:rFonts w:hint="eastAsia"/>
          <w:bCs/>
          <w:sz w:val="24"/>
        </w:rPr>
        <w:t>以内。故投资者可能面临暂停申购的风险。当负偏离度绝对值连续</w:t>
      </w:r>
      <w:r w:rsidRPr="00F00B77">
        <w:rPr>
          <w:rFonts w:hint="eastAsia"/>
          <w:bCs/>
          <w:sz w:val="24"/>
        </w:rPr>
        <w:lastRenderedPageBreak/>
        <w:t>两个交易日超过</w:t>
      </w:r>
      <w:r w:rsidRPr="00F00B77">
        <w:rPr>
          <w:rFonts w:hint="eastAsia"/>
          <w:bCs/>
          <w:sz w:val="24"/>
        </w:rPr>
        <w:t>0.5%</w:t>
      </w:r>
      <w:r w:rsidRPr="00F00B77">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65FAC44E" w14:textId="77777777" w:rsidR="00CB2506" w:rsidRPr="00F00B77" w:rsidRDefault="00AC2E64" w:rsidP="00AC2E64">
      <w:pPr>
        <w:widowControl/>
        <w:adjustRightInd w:val="0"/>
        <w:snapToGrid w:val="0"/>
        <w:spacing w:line="360" w:lineRule="auto"/>
        <w:ind w:firstLineChars="200" w:firstLine="480"/>
        <w:rPr>
          <w:kern w:val="0"/>
          <w:sz w:val="24"/>
        </w:rPr>
      </w:pPr>
      <w:r w:rsidRPr="00F00B77">
        <w:rPr>
          <w:rFonts w:hint="eastAsia"/>
          <w:bCs/>
          <w:sz w:val="24"/>
        </w:rPr>
        <w:t>在满足相关流动性风险管理要求的前提下，当本基金持有的现金、国债、中央银行票据、政策性金融债券以及</w:t>
      </w:r>
      <w:r w:rsidRPr="00F00B77">
        <w:rPr>
          <w:rFonts w:hint="eastAsia"/>
          <w:bCs/>
          <w:sz w:val="24"/>
        </w:rPr>
        <w:t>5</w:t>
      </w:r>
      <w:r w:rsidRPr="00F00B77">
        <w:rPr>
          <w:rFonts w:hint="eastAsia"/>
          <w:bCs/>
          <w:sz w:val="24"/>
        </w:rPr>
        <w:t>个交易日内到期的其他金融工具占基金资产净值的比例合计低于</w:t>
      </w:r>
      <w:r w:rsidRPr="00F00B77">
        <w:rPr>
          <w:rFonts w:hint="eastAsia"/>
          <w:bCs/>
          <w:sz w:val="24"/>
        </w:rPr>
        <w:t>5%</w:t>
      </w:r>
      <w:r w:rsidRPr="00F00B77">
        <w:rPr>
          <w:rFonts w:hint="eastAsia"/>
          <w:bCs/>
          <w:sz w:val="24"/>
        </w:rPr>
        <w:t>且偏离度为负时，当日单个基金份额持有人申请赎回基金份额超过基金总份额</w:t>
      </w:r>
      <w:r w:rsidRPr="00F00B77">
        <w:rPr>
          <w:rFonts w:hint="eastAsia"/>
          <w:bCs/>
          <w:sz w:val="24"/>
        </w:rPr>
        <w:t>1%</w:t>
      </w:r>
      <w:r w:rsidRPr="00F00B77">
        <w:rPr>
          <w:rFonts w:hint="eastAsia"/>
          <w:bCs/>
          <w:sz w:val="24"/>
        </w:rPr>
        <w:t>以上的，该基金份额持有人可能面临被征收</w:t>
      </w:r>
      <w:r w:rsidRPr="00F00B77">
        <w:rPr>
          <w:rFonts w:hint="eastAsia"/>
          <w:bCs/>
          <w:sz w:val="24"/>
        </w:rPr>
        <w:t>1%</w:t>
      </w:r>
      <w:r w:rsidRPr="00F00B77">
        <w:rPr>
          <w:rFonts w:hint="eastAsia"/>
          <w:bCs/>
          <w:sz w:val="24"/>
        </w:rPr>
        <w:t>的强制赎回费用的风险，上述赎回费用全额计入基金财产。此外，单个基金份额持有人在单个开放日申请赎回基金份额超过基金总份额</w:t>
      </w:r>
      <w:r w:rsidRPr="00F00B77">
        <w:rPr>
          <w:rFonts w:hint="eastAsia"/>
          <w:bCs/>
          <w:sz w:val="24"/>
        </w:rPr>
        <w:t>10%</w:t>
      </w:r>
      <w:r w:rsidRPr="00F00B77">
        <w:rPr>
          <w:rFonts w:hint="eastAsia"/>
          <w:bCs/>
          <w:sz w:val="24"/>
        </w:rPr>
        <w:t>的，该基金份额持有人可能面临延期办理部分赎回申请或者延缓支付赎回款项的风险。</w:t>
      </w:r>
    </w:p>
    <w:p w14:paraId="6049D3E7" w14:textId="77777777" w:rsidR="00084DB4" w:rsidRPr="00F00B77" w:rsidRDefault="00084DB4">
      <w:pPr>
        <w:widowControl/>
        <w:adjustRightInd w:val="0"/>
        <w:snapToGrid w:val="0"/>
        <w:spacing w:line="360" w:lineRule="auto"/>
        <w:ind w:firstLineChars="200" w:firstLine="480"/>
        <w:rPr>
          <w:sz w:val="24"/>
          <w:szCs w:val="18"/>
        </w:rPr>
      </w:pPr>
      <w:r w:rsidRPr="00F00B77">
        <w:rPr>
          <w:rFonts w:hint="eastAsia"/>
          <w:sz w:val="24"/>
          <w:szCs w:val="18"/>
        </w:rPr>
        <w:t>投资者购买本货币市场基金并不等于将资金作为存款存放在银行或存款类金融机构，基金管理人不保证基金一定盈利，也不保证最低收益。</w:t>
      </w:r>
    </w:p>
    <w:p w14:paraId="0B53308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投资有风险，投资人在投资本基金前应认真阅读本基金的招募说明书和基金合同</w:t>
      </w:r>
      <w:r w:rsidRPr="00F00B77">
        <w:rPr>
          <w:rFonts w:hint="eastAsia"/>
          <w:kern w:val="0"/>
          <w:sz w:val="24"/>
        </w:rPr>
        <w:t>等</w:t>
      </w:r>
      <w:r w:rsidRPr="00F00B77">
        <w:rPr>
          <w:kern w:val="0"/>
          <w:sz w:val="24"/>
        </w:rPr>
        <w:t>信息披露文件。基金的过往业绩并不代表未来表现。基金管理人管理的其他基金的业绩并不构成对本基金业绩表现的保证。</w:t>
      </w:r>
      <w:r w:rsidRPr="00F00B77">
        <w:rPr>
          <w:rFonts w:hint="eastAsia"/>
          <w:kern w:val="0"/>
          <w:sz w:val="24"/>
        </w:rPr>
        <w:t>基金管理人提醒投资者基金投资的“买者自负”原则，在投资者作出投资决策后，基金运营状况与基金净值变化引致的投资风险，由投资者自行负责。</w:t>
      </w:r>
    </w:p>
    <w:p w14:paraId="11790B80" w14:textId="77777777" w:rsidR="006E1BCB" w:rsidRPr="00F00B77" w:rsidRDefault="006E1BCB" w:rsidP="0088371F">
      <w:pPr>
        <w:widowControl/>
        <w:adjustRightInd w:val="0"/>
        <w:snapToGrid w:val="0"/>
        <w:spacing w:line="360" w:lineRule="auto"/>
        <w:ind w:firstLineChars="200" w:firstLine="480"/>
        <w:rPr>
          <w:kern w:val="0"/>
          <w:sz w:val="24"/>
        </w:rPr>
      </w:pPr>
      <w:r w:rsidRPr="00F00B77">
        <w:rPr>
          <w:rFonts w:hint="eastAsia"/>
          <w:kern w:val="0"/>
          <w:sz w:val="24"/>
        </w:rPr>
        <w:t>本招募说明书所载内容截止日为</w:t>
      </w:r>
      <w:r w:rsidRPr="00F00B77">
        <w:rPr>
          <w:rFonts w:hint="eastAsia"/>
          <w:kern w:val="0"/>
          <w:sz w:val="24"/>
        </w:rPr>
        <w:t>2017</w:t>
      </w:r>
      <w:r w:rsidRPr="00F00B77">
        <w:rPr>
          <w:rFonts w:hint="eastAsia"/>
          <w:kern w:val="0"/>
          <w:sz w:val="24"/>
        </w:rPr>
        <w:t>年</w:t>
      </w:r>
      <w:r w:rsidR="00B26C1C">
        <w:rPr>
          <w:kern w:val="0"/>
          <w:sz w:val="24"/>
        </w:rPr>
        <w:t>7</w:t>
      </w:r>
      <w:r w:rsidRPr="00F00B77">
        <w:rPr>
          <w:rFonts w:hint="eastAsia"/>
          <w:kern w:val="0"/>
          <w:sz w:val="24"/>
        </w:rPr>
        <w:t>月</w:t>
      </w:r>
      <w:r w:rsidRPr="00F00B77">
        <w:rPr>
          <w:rFonts w:hint="eastAsia"/>
          <w:kern w:val="0"/>
          <w:sz w:val="24"/>
        </w:rPr>
        <w:t>27</w:t>
      </w:r>
      <w:r w:rsidRPr="00F00B77">
        <w:rPr>
          <w:rFonts w:hint="eastAsia"/>
          <w:kern w:val="0"/>
          <w:sz w:val="24"/>
        </w:rPr>
        <w:t>日，有关财务数据和净值表现截止日为</w:t>
      </w:r>
      <w:r w:rsidRPr="00F00B77">
        <w:rPr>
          <w:rFonts w:hint="eastAsia"/>
          <w:kern w:val="0"/>
          <w:sz w:val="24"/>
        </w:rPr>
        <w:t>201</w:t>
      </w:r>
      <w:r w:rsidR="00B26C1C">
        <w:rPr>
          <w:kern w:val="0"/>
          <w:sz w:val="24"/>
        </w:rPr>
        <w:t>7</w:t>
      </w:r>
      <w:r w:rsidRPr="00F00B77">
        <w:rPr>
          <w:rFonts w:hint="eastAsia"/>
          <w:kern w:val="0"/>
          <w:sz w:val="24"/>
        </w:rPr>
        <w:t>年</w:t>
      </w:r>
      <w:r w:rsidR="00B26C1C">
        <w:rPr>
          <w:kern w:val="0"/>
          <w:sz w:val="24"/>
        </w:rPr>
        <w:t>6</w:t>
      </w:r>
      <w:r w:rsidRPr="00F00B77">
        <w:rPr>
          <w:rFonts w:hint="eastAsia"/>
          <w:kern w:val="0"/>
          <w:sz w:val="24"/>
        </w:rPr>
        <w:t>月</w:t>
      </w:r>
      <w:r w:rsidRPr="00F00B77">
        <w:rPr>
          <w:rFonts w:hint="eastAsia"/>
          <w:kern w:val="0"/>
          <w:sz w:val="24"/>
        </w:rPr>
        <w:t>3</w:t>
      </w:r>
      <w:r w:rsidR="00B26C1C">
        <w:rPr>
          <w:kern w:val="0"/>
          <w:sz w:val="24"/>
        </w:rPr>
        <w:t>0</w:t>
      </w:r>
      <w:r w:rsidRPr="00F00B77">
        <w:rPr>
          <w:rFonts w:hint="eastAsia"/>
          <w:kern w:val="0"/>
          <w:sz w:val="24"/>
        </w:rPr>
        <w:t>日。本招募说明书所载的财务数据未经审计。</w:t>
      </w:r>
    </w:p>
    <w:p w14:paraId="6BBAF547" w14:textId="77777777" w:rsidR="006E1BCB" w:rsidRPr="00F00B77" w:rsidRDefault="006E1BCB">
      <w:pPr>
        <w:widowControl/>
        <w:adjustRightInd w:val="0"/>
        <w:snapToGrid w:val="0"/>
        <w:spacing w:line="360" w:lineRule="auto"/>
        <w:ind w:firstLineChars="200" w:firstLine="480"/>
        <w:rPr>
          <w:rFonts w:ascii="宋体" w:hAnsi="宋体"/>
          <w:kern w:val="0"/>
          <w:sz w:val="24"/>
        </w:rPr>
      </w:pPr>
    </w:p>
    <w:p w14:paraId="7E60A571" w14:textId="77777777" w:rsidR="00084DB4" w:rsidRPr="00F00B77" w:rsidRDefault="00084DB4" w:rsidP="004A3EE5">
      <w:pPr>
        <w:pStyle w:val="11"/>
        <w:adjustRightInd w:val="0"/>
        <w:snapToGrid w:val="0"/>
        <w:spacing w:beforeLines="50" w:before="143" w:line="276" w:lineRule="auto"/>
        <w:jc w:val="center"/>
        <w:rPr>
          <w:sz w:val="30"/>
          <w:szCs w:val="30"/>
        </w:rPr>
      </w:pPr>
      <w:r w:rsidRPr="00F00B77">
        <w:rPr>
          <w:rFonts w:ascii="宋体"/>
          <w:kern w:val="0"/>
          <w:sz w:val="30"/>
        </w:rPr>
        <w:br w:type="page"/>
      </w:r>
      <w:r w:rsidRPr="00F00B77">
        <w:rPr>
          <w:sz w:val="30"/>
          <w:szCs w:val="30"/>
        </w:rPr>
        <w:lastRenderedPageBreak/>
        <w:t>目 录</w:t>
      </w:r>
    </w:p>
    <w:bookmarkStart w:id="0" w:name="_Toc109537379"/>
    <w:p w14:paraId="2FAC873B" w14:textId="77777777" w:rsidR="00EA33AD" w:rsidRDefault="004A3EE5">
      <w:pPr>
        <w:pStyle w:val="11"/>
        <w:rPr>
          <w:rFonts w:asciiTheme="minorHAnsi" w:eastAsiaTheme="minorEastAsia" w:hAnsiTheme="minorHAnsi" w:cstheme="minorBidi"/>
          <w:noProof/>
          <w:sz w:val="21"/>
          <w:szCs w:val="22"/>
        </w:rPr>
      </w:pPr>
      <w:r w:rsidRPr="00F00B77">
        <w:fldChar w:fldCharType="begin"/>
      </w:r>
      <w:r w:rsidR="00084DB4" w:rsidRPr="00F00B77">
        <w:instrText xml:space="preserve"> TOC \o "1-1" \h \z \u </w:instrText>
      </w:r>
      <w:r w:rsidRPr="00F00B77">
        <w:fldChar w:fldCharType="separate"/>
      </w:r>
      <w:hyperlink w:anchor="_Toc491431664" w:history="1">
        <w:r w:rsidR="00EA33AD" w:rsidRPr="00A828F6">
          <w:rPr>
            <w:rStyle w:val="a4"/>
            <w:rFonts w:ascii="宋体" w:hint="eastAsia"/>
            <w:b/>
            <w:noProof/>
            <w:kern w:val="0"/>
          </w:rPr>
          <w:t>一、绪言</w:t>
        </w:r>
        <w:r w:rsidR="00EA33AD">
          <w:rPr>
            <w:noProof/>
            <w:webHidden/>
          </w:rPr>
          <w:tab/>
        </w:r>
        <w:r w:rsidR="00EA33AD">
          <w:rPr>
            <w:noProof/>
            <w:webHidden/>
          </w:rPr>
          <w:fldChar w:fldCharType="begin"/>
        </w:r>
        <w:r w:rsidR="00EA33AD">
          <w:rPr>
            <w:noProof/>
            <w:webHidden/>
          </w:rPr>
          <w:instrText xml:space="preserve"> PAGEREF _Toc491431664 \h </w:instrText>
        </w:r>
        <w:r w:rsidR="00EA33AD">
          <w:rPr>
            <w:noProof/>
            <w:webHidden/>
          </w:rPr>
        </w:r>
        <w:r w:rsidR="00EA33AD">
          <w:rPr>
            <w:noProof/>
            <w:webHidden/>
          </w:rPr>
          <w:fldChar w:fldCharType="separate"/>
        </w:r>
        <w:r w:rsidR="00EA33AD">
          <w:rPr>
            <w:noProof/>
            <w:webHidden/>
          </w:rPr>
          <w:t>5</w:t>
        </w:r>
        <w:r w:rsidR="00EA33AD">
          <w:rPr>
            <w:noProof/>
            <w:webHidden/>
          </w:rPr>
          <w:fldChar w:fldCharType="end"/>
        </w:r>
      </w:hyperlink>
    </w:p>
    <w:p w14:paraId="08CCBA7A" w14:textId="77777777" w:rsidR="00EA33AD" w:rsidRDefault="007972BD">
      <w:pPr>
        <w:pStyle w:val="11"/>
        <w:rPr>
          <w:rFonts w:asciiTheme="minorHAnsi" w:eastAsiaTheme="minorEastAsia" w:hAnsiTheme="minorHAnsi" w:cstheme="minorBidi"/>
          <w:noProof/>
          <w:sz w:val="21"/>
          <w:szCs w:val="22"/>
        </w:rPr>
      </w:pPr>
      <w:hyperlink w:anchor="_Toc491431665" w:history="1">
        <w:r w:rsidR="00EA33AD" w:rsidRPr="00A828F6">
          <w:rPr>
            <w:rStyle w:val="a4"/>
            <w:rFonts w:ascii="宋体" w:hint="eastAsia"/>
            <w:b/>
            <w:noProof/>
            <w:kern w:val="0"/>
          </w:rPr>
          <w:t>二、释义</w:t>
        </w:r>
        <w:r w:rsidR="00EA33AD">
          <w:rPr>
            <w:noProof/>
            <w:webHidden/>
          </w:rPr>
          <w:tab/>
        </w:r>
        <w:r w:rsidR="00EA33AD">
          <w:rPr>
            <w:noProof/>
            <w:webHidden/>
          </w:rPr>
          <w:fldChar w:fldCharType="begin"/>
        </w:r>
        <w:r w:rsidR="00EA33AD">
          <w:rPr>
            <w:noProof/>
            <w:webHidden/>
          </w:rPr>
          <w:instrText xml:space="preserve"> PAGEREF _Toc491431665 \h </w:instrText>
        </w:r>
        <w:r w:rsidR="00EA33AD">
          <w:rPr>
            <w:noProof/>
            <w:webHidden/>
          </w:rPr>
        </w:r>
        <w:r w:rsidR="00EA33AD">
          <w:rPr>
            <w:noProof/>
            <w:webHidden/>
          </w:rPr>
          <w:fldChar w:fldCharType="separate"/>
        </w:r>
        <w:r w:rsidR="00EA33AD">
          <w:rPr>
            <w:noProof/>
            <w:webHidden/>
          </w:rPr>
          <w:t>6</w:t>
        </w:r>
        <w:r w:rsidR="00EA33AD">
          <w:rPr>
            <w:noProof/>
            <w:webHidden/>
          </w:rPr>
          <w:fldChar w:fldCharType="end"/>
        </w:r>
      </w:hyperlink>
    </w:p>
    <w:p w14:paraId="311A9E35" w14:textId="77777777" w:rsidR="00EA33AD" w:rsidRDefault="007972BD">
      <w:pPr>
        <w:pStyle w:val="11"/>
        <w:rPr>
          <w:rFonts w:asciiTheme="minorHAnsi" w:eastAsiaTheme="minorEastAsia" w:hAnsiTheme="minorHAnsi" w:cstheme="minorBidi"/>
          <w:noProof/>
          <w:sz w:val="21"/>
          <w:szCs w:val="22"/>
        </w:rPr>
      </w:pPr>
      <w:hyperlink w:anchor="_Toc491431666" w:history="1">
        <w:r w:rsidR="00EA33AD" w:rsidRPr="00A828F6">
          <w:rPr>
            <w:rStyle w:val="a4"/>
            <w:rFonts w:ascii="宋体" w:hint="eastAsia"/>
            <w:b/>
            <w:noProof/>
            <w:kern w:val="0"/>
          </w:rPr>
          <w:t>三、基金管理人</w:t>
        </w:r>
        <w:r w:rsidR="00EA33AD">
          <w:rPr>
            <w:noProof/>
            <w:webHidden/>
          </w:rPr>
          <w:tab/>
        </w:r>
        <w:r w:rsidR="00EA33AD">
          <w:rPr>
            <w:noProof/>
            <w:webHidden/>
          </w:rPr>
          <w:fldChar w:fldCharType="begin"/>
        </w:r>
        <w:r w:rsidR="00EA33AD">
          <w:rPr>
            <w:noProof/>
            <w:webHidden/>
          </w:rPr>
          <w:instrText xml:space="preserve"> PAGEREF _Toc491431666 \h </w:instrText>
        </w:r>
        <w:r w:rsidR="00EA33AD">
          <w:rPr>
            <w:noProof/>
            <w:webHidden/>
          </w:rPr>
        </w:r>
        <w:r w:rsidR="00EA33AD">
          <w:rPr>
            <w:noProof/>
            <w:webHidden/>
          </w:rPr>
          <w:fldChar w:fldCharType="separate"/>
        </w:r>
        <w:r w:rsidR="00EA33AD">
          <w:rPr>
            <w:noProof/>
            <w:webHidden/>
          </w:rPr>
          <w:t>10</w:t>
        </w:r>
        <w:r w:rsidR="00EA33AD">
          <w:rPr>
            <w:noProof/>
            <w:webHidden/>
          </w:rPr>
          <w:fldChar w:fldCharType="end"/>
        </w:r>
      </w:hyperlink>
    </w:p>
    <w:p w14:paraId="65342075" w14:textId="77777777" w:rsidR="00EA33AD" w:rsidRDefault="007972BD">
      <w:pPr>
        <w:pStyle w:val="11"/>
        <w:rPr>
          <w:rFonts w:asciiTheme="minorHAnsi" w:eastAsiaTheme="minorEastAsia" w:hAnsiTheme="minorHAnsi" w:cstheme="minorBidi"/>
          <w:noProof/>
          <w:sz w:val="21"/>
          <w:szCs w:val="22"/>
        </w:rPr>
      </w:pPr>
      <w:hyperlink w:anchor="_Toc491431667" w:history="1">
        <w:r w:rsidR="00EA33AD" w:rsidRPr="00A828F6">
          <w:rPr>
            <w:rStyle w:val="a4"/>
            <w:rFonts w:ascii="宋体" w:hint="eastAsia"/>
            <w:b/>
            <w:noProof/>
            <w:kern w:val="0"/>
          </w:rPr>
          <w:t>四、基金托管人</w:t>
        </w:r>
        <w:r w:rsidR="00EA33AD">
          <w:rPr>
            <w:noProof/>
            <w:webHidden/>
          </w:rPr>
          <w:tab/>
        </w:r>
        <w:r w:rsidR="00EA33AD">
          <w:rPr>
            <w:noProof/>
            <w:webHidden/>
          </w:rPr>
          <w:fldChar w:fldCharType="begin"/>
        </w:r>
        <w:r w:rsidR="00EA33AD">
          <w:rPr>
            <w:noProof/>
            <w:webHidden/>
          </w:rPr>
          <w:instrText xml:space="preserve"> PAGEREF _Toc491431667 \h </w:instrText>
        </w:r>
        <w:r w:rsidR="00EA33AD">
          <w:rPr>
            <w:noProof/>
            <w:webHidden/>
          </w:rPr>
        </w:r>
        <w:r w:rsidR="00EA33AD">
          <w:rPr>
            <w:noProof/>
            <w:webHidden/>
          </w:rPr>
          <w:fldChar w:fldCharType="separate"/>
        </w:r>
        <w:r w:rsidR="00EA33AD">
          <w:rPr>
            <w:noProof/>
            <w:webHidden/>
          </w:rPr>
          <w:t>19</w:t>
        </w:r>
        <w:r w:rsidR="00EA33AD">
          <w:rPr>
            <w:noProof/>
            <w:webHidden/>
          </w:rPr>
          <w:fldChar w:fldCharType="end"/>
        </w:r>
      </w:hyperlink>
    </w:p>
    <w:p w14:paraId="1BCE141A" w14:textId="77777777" w:rsidR="00EA33AD" w:rsidRDefault="007972BD">
      <w:pPr>
        <w:pStyle w:val="11"/>
        <w:rPr>
          <w:rFonts w:asciiTheme="minorHAnsi" w:eastAsiaTheme="minorEastAsia" w:hAnsiTheme="minorHAnsi" w:cstheme="minorBidi"/>
          <w:noProof/>
          <w:sz w:val="21"/>
          <w:szCs w:val="22"/>
        </w:rPr>
      </w:pPr>
      <w:hyperlink w:anchor="_Toc491431668" w:history="1">
        <w:r w:rsidR="00EA33AD" w:rsidRPr="00A828F6">
          <w:rPr>
            <w:rStyle w:val="a4"/>
            <w:rFonts w:ascii="宋体" w:hint="eastAsia"/>
            <w:b/>
            <w:noProof/>
            <w:kern w:val="0"/>
          </w:rPr>
          <w:t>五、相关服务机构</w:t>
        </w:r>
        <w:r w:rsidR="00EA33AD">
          <w:rPr>
            <w:noProof/>
            <w:webHidden/>
          </w:rPr>
          <w:tab/>
        </w:r>
        <w:r w:rsidR="00EA33AD">
          <w:rPr>
            <w:noProof/>
            <w:webHidden/>
          </w:rPr>
          <w:fldChar w:fldCharType="begin"/>
        </w:r>
        <w:r w:rsidR="00EA33AD">
          <w:rPr>
            <w:noProof/>
            <w:webHidden/>
          </w:rPr>
          <w:instrText xml:space="preserve"> PAGEREF _Toc491431668 \h </w:instrText>
        </w:r>
        <w:r w:rsidR="00EA33AD">
          <w:rPr>
            <w:noProof/>
            <w:webHidden/>
          </w:rPr>
        </w:r>
        <w:r w:rsidR="00EA33AD">
          <w:rPr>
            <w:noProof/>
            <w:webHidden/>
          </w:rPr>
          <w:fldChar w:fldCharType="separate"/>
        </w:r>
        <w:r w:rsidR="00EA33AD">
          <w:rPr>
            <w:noProof/>
            <w:webHidden/>
          </w:rPr>
          <w:t>22</w:t>
        </w:r>
        <w:r w:rsidR="00EA33AD">
          <w:rPr>
            <w:noProof/>
            <w:webHidden/>
          </w:rPr>
          <w:fldChar w:fldCharType="end"/>
        </w:r>
      </w:hyperlink>
    </w:p>
    <w:p w14:paraId="4BE5FCFD" w14:textId="77777777" w:rsidR="00EA33AD" w:rsidRDefault="007972BD">
      <w:pPr>
        <w:pStyle w:val="11"/>
        <w:rPr>
          <w:rFonts w:asciiTheme="minorHAnsi" w:eastAsiaTheme="minorEastAsia" w:hAnsiTheme="minorHAnsi" w:cstheme="minorBidi"/>
          <w:noProof/>
          <w:sz w:val="21"/>
          <w:szCs w:val="22"/>
        </w:rPr>
      </w:pPr>
      <w:hyperlink w:anchor="_Toc491431669" w:history="1">
        <w:r w:rsidR="00EA33AD" w:rsidRPr="00A828F6">
          <w:rPr>
            <w:rStyle w:val="a4"/>
            <w:rFonts w:ascii="宋体" w:hint="eastAsia"/>
            <w:b/>
            <w:noProof/>
            <w:kern w:val="0"/>
          </w:rPr>
          <w:t>六、基金的募集</w:t>
        </w:r>
        <w:r w:rsidR="00EA33AD">
          <w:rPr>
            <w:noProof/>
            <w:webHidden/>
          </w:rPr>
          <w:tab/>
        </w:r>
        <w:r w:rsidR="00EA33AD">
          <w:rPr>
            <w:noProof/>
            <w:webHidden/>
          </w:rPr>
          <w:fldChar w:fldCharType="begin"/>
        </w:r>
        <w:r w:rsidR="00EA33AD">
          <w:rPr>
            <w:noProof/>
            <w:webHidden/>
          </w:rPr>
          <w:instrText xml:space="preserve"> PAGEREF _Toc491431669 \h </w:instrText>
        </w:r>
        <w:r w:rsidR="00EA33AD">
          <w:rPr>
            <w:noProof/>
            <w:webHidden/>
          </w:rPr>
        </w:r>
        <w:r w:rsidR="00EA33AD">
          <w:rPr>
            <w:noProof/>
            <w:webHidden/>
          </w:rPr>
          <w:fldChar w:fldCharType="separate"/>
        </w:r>
        <w:r w:rsidR="00EA33AD">
          <w:rPr>
            <w:noProof/>
            <w:webHidden/>
          </w:rPr>
          <w:t>25</w:t>
        </w:r>
        <w:r w:rsidR="00EA33AD">
          <w:rPr>
            <w:noProof/>
            <w:webHidden/>
          </w:rPr>
          <w:fldChar w:fldCharType="end"/>
        </w:r>
      </w:hyperlink>
    </w:p>
    <w:p w14:paraId="5127640E" w14:textId="77777777" w:rsidR="00EA33AD" w:rsidRDefault="007972BD">
      <w:pPr>
        <w:pStyle w:val="11"/>
        <w:rPr>
          <w:rFonts w:asciiTheme="minorHAnsi" w:eastAsiaTheme="minorEastAsia" w:hAnsiTheme="minorHAnsi" w:cstheme="minorBidi"/>
          <w:noProof/>
          <w:sz w:val="21"/>
          <w:szCs w:val="22"/>
        </w:rPr>
      </w:pPr>
      <w:hyperlink w:anchor="_Toc491431670" w:history="1">
        <w:r w:rsidR="00EA33AD" w:rsidRPr="00A828F6">
          <w:rPr>
            <w:rStyle w:val="a4"/>
            <w:rFonts w:ascii="宋体" w:hint="eastAsia"/>
            <w:b/>
            <w:noProof/>
            <w:kern w:val="0"/>
          </w:rPr>
          <w:t>七、基金合同的生效</w:t>
        </w:r>
        <w:r w:rsidR="00EA33AD">
          <w:rPr>
            <w:noProof/>
            <w:webHidden/>
          </w:rPr>
          <w:tab/>
        </w:r>
        <w:r w:rsidR="00EA33AD">
          <w:rPr>
            <w:noProof/>
            <w:webHidden/>
          </w:rPr>
          <w:fldChar w:fldCharType="begin"/>
        </w:r>
        <w:r w:rsidR="00EA33AD">
          <w:rPr>
            <w:noProof/>
            <w:webHidden/>
          </w:rPr>
          <w:instrText xml:space="preserve"> PAGEREF _Toc491431670 \h </w:instrText>
        </w:r>
        <w:r w:rsidR="00EA33AD">
          <w:rPr>
            <w:noProof/>
            <w:webHidden/>
          </w:rPr>
        </w:r>
        <w:r w:rsidR="00EA33AD">
          <w:rPr>
            <w:noProof/>
            <w:webHidden/>
          </w:rPr>
          <w:fldChar w:fldCharType="separate"/>
        </w:r>
        <w:r w:rsidR="00EA33AD">
          <w:rPr>
            <w:noProof/>
            <w:webHidden/>
          </w:rPr>
          <w:t>26</w:t>
        </w:r>
        <w:r w:rsidR="00EA33AD">
          <w:rPr>
            <w:noProof/>
            <w:webHidden/>
          </w:rPr>
          <w:fldChar w:fldCharType="end"/>
        </w:r>
      </w:hyperlink>
    </w:p>
    <w:p w14:paraId="6F36475F" w14:textId="77777777" w:rsidR="00EA33AD" w:rsidRDefault="007972BD">
      <w:pPr>
        <w:pStyle w:val="11"/>
        <w:rPr>
          <w:rFonts w:asciiTheme="minorHAnsi" w:eastAsiaTheme="minorEastAsia" w:hAnsiTheme="minorHAnsi" w:cstheme="minorBidi"/>
          <w:noProof/>
          <w:sz w:val="21"/>
          <w:szCs w:val="22"/>
        </w:rPr>
      </w:pPr>
      <w:hyperlink w:anchor="_Toc491431671" w:history="1">
        <w:r w:rsidR="00EA33AD" w:rsidRPr="00A828F6">
          <w:rPr>
            <w:rStyle w:val="a4"/>
            <w:rFonts w:ascii="宋体" w:hint="eastAsia"/>
            <w:b/>
            <w:noProof/>
            <w:kern w:val="0"/>
          </w:rPr>
          <w:t>八、基金份额的申购与赎回</w:t>
        </w:r>
        <w:r w:rsidR="00EA33AD">
          <w:rPr>
            <w:noProof/>
            <w:webHidden/>
          </w:rPr>
          <w:tab/>
        </w:r>
        <w:r w:rsidR="00EA33AD">
          <w:rPr>
            <w:noProof/>
            <w:webHidden/>
          </w:rPr>
          <w:fldChar w:fldCharType="begin"/>
        </w:r>
        <w:r w:rsidR="00EA33AD">
          <w:rPr>
            <w:noProof/>
            <w:webHidden/>
          </w:rPr>
          <w:instrText xml:space="preserve"> PAGEREF _Toc491431671 \h </w:instrText>
        </w:r>
        <w:r w:rsidR="00EA33AD">
          <w:rPr>
            <w:noProof/>
            <w:webHidden/>
          </w:rPr>
        </w:r>
        <w:r w:rsidR="00EA33AD">
          <w:rPr>
            <w:noProof/>
            <w:webHidden/>
          </w:rPr>
          <w:fldChar w:fldCharType="separate"/>
        </w:r>
        <w:r w:rsidR="00EA33AD">
          <w:rPr>
            <w:noProof/>
            <w:webHidden/>
          </w:rPr>
          <w:t>27</w:t>
        </w:r>
        <w:r w:rsidR="00EA33AD">
          <w:rPr>
            <w:noProof/>
            <w:webHidden/>
          </w:rPr>
          <w:fldChar w:fldCharType="end"/>
        </w:r>
      </w:hyperlink>
    </w:p>
    <w:p w14:paraId="105D02FF" w14:textId="77777777" w:rsidR="00EA33AD" w:rsidRDefault="007972BD">
      <w:pPr>
        <w:pStyle w:val="11"/>
        <w:rPr>
          <w:rFonts w:asciiTheme="minorHAnsi" w:eastAsiaTheme="minorEastAsia" w:hAnsiTheme="minorHAnsi" w:cstheme="minorBidi"/>
          <w:noProof/>
          <w:sz w:val="21"/>
          <w:szCs w:val="22"/>
        </w:rPr>
      </w:pPr>
      <w:hyperlink w:anchor="_Toc491431672" w:history="1">
        <w:r w:rsidR="00EA33AD" w:rsidRPr="00A828F6">
          <w:rPr>
            <w:rStyle w:val="a4"/>
            <w:rFonts w:ascii="宋体" w:hint="eastAsia"/>
            <w:b/>
            <w:noProof/>
            <w:kern w:val="0"/>
          </w:rPr>
          <w:t>九、基金的投资</w:t>
        </w:r>
        <w:r w:rsidR="00EA33AD">
          <w:rPr>
            <w:noProof/>
            <w:webHidden/>
          </w:rPr>
          <w:tab/>
        </w:r>
        <w:r w:rsidR="00EA33AD">
          <w:rPr>
            <w:noProof/>
            <w:webHidden/>
          </w:rPr>
          <w:fldChar w:fldCharType="begin"/>
        </w:r>
        <w:r w:rsidR="00EA33AD">
          <w:rPr>
            <w:noProof/>
            <w:webHidden/>
          </w:rPr>
          <w:instrText xml:space="preserve"> PAGEREF _Toc491431672 \h </w:instrText>
        </w:r>
        <w:r w:rsidR="00EA33AD">
          <w:rPr>
            <w:noProof/>
            <w:webHidden/>
          </w:rPr>
        </w:r>
        <w:r w:rsidR="00EA33AD">
          <w:rPr>
            <w:noProof/>
            <w:webHidden/>
          </w:rPr>
          <w:fldChar w:fldCharType="separate"/>
        </w:r>
        <w:r w:rsidR="00EA33AD">
          <w:rPr>
            <w:noProof/>
            <w:webHidden/>
          </w:rPr>
          <w:t>37</w:t>
        </w:r>
        <w:r w:rsidR="00EA33AD">
          <w:rPr>
            <w:noProof/>
            <w:webHidden/>
          </w:rPr>
          <w:fldChar w:fldCharType="end"/>
        </w:r>
      </w:hyperlink>
    </w:p>
    <w:p w14:paraId="5B48B14C" w14:textId="77777777" w:rsidR="00EA33AD" w:rsidRDefault="007972BD">
      <w:pPr>
        <w:pStyle w:val="11"/>
        <w:rPr>
          <w:rFonts w:asciiTheme="minorHAnsi" w:eastAsiaTheme="minorEastAsia" w:hAnsiTheme="minorHAnsi" w:cstheme="minorBidi"/>
          <w:noProof/>
          <w:sz w:val="21"/>
          <w:szCs w:val="22"/>
        </w:rPr>
      </w:pPr>
      <w:hyperlink w:anchor="_Toc491431673" w:history="1">
        <w:r w:rsidR="00EA33AD" w:rsidRPr="00A828F6">
          <w:rPr>
            <w:rStyle w:val="a4"/>
            <w:rFonts w:ascii="宋体" w:hint="eastAsia"/>
            <w:b/>
            <w:noProof/>
            <w:kern w:val="0"/>
          </w:rPr>
          <w:t>十、基金的业绩</w:t>
        </w:r>
        <w:r w:rsidR="00EA33AD">
          <w:rPr>
            <w:noProof/>
            <w:webHidden/>
          </w:rPr>
          <w:tab/>
        </w:r>
        <w:r w:rsidR="00EA33AD">
          <w:rPr>
            <w:noProof/>
            <w:webHidden/>
          </w:rPr>
          <w:fldChar w:fldCharType="begin"/>
        </w:r>
        <w:r w:rsidR="00EA33AD">
          <w:rPr>
            <w:noProof/>
            <w:webHidden/>
          </w:rPr>
          <w:instrText xml:space="preserve"> PAGEREF _Toc491431673 \h </w:instrText>
        </w:r>
        <w:r w:rsidR="00EA33AD">
          <w:rPr>
            <w:noProof/>
            <w:webHidden/>
          </w:rPr>
        </w:r>
        <w:r w:rsidR="00EA33AD">
          <w:rPr>
            <w:noProof/>
            <w:webHidden/>
          </w:rPr>
          <w:fldChar w:fldCharType="separate"/>
        </w:r>
        <w:r w:rsidR="00EA33AD">
          <w:rPr>
            <w:noProof/>
            <w:webHidden/>
          </w:rPr>
          <w:t>51</w:t>
        </w:r>
        <w:r w:rsidR="00EA33AD">
          <w:rPr>
            <w:noProof/>
            <w:webHidden/>
          </w:rPr>
          <w:fldChar w:fldCharType="end"/>
        </w:r>
      </w:hyperlink>
    </w:p>
    <w:p w14:paraId="0EC6A773" w14:textId="77777777" w:rsidR="00EA33AD" w:rsidRDefault="007972BD">
      <w:pPr>
        <w:pStyle w:val="11"/>
        <w:rPr>
          <w:rFonts w:asciiTheme="minorHAnsi" w:eastAsiaTheme="minorEastAsia" w:hAnsiTheme="minorHAnsi" w:cstheme="minorBidi"/>
          <w:noProof/>
          <w:sz w:val="21"/>
          <w:szCs w:val="22"/>
        </w:rPr>
      </w:pPr>
      <w:hyperlink w:anchor="_Toc491431674" w:history="1">
        <w:r w:rsidR="00EA33AD" w:rsidRPr="00A828F6">
          <w:rPr>
            <w:rStyle w:val="a4"/>
            <w:rFonts w:ascii="宋体" w:hint="eastAsia"/>
            <w:b/>
            <w:noProof/>
            <w:kern w:val="0"/>
          </w:rPr>
          <w:t>十一、基金的财产</w:t>
        </w:r>
        <w:r w:rsidR="00EA33AD">
          <w:rPr>
            <w:noProof/>
            <w:webHidden/>
          </w:rPr>
          <w:tab/>
        </w:r>
        <w:r w:rsidR="00EA33AD">
          <w:rPr>
            <w:noProof/>
            <w:webHidden/>
          </w:rPr>
          <w:fldChar w:fldCharType="begin"/>
        </w:r>
        <w:r w:rsidR="00EA33AD">
          <w:rPr>
            <w:noProof/>
            <w:webHidden/>
          </w:rPr>
          <w:instrText xml:space="preserve"> PAGEREF _Toc491431674 \h </w:instrText>
        </w:r>
        <w:r w:rsidR="00EA33AD">
          <w:rPr>
            <w:noProof/>
            <w:webHidden/>
          </w:rPr>
        </w:r>
        <w:r w:rsidR="00EA33AD">
          <w:rPr>
            <w:noProof/>
            <w:webHidden/>
          </w:rPr>
          <w:fldChar w:fldCharType="separate"/>
        </w:r>
        <w:r w:rsidR="00EA33AD">
          <w:rPr>
            <w:noProof/>
            <w:webHidden/>
          </w:rPr>
          <w:t>55</w:t>
        </w:r>
        <w:r w:rsidR="00EA33AD">
          <w:rPr>
            <w:noProof/>
            <w:webHidden/>
          </w:rPr>
          <w:fldChar w:fldCharType="end"/>
        </w:r>
      </w:hyperlink>
    </w:p>
    <w:p w14:paraId="76129D66" w14:textId="77777777" w:rsidR="00EA33AD" w:rsidRDefault="007972BD">
      <w:pPr>
        <w:pStyle w:val="11"/>
        <w:rPr>
          <w:rFonts w:asciiTheme="minorHAnsi" w:eastAsiaTheme="minorEastAsia" w:hAnsiTheme="minorHAnsi" w:cstheme="minorBidi"/>
          <w:noProof/>
          <w:sz w:val="21"/>
          <w:szCs w:val="22"/>
        </w:rPr>
      </w:pPr>
      <w:hyperlink w:anchor="_Toc491431675" w:history="1">
        <w:r w:rsidR="00EA33AD" w:rsidRPr="00A828F6">
          <w:rPr>
            <w:rStyle w:val="a4"/>
            <w:rFonts w:ascii="宋体" w:hint="eastAsia"/>
            <w:b/>
            <w:noProof/>
            <w:kern w:val="0"/>
          </w:rPr>
          <w:t>十二、基金资产的估值</w:t>
        </w:r>
        <w:r w:rsidR="00EA33AD">
          <w:rPr>
            <w:noProof/>
            <w:webHidden/>
          </w:rPr>
          <w:tab/>
        </w:r>
        <w:r w:rsidR="00EA33AD">
          <w:rPr>
            <w:noProof/>
            <w:webHidden/>
          </w:rPr>
          <w:fldChar w:fldCharType="begin"/>
        </w:r>
        <w:r w:rsidR="00EA33AD">
          <w:rPr>
            <w:noProof/>
            <w:webHidden/>
          </w:rPr>
          <w:instrText xml:space="preserve"> PAGEREF _Toc491431675 \h </w:instrText>
        </w:r>
        <w:r w:rsidR="00EA33AD">
          <w:rPr>
            <w:noProof/>
            <w:webHidden/>
          </w:rPr>
        </w:r>
        <w:r w:rsidR="00EA33AD">
          <w:rPr>
            <w:noProof/>
            <w:webHidden/>
          </w:rPr>
          <w:fldChar w:fldCharType="separate"/>
        </w:r>
        <w:r w:rsidR="00EA33AD">
          <w:rPr>
            <w:noProof/>
            <w:webHidden/>
          </w:rPr>
          <w:t>56</w:t>
        </w:r>
        <w:r w:rsidR="00EA33AD">
          <w:rPr>
            <w:noProof/>
            <w:webHidden/>
          </w:rPr>
          <w:fldChar w:fldCharType="end"/>
        </w:r>
      </w:hyperlink>
    </w:p>
    <w:p w14:paraId="432D3BDB" w14:textId="77777777" w:rsidR="00EA33AD" w:rsidRDefault="007972BD">
      <w:pPr>
        <w:pStyle w:val="11"/>
        <w:rPr>
          <w:rFonts w:asciiTheme="minorHAnsi" w:eastAsiaTheme="minorEastAsia" w:hAnsiTheme="minorHAnsi" w:cstheme="minorBidi"/>
          <w:noProof/>
          <w:sz w:val="21"/>
          <w:szCs w:val="22"/>
        </w:rPr>
      </w:pPr>
      <w:hyperlink w:anchor="_Toc491431676" w:history="1">
        <w:r w:rsidR="00EA33AD" w:rsidRPr="00A828F6">
          <w:rPr>
            <w:rStyle w:val="a4"/>
            <w:rFonts w:ascii="宋体" w:hint="eastAsia"/>
            <w:b/>
            <w:noProof/>
            <w:kern w:val="0"/>
          </w:rPr>
          <w:t>十三、基金收益与分配</w:t>
        </w:r>
        <w:r w:rsidR="00EA33AD">
          <w:rPr>
            <w:noProof/>
            <w:webHidden/>
          </w:rPr>
          <w:tab/>
        </w:r>
        <w:r w:rsidR="00EA33AD">
          <w:rPr>
            <w:noProof/>
            <w:webHidden/>
          </w:rPr>
          <w:fldChar w:fldCharType="begin"/>
        </w:r>
        <w:r w:rsidR="00EA33AD">
          <w:rPr>
            <w:noProof/>
            <w:webHidden/>
          </w:rPr>
          <w:instrText xml:space="preserve"> PAGEREF _Toc491431676 \h </w:instrText>
        </w:r>
        <w:r w:rsidR="00EA33AD">
          <w:rPr>
            <w:noProof/>
            <w:webHidden/>
          </w:rPr>
        </w:r>
        <w:r w:rsidR="00EA33AD">
          <w:rPr>
            <w:noProof/>
            <w:webHidden/>
          </w:rPr>
          <w:fldChar w:fldCharType="separate"/>
        </w:r>
        <w:r w:rsidR="00EA33AD">
          <w:rPr>
            <w:noProof/>
            <w:webHidden/>
          </w:rPr>
          <w:t>61</w:t>
        </w:r>
        <w:r w:rsidR="00EA33AD">
          <w:rPr>
            <w:noProof/>
            <w:webHidden/>
          </w:rPr>
          <w:fldChar w:fldCharType="end"/>
        </w:r>
      </w:hyperlink>
    </w:p>
    <w:p w14:paraId="395E0651" w14:textId="77777777" w:rsidR="00EA33AD" w:rsidRDefault="007972BD">
      <w:pPr>
        <w:pStyle w:val="11"/>
        <w:rPr>
          <w:rFonts w:asciiTheme="minorHAnsi" w:eastAsiaTheme="minorEastAsia" w:hAnsiTheme="minorHAnsi" w:cstheme="minorBidi"/>
          <w:noProof/>
          <w:sz w:val="21"/>
          <w:szCs w:val="22"/>
        </w:rPr>
      </w:pPr>
      <w:hyperlink w:anchor="_Toc491431677" w:history="1">
        <w:r w:rsidR="00EA33AD" w:rsidRPr="00A828F6">
          <w:rPr>
            <w:rStyle w:val="a4"/>
            <w:rFonts w:ascii="宋体" w:hint="eastAsia"/>
            <w:b/>
            <w:noProof/>
            <w:kern w:val="0"/>
          </w:rPr>
          <w:t>十四、基金的费用与税收</w:t>
        </w:r>
        <w:r w:rsidR="00EA33AD">
          <w:rPr>
            <w:noProof/>
            <w:webHidden/>
          </w:rPr>
          <w:tab/>
        </w:r>
        <w:r w:rsidR="00EA33AD">
          <w:rPr>
            <w:noProof/>
            <w:webHidden/>
          </w:rPr>
          <w:fldChar w:fldCharType="begin"/>
        </w:r>
        <w:r w:rsidR="00EA33AD">
          <w:rPr>
            <w:noProof/>
            <w:webHidden/>
          </w:rPr>
          <w:instrText xml:space="preserve"> PAGEREF _Toc491431677 \h </w:instrText>
        </w:r>
        <w:r w:rsidR="00EA33AD">
          <w:rPr>
            <w:noProof/>
            <w:webHidden/>
          </w:rPr>
        </w:r>
        <w:r w:rsidR="00EA33AD">
          <w:rPr>
            <w:noProof/>
            <w:webHidden/>
          </w:rPr>
          <w:fldChar w:fldCharType="separate"/>
        </w:r>
        <w:r w:rsidR="00EA33AD">
          <w:rPr>
            <w:noProof/>
            <w:webHidden/>
          </w:rPr>
          <w:t>63</w:t>
        </w:r>
        <w:r w:rsidR="00EA33AD">
          <w:rPr>
            <w:noProof/>
            <w:webHidden/>
          </w:rPr>
          <w:fldChar w:fldCharType="end"/>
        </w:r>
      </w:hyperlink>
    </w:p>
    <w:p w14:paraId="67252F62" w14:textId="77777777" w:rsidR="00EA33AD" w:rsidRDefault="007972BD">
      <w:pPr>
        <w:pStyle w:val="11"/>
        <w:rPr>
          <w:rFonts w:asciiTheme="minorHAnsi" w:eastAsiaTheme="minorEastAsia" w:hAnsiTheme="minorHAnsi" w:cstheme="minorBidi"/>
          <w:noProof/>
          <w:sz w:val="21"/>
          <w:szCs w:val="22"/>
        </w:rPr>
      </w:pPr>
      <w:hyperlink w:anchor="_Toc491431678" w:history="1">
        <w:r w:rsidR="00EA33AD" w:rsidRPr="00A828F6">
          <w:rPr>
            <w:rStyle w:val="a4"/>
            <w:rFonts w:ascii="宋体" w:hint="eastAsia"/>
            <w:b/>
            <w:noProof/>
            <w:kern w:val="0"/>
          </w:rPr>
          <w:t>十五、基金的会计与审计</w:t>
        </w:r>
        <w:r w:rsidR="00EA33AD">
          <w:rPr>
            <w:noProof/>
            <w:webHidden/>
          </w:rPr>
          <w:tab/>
        </w:r>
        <w:r w:rsidR="00EA33AD">
          <w:rPr>
            <w:noProof/>
            <w:webHidden/>
          </w:rPr>
          <w:fldChar w:fldCharType="begin"/>
        </w:r>
        <w:r w:rsidR="00EA33AD">
          <w:rPr>
            <w:noProof/>
            <w:webHidden/>
          </w:rPr>
          <w:instrText xml:space="preserve"> PAGEREF _Toc491431678 \h </w:instrText>
        </w:r>
        <w:r w:rsidR="00EA33AD">
          <w:rPr>
            <w:noProof/>
            <w:webHidden/>
          </w:rPr>
        </w:r>
        <w:r w:rsidR="00EA33AD">
          <w:rPr>
            <w:noProof/>
            <w:webHidden/>
          </w:rPr>
          <w:fldChar w:fldCharType="separate"/>
        </w:r>
        <w:r w:rsidR="00EA33AD">
          <w:rPr>
            <w:noProof/>
            <w:webHidden/>
          </w:rPr>
          <w:t>66</w:t>
        </w:r>
        <w:r w:rsidR="00EA33AD">
          <w:rPr>
            <w:noProof/>
            <w:webHidden/>
          </w:rPr>
          <w:fldChar w:fldCharType="end"/>
        </w:r>
      </w:hyperlink>
    </w:p>
    <w:p w14:paraId="1897BA44" w14:textId="77777777" w:rsidR="00EA33AD" w:rsidRDefault="007972BD">
      <w:pPr>
        <w:pStyle w:val="11"/>
        <w:rPr>
          <w:rFonts w:asciiTheme="minorHAnsi" w:eastAsiaTheme="minorEastAsia" w:hAnsiTheme="minorHAnsi" w:cstheme="minorBidi"/>
          <w:noProof/>
          <w:sz w:val="21"/>
          <w:szCs w:val="22"/>
        </w:rPr>
      </w:pPr>
      <w:hyperlink w:anchor="_Toc491431679" w:history="1">
        <w:r w:rsidR="00EA33AD" w:rsidRPr="00A828F6">
          <w:rPr>
            <w:rStyle w:val="a4"/>
            <w:rFonts w:ascii="宋体" w:hint="eastAsia"/>
            <w:b/>
            <w:noProof/>
            <w:kern w:val="0"/>
          </w:rPr>
          <w:t>十六、基金的信息披露</w:t>
        </w:r>
        <w:r w:rsidR="00EA33AD">
          <w:rPr>
            <w:noProof/>
            <w:webHidden/>
          </w:rPr>
          <w:tab/>
        </w:r>
        <w:r w:rsidR="00EA33AD">
          <w:rPr>
            <w:noProof/>
            <w:webHidden/>
          </w:rPr>
          <w:fldChar w:fldCharType="begin"/>
        </w:r>
        <w:r w:rsidR="00EA33AD">
          <w:rPr>
            <w:noProof/>
            <w:webHidden/>
          </w:rPr>
          <w:instrText xml:space="preserve"> PAGEREF _Toc491431679 \h </w:instrText>
        </w:r>
        <w:r w:rsidR="00EA33AD">
          <w:rPr>
            <w:noProof/>
            <w:webHidden/>
          </w:rPr>
        </w:r>
        <w:r w:rsidR="00EA33AD">
          <w:rPr>
            <w:noProof/>
            <w:webHidden/>
          </w:rPr>
          <w:fldChar w:fldCharType="separate"/>
        </w:r>
        <w:r w:rsidR="00EA33AD">
          <w:rPr>
            <w:noProof/>
            <w:webHidden/>
          </w:rPr>
          <w:t>67</w:t>
        </w:r>
        <w:r w:rsidR="00EA33AD">
          <w:rPr>
            <w:noProof/>
            <w:webHidden/>
          </w:rPr>
          <w:fldChar w:fldCharType="end"/>
        </w:r>
      </w:hyperlink>
    </w:p>
    <w:p w14:paraId="0FD17941" w14:textId="77777777" w:rsidR="00EA33AD" w:rsidRDefault="007972BD">
      <w:pPr>
        <w:pStyle w:val="11"/>
        <w:rPr>
          <w:rFonts w:asciiTheme="minorHAnsi" w:eastAsiaTheme="minorEastAsia" w:hAnsiTheme="minorHAnsi" w:cstheme="minorBidi"/>
          <w:noProof/>
          <w:sz w:val="21"/>
          <w:szCs w:val="22"/>
        </w:rPr>
      </w:pPr>
      <w:hyperlink w:anchor="_Toc491431680" w:history="1">
        <w:r w:rsidR="00EA33AD" w:rsidRPr="00A828F6">
          <w:rPr>
            <w:rStyle w:val="a4"/>
            <w:rFonts w:ascii="宋体" w:hint="eastAsia"/>
            <w:b/>
            <w:noProof/>
            <w:kern w:val="0"/>
          </w:rPr>
          <w:t>十七、风险揭示</w:t>
        </w:r>
        <w:r w:rsidR="00EA33AD">
          <w:rPr>
            <w:noProof/>
            <w:webHidden/>
          </w:rPr>
          <w:tab/>
        </w:r>
        <w:r w:rsidR="00EA33AD">
          <w:rPr>
            <w:noProof/>
            <w:webHidden/>
          </w:rPr>
          <w:fldChar w:fldCharType="begin"/>
        </w:r>
        <w:r w:rsidR="00EA33AD">
          <w:rPr>
            <w:noProof/>
            <w:webHidden/>
          </w:rPr>
          <w:instrText xml:space="preserve"> PAGEREF _Toc491431680 \h </w:instrText>
        </w:r>
        <w:r w:rsidR="00EA33AD">
          <w:rPr>
            <w:noProof/>
            <w:webHidden/>
          </w:rPr>
        </w:r>
        <w:r w:rsidR="00EA33AD">
          <w:rPr>
            <w:noProof/>
            <w:webHidden/>
          </w:rPr>
          <w:fldChar w:fldCharType="separate"/>
        </w:r>
        <w:r w:rsidR="00EA33AD">
          <w:rPr>
            <w:noProof/>
            <w:webHidden/>
          </w:rPr>
          <w:t>73</w:t>
        </w:r>
        <w:r w:rsidR="00EA33AD">
          <w:rPr>
            <w:noProof/>
            <w:webHidden/>
          </w:rPr>
          <w:fldChar w:fldCharType="end"/>
        </w:r>
      </w:hyperlink>
    </w:p>
    <w:p w14:paraId="72256F14" w14:textId="77777777" w:rsidR="00EA33AD" w:rsidRDefault="007972BD">
      <w:pPr>
        <w:pStyle w:val="11"/>
        <w:rPr>
          <w:rFonts w:asciiTheme="minorHAnsi" w:eastAsiaTheme="minorEastAsia" w:hAnsiTheme="minorHAnsi" w:cstheme="minorBidi"/>
          <w:noProof/>
          <w:sz w:val="21"/>
          <w:szCs w:val="22"/>
        </w:rPr>
      </w:pPr>
      <w:hyperlink w:anchor="_Toc491431681" w:history="1">
        <w:r w:rsidR="00EA33AD" w:rsidRPr="00A828F6">
          <w:rPr>
            <w:rStyle w:val="a4"/>
            <w:rFonts w:hint="eastAsia"/>
            <w:b/>
            <w:noProof/>
            <w:kern w:val="0"/>
          </w:rPr>
          <w:t>十八、基金合同的变更、终止与基金财产的清算</w:t>
        </w:r>
        <w:r w:rsidR="00EA33AD">
          <w:rPr>
            <w:noProof/>
            <w:webHidden/>
          </w:rPr>
          <w:tab/>
        </w:r>
        <w:r w:rsidR="00EA33AD">
          <w:rPr>
            <w:noProof/>
            <w:webHidden/>
          </w:rPr>
          <w:fldChar w:fldCharType="begin"/>
        </w:r>
        <w:r w:rsidR="00EA33AD">
          <w:rPr>
            <w:noProof/>
            <w:webHidden/>
          </w:rPr>
          <w:instrText xml:space="preserve"> PAGEREF _Toc491431681 \h </w:instrText>
        </w:r>
        <w:r w:rsidR="00EA33AD">
          <w:rPr>
            <w:noProof/>
            <w:webHidden/>
          </w:rPr>
        </w:r>
        <w:r w:rsidR="00EA33AD">
          <w:rPr>
            <w:noProof/>
            <w:webHidden/>
          </w:rPr>
          <w:fldChar w:fldCharType="separate"/>
        </w:r>
        <w:r w:rsidR="00EA33AD">
          <w:rPr>
            <w:noProof/>
            <w:webHidden/>
          </w:rPr>
          <w:t>77</w:t>
        </w:r>
        <w:r w:rsidR="00EA33AD">
          <w:rPr>
            <w:noProof/>
            <w:webHidden/>
          </w:rPr>
          <w:fldChar w:fldCharType="end"/>
        </w:r>
      </w:hyperlink>
    </w:p>
    <w:p w14:paraId="21234283" w14:textId="77777777" w:rsidR="00EA33AD" w:rsidRDefault="007972BD">
      <w:pPr>
        <w:pStyle w:val="11"/>
        <w:rPr>
          <w:rFonts w:asciiTheme="minorHAnsi" w:eastAsiaTheme="minorEastAsia" w:hAnsiTheme="minorHAnsi" w:cstheme="minorBidi"/>
          <w:noProof/>
          <w:sz w:val="21"/>
          <w:szCs w:val="22"/>
        </w:rPr>
      </w:pPr>
      <w:hyperlink w:anchor="_Toc491431682" w:history="1">
        <w:r w:rsidR="00EA33AD" w:rsidRPr="00A828F6">
          <w:rPr>
            <w:rStyle w:val="a4"/>
            <w:rFonts w:ascii="宋体" w:hint="eastAsia"/>
            <w:b/>
            <w:noProof/>
            <w:kern w:val="0"/>
          </w:rPr>
          <w:t>十九、基金合同内容摘要</w:t>
        </w:r>
        <w:r w:rsidR="00EA33AD">
          <w:rPr>
            <w:noProof/>
            <w:webHidden/>
          </w:rPr>
          <w:tab/>
        </w:r>
        <w:r w:rsidR="00EA33AD">
          <w:rPr>
            <w:noProof/>
            <w:webHidden/>
          </w:rPr>
          <w:fldChar w:fldCharType="begin"/>
        </w:r>
        <w:r w:rsidR="00EA33AD">
          <w:rPr>
            <w:noProof/>
            <w:webHidden/>
          </w:rPr>
          <w:instrText xml:space="preserve"> PAGEREF _Toc491431682 \h </w:instrText>
        </w:r>
        <w:r w:rsidR="00EA33AD">
          <w:rPr>
            <w:noProof/>
            <w:webHidden/>
          </w:rPr>
        </w:r>
        <w:r w:rsidR="00EA33AD">
          <w:rPr>
            <w:noProof/>
            <w:webHidden/>
          </w:rPr>
          <w:fldChar w:fldCharType="separate"/>
        </w:r>
        <w:r w:rsidR="00EA33AD">
          <w:rPr>
            <w:noProof/>
            <w:webHidden/>
          </w:rPr>
          <w:t>79</w:t>
        </w:r>
        <w:r w:rsidR="00EA33AD">
          <w:rPr>
            <w:noProof/>
            <w:webHidden/>
          </w:rPr>
          <w:fldChar w:fldCharType="end"/>
        </w:r>
      </w:hyperlink>
    </w:p>
    <w:p w14:paraId="60BB52F6" w14:textId="77777777" w:rsidR="00EA33AD" w:rsidRDefault="007972BD">
      <w:pPr>
        <w:pStyle w:val="11"/>
        <w:rPr>
          <w:rFonts w:asciiTheme="minorHAnsi" w:eastAsiaTheme="minorEastAsia" w:hAnsiTheme="minorHAnsi" w:cstheme="minorBidi"/>
          <w:noProof/>
          <w:sz w:val="21"/>
          <w:szCs w:val="22"/>
        </w:rPr>
      </w:pPr>
      <w:hyperlink w:anchor="_Toc491431683" w:history="1">
        <w:r w:rsidR="00EA33AD" w:rsidRPr="00A828F6">
          <w:rPr>
            <w:rStyle w:val="a4"/>
            <w:rFonts w:ascii="宋体" w:hint="eastAsia"/>
            <w:b/>
            <w:noProof/>
            <w:kern w:val="0"/>
          </w:rPr>
          <w:t>二十、对基金份额持有人的服务</w:t>
        </w:r>
        <w:r w:rsidR="00EA33AD">
          <w:rPr>
            <w:noProof/>
            <w:webHidden/>
          </w:rPr>
          <w:tab/>
        </w:r>
        <w:r w:rsidR="00EA33AD">
          <w:rPr>
            <w:noProof/>
            <w:webHidden/>
          </w:rPr>
          <w:fldChar w:fldCharType="begin"/>
        </w:r>
        <w:r w:rsidR="00EA33AD">
          <w:rPr>
            <w:noProof/>
            <w:webHidden/>
          </w:rPr>
          <w:instrText xml:space="preserve"> PAGEREF _Toc491431683 \h </w:instrText>
        </w:r>
        <w:r w:rsidR="00EA33AD">
          <w:rPr>
            <w:noProof/>
            <w:webHidden/>
          </w:rPr>
        </w:r>
        <w:r w:rsidR="00EA33AD">
          <w:rPr>
            <w:noProof/>
            <w:webHidden/>
          </w:rPr>
          <w:fldChar w:fldCharType="separate"/>
        </w:r>
        <w:r w:rsidR="00EA33AD">
          <w:rPr>
            <w:noProof/>
            <w:webHidden/>
          </w:rPr>
          <w:t>108</w:t>
        </w:r>
        <w:r w:rsidR="00EA33AD">
          <w:rPr>
            <w:noProof/>
            <w:webHidden/>
          </w:rPr>
          <w:fldChar w:fldCharType="end"/>
        </w:r>
      </w:hyperlink>
    </w:p>
    <w:p w14:paraId="0D6A8A20" w14:textId="77777777" w:rsidR="00EA33AD" w:rsidRDefault="007972BD">
      <w:pPr>
        <w:pStyle w:val="11"/>
        <w:rPr>
          <w:rFonts w:asciiTheme="minorHAnsi" w:eastAsiaTheme="minorEastAsia" w:hAnsiTheme="minorHAnsi" w:cstheme="minorBidi"/>
          <w:noProof/>
          <w:sz w:val="21"/>
          <w:szCs w:val="22"/>
        </w:rPr>
      </w:pPr>
      <w:hyperlink w:anchor="_Toc491431684" w:history="1">
        <w:r w:rsidR="00EA33AD" w:rsidRPr="00A828F6">
          <w:rPr>
            <w:rStyle w:val="a4"/>
            <w:rFonts w:ascii="宋体" w:hint="eastAsia"/>
            <w:b/>
            <w:noProof/>
            <w:kern w:val="0"/>
          </w:rPr>
          <w:t>二十一、其他应披露事项</w:t>
        </w:r>
        <w:r w:rsidR="00EA33AD">
          <w:rPr>
            <w:noProof/>
            <w:webHidden/>
          </w:rPr>
          <w:tab/>
        </w:r>
        <w:r w:rsidR="00EA33AD">
          <w:rPr>
            <w:noProof/>
            <w:webHidden/>
          </w:rPr>
          <w:fldChar w:fldCharType="begin"/>
        </w:r>
        <w:r w:rsidR="00EA33AD">
          <w:rPr>
            <w:noProof/>
            <w:webHidden/>
          </w:rPr>
          <w:instrText xml:space="preserve"> PAGEREF _Toc491431684 \h </w:instrText>
        </w:r>
        <w:r w:rsidR="00EA33AD">
          <w:rPr>
            <w:noProof/>
            <w:webHidden/>
          </w:rPr>
        </w:r>
        <w:r w:rsidR="00EA33AD">
          <w:rPr>
            <w:noProof/>
            <w:webHidden/>
          </w:rPr>
          <w:fldChar w:fldCharType="separate"/>
        </w:r>
        <w:r w:rsidR="00EA33AD">
          <w:rPr>
            <w:noProof/>
            <w:webHidden/>
          </w:rPr>
          <w:t>109</w:t>
        </w:r>
        <w:r w:rsidR="00EA33AD">
          <w:rPr>
            <w:noProof/>
            <w:webHidden/>
          </w:rPr>
          <w:fldChar w:fldCharType="end"/>
        </w:r>
      </w:hyperlink>
    </w:p>
    <w:p w14:paraId="4B41B089" w14:textId="77777777" w:rsidR="00EA33AD" w:rsidRDefault="007972BD">
      <w:pPr>
        <w:pStyle w:val="11"/>
        <w:rPr>
          <w:rFonts w:asciiTheme="minorHAnsi" w:eastAsiaTheme="minorEastAsia" w:hAnsiTheme="minorHAnsi" w:cstheme="minorBidi"/>
          <w:noProof/>
          <w:sz w:val="21"/>
          <w:szCs w:val="22"/>
        </w:rPr>
      </w:pPr>
      <w:hyperlink w:anchor="_Toc491431685" w:history="1">
        <w:r w:rsidR="00EA33AD" w:rsidRPr="00A828F6">
          <w:rPr>
            <w:rStyle w:val="a4"/>
            <w:rFonts w:ascii="宋体" w:hint="eastAsia"/>
            <w:b/>
            <w:noProof/>
            <w:kern w:val="0"/>
          </w:rPr>
          <w:t>二十二、招募说明书的存放及查阅方式</w:t>
        </w:r>
        <w:r w:rsidR="00EA33AD">
          <w:rPr>
            <w:noProof/>
            <w:webHidden/>
          </w:rPr>
          <w:tab/>
        </w:r>
        <w:r w:rsidR="00EA33AD">
          <w:rPr>
            <w:noProof/>
            <w:webHidden/>
          </w:rPr>
          <w:fldChar w:fldCharType="begin"/>
        </w:r>
        <w:r w:rsidR="00EA33AD">
          <w:rPr>
            <w:noProof/>
            <w:webHidden/>
          </w:rPr>
          <w:instrText xml:space="preserve"> PAGEREF _Toc491431685 \h </w:instrText>
        </w:r>
        <w:r w:rsidR="00EA33AD">
          <w:rPr>
            <w:noProof/>
            <w:webHidden/>
          </w:rPr>
        </w:r>
        <w:r w:rsidR="00EA33AD">
          <w:rPr>
            <w:noProof/>
            <w:webHidden/>
          </w:rPr>
          <w:fldChar w:fldCharType="separate"/>
        </w:r>
        <w:r w:rsidR="00EA33AD">
          <w:rPr>
            <w:noProof/>
            <w:webHidden/>
          </w:rPr>
          <w:t>111</w:t>
        </w:r>
        <w:r w:rsidR="00EA33AD">
          <w:rPr>
            <w:noProof/>
            <w:webHidden/>
          </w:rPr>
          <w:fldChar w:fldCharType="end"/>
        </w:r>
      </w:hyperlink>
    </w:p>
    <w:p w14:paraId="321E597A" w14:textId="77777777" w:rsidR="00EA33AD" w:rsidRDefault="007972BD">
      <w:pPr>
        <w:pStyle w:val="11"/>
        <w:rPr>
          <w:rFonts w:asciiTheme="minorHAnsi" w:eastAsiaTheme="minorEastAsia" w:hAnsiTheme="minorHAnsi" w:cstheme="minorBidi"/>
          <w:noProof/>
          <w:sz w:val="21"/>
          <w:szCs w:val="22"/>
        </w:rPr>
      </w:pPr>
      <w:hyperlink w:anchor="_Toc491431686" w:history="1">
        <w:r w:rsidR="00EA33AD" w:rsidRPr="00A828F6">
          <w:rPr>
            <w:rStyle w:val="a4"/>
            <w:rFonts w:ascii="宋体" w:hint="eastAsia"/>
            <w:b/>
            <w:noProof/>
            <w:kern w:val="0"/>
          </w:rPr>
          <w:t>二十三、备查文件</w:t>
        </w:r>
        <w:r w:rsidR="00EA33AD">
          <w:rPr>
            <w:noProof/>
            <w:webHidden/>
          </w:rPr>
          <w:tab/>
        </w:r>
        <w:r w:rsidR="00EA33AD">
          <w:rPr>
            <w:noProof/>
            <w:webHidden/>
          </w:rPr>
          <w:fldChar w:fldCharType="begin"/>
        </w:r>
        <w:r w:rsidR="00EA33AD">
          <w:rPr>
            <w:noProof/>
            <w:webHidden/>
          </w:rPr>
          <w:instrText xml:space="preserve"> PAGEREF _Toc491431686 \h </w:instrText>
        </w:r>
        <w:r w:rsidR="00EA33AD">
          <w:rPr>
            <w:noProof/>
            <w:webHidden/>
          </w:rPr>
        </w:r>
        <w:r w:rsidR="00EA33AD">
          <w:rPr>
            <w:noProof/>
            <w:webHidden/>
          </w:rPr>
          <w:fldChar w:fldCharType="separate"/>
        </w:r>
        <w:r w:rsidR="00EA33AD">
          <w:rPr>
            <w:noProof/>
            <w:webHidden/>
          </w:rPr>
          <w:t>112</w:t>
        </w:r>
        <w:r w:rsidR="00EA33AD">
          <w:rPr>
            <w:noProof/>
            <w:webHidden/>
          </w:rPr>
          <w:fldChar w:fldCharType="end"/>
        </w:r>
      </w:hyperlink>
    </w:p>
    <w:p w14:paraId="583916F7" w14:textId="77777777" w:rsidR="00084DB4" w:rsidRPr="00F00B77" w:rsidRDefault="004A3EE5" w:rsidP="004A3EE5">
      <w:pPr>
        <w:pStyle w:val="11"/>
        <w:adjustRightInd w:val="0"/>
        <w:snapToGrid w:val="0"/>
        <w:spacing w:beforeLines="50" w:before="143" w:line="276" w:lineRule="auto"/>
        <w:ind w:firstLineChars="200" w:firstLine="480"/>
        <w:jc w:val="center"/>
        <w:rPr>
          <w:kern w:val="0"/>
        </w:rPr>
      </w:pPr>
      <w:r w:rsidRPr="00F00B77">
        <w:fldChar w:fldCharType="end"/>
      </w:r>
    </w:p>
    <w:p w14:paraId="2132D7FA"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kern w:val="0"/>
          <w:sz w:val="24"/>
        </w:rPr>
        <w:br w:type="page"/>
      </w:r>
      <w:bookmarkStart w:id="1" w:name="_Toc491431664"/>
      <w:r w:rsidRPr="00F00B77">
        <w:rPr>
          <w:rFonts w:ascii="宋体" w:hAnsi="宋体" w:hint="eastAsia"/>
          <w:b/>
          <w:kern w:val="0"/>
          <w:sz w:val="30"/>
        </w:rPr>
        <w:t>一、绪言</w:t>
      </w:r>
      <w:bookmarkEnd w:id="0"/>
      <w:bookmarkEnd w:id="1"/>
    </w:p>
    <w:p w14:paraId="369447E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《交银施罗德</w:t>
      </w:r>
      <w:r w:rsidR="00952456" w:rsidRPr="00F00B77">
        <w:rPr>
          <w:rFonts w:hint="eastAsia"/>
          <w:bCs/>
          <w:sz w:val="24"/>
        </w:rPr>
        <w:t>活期通</w:t>
      </w:r>
      <w:r w:rsidRPr="00F00B77">
        <w:rPr>
          <w:rFonts w:hint="eastAsia"/>
          <w:bCs/>
          <w:sz w:val="24"/>
        </w:rPr>
        <w:t>货币市场</w:t>
      </w:r>
      <w:r w:rsidRPr="00F00B77">
        <w:rPr>
          <w:rFonts w:hAnsi="宋体"/>
          <w:kern w:val="0"/>
          <w:sz w:val="24"/>
        </w:rPr>
        <w:t>基金招募说明书》（以下简称</w:t>
      </w:r>
      <w:r w:rsidRPr="00F00B77">
        <w:rPr>
          <w:rFonts w:ascii="宋体" w:hAnsi="宋体"/>
          <w:kern w:val="0"/>
          <w:sz w:val="24"/>
        </w:rPr>
        <w:t>“本招募说明书”</w:t>
      </w:r>
      <w:r w:rsidRPr="00F00B77">
        <w:rPr>
          <w:rFonts w:hAnsi="宋体"/>
          <w:kern w:val="0"/>
          <w:sz w:val="24"/>
        </w:rPr>
        <w:t>）依据《中华人民共和国证券投资基金法》</w:t>
      </w:r>
      <w:r w:rsidRPr="00F00B77">
        <w:rPr>
          <w:rFonts w:hAnsi="宋体" w:hint="eastAsia"/>
          <w:kern w:val="0"/>
          <w:sz w:val="24"/>
        </w:rPr>
        <w:t>（以下简称“《基金法》”）</w:t>
      </w:r>
      <w:r w:rsidRPr="00F00B77">
        <w:rPr>
          <w:rFonts w:hAnsi="宋体"/>
          <w:kern w:val="0"/>
          <w:sz w:val="24"/>
        </w:rPr>
        <w:t>、《</w:t>
      </w:r>
      <w:r w:rsidRPr="00F00B77">
        <w:rPr>
          <w:rFonts w:hAnsi="宋体" w:hint="eastAsia"/>
          <w:kern w:val="0"/>
          <w:sz w:val="24"/>
        </w:rPr>
        <w:t>公开募集</w:t>
      </w:r>
      <w:r w:rsidRPr="00F00B77">
        <w:rPr>
          <w:rFonts w:hAnsi="宋体"/>
          <w:kern w:val="0"/>
          <w:sz w:val="24"/>
        </w:rPr>
        <w:t>证券投资基金运作管理办法》</w:t>
      </w:r>
      <w:r w:rsidRPr="00F00B77">
        <w:rPr>
          <w:rFonts w:hAnsi="宋体" w:hint="eastAsia"/>
          <w:kern w:val="0"/>
          <w:sz w:val="24"/>
        </w:rPr>
        <w:t>（以下简称“《运作办法》”）</w:t>
      </w:r>
      <w:r w:rsidRPr="00F00B77">
        <w:rPr>
          <w:rFonts w:hAnsi="宋体"/>
          <w:kern w:val="0"/>
          <w:sz w:val="24"/>
        </w:rPr>
        <w:t>、《证券投资基金销售管理办法》</w:t>
      </w:r>
      <w:r w:rsidRPr="00F00B77">
        <w:rPr>
          <w:rFonts w:hAnsi="宋体" w:hint="eastAsia"/>
          <w:kern w:val="0"/>
          <w:sz w:val="24"/>
        </w:rPr>
        <w:t>（以下简称“《销售办法》”）</w:t>
      </w:r>
      <w:r w:rsidRPr="00F00B77">
        <w:rPr>
          <w:rFonts w:hAnsi="宋体"/>
          <w:kern w:val="0"/>
          <w:sz w:val="24"/>
        </w:rPr>
        <w:t>、《证券投资基金信息披露管理办法》</w:t>
      </w:r>
      <w:r w:rsidRPr="00F00B77">
        <w:rPr>
          <w:rFonts w:hAnsi="宋体" w:hint="eastAsia"/>
          <w:kern w:val="0"/>
          <w:sz w:val="24"/>
        </w:rPr>
        <w:t>（以下简称“《信息披露办法》”）、《货币市场基金监督管理办法》、《关于实施＜货币市场基金监督管理办法＞有关问题的规定》</w:t>
      </w:r>
      <w:r w:rsidRPr="00F00B77">
        <w:rPr>
          <w:rFonts w:hAnsi="宋体"/>
          <w:kern w:val="0"/>
          <w:sz w:val="24"/>
        </w:rPr>
        <w:t>和其他相关法律法规的规定以及《交银施罗德</w:t>
      </w:r>
      <w:r w:rsidR="00952456" w:rsidRPr="00F00B77">
        <w:rPr>
          <w:rFonts w:hint="eastAsia"/>
          <w:bCs/>
          <w:sz w:val="24"/>
        </w:rPr>
        <w:t>活期通</w:t>
      </w:r>
      <w:r w:rsidRPr="00F00B77">
        <w:rPr>
          <w:rFonts w:hint="eastAsia"/>
          <w:bCs/>
          <w:sz w:val="24"/>
        </w:rPr>
        <w:t>货币市场</w:t>
      </w:r>
      <w:r w:rsidRPr="00F00B77">
        <w:rPr>
          <w:rFonts w:hAnsi="宋体"/>
          <w:kern w:val="0"/>
          <w:sz w:val="24"/>
        </w:rPr>
        <w:t>基金基金合同》（以下简称“基金合同”）编写。</w:t>
      </w:r>
      <w:r w:rsidRPr="00F00B77">
        <w:rPr>
          <w:kern w:val="0"/>
          <w:sz w:val="24"/>
        </w:rPr>
        <w:t xml:space="preserve"> </w:t>
      </w:r>
    </w:p>
    <w:p w14:paraId="7197E1C1"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F00B77">
        <w:rPr>
          <w:rFonts w:hint="eastAsia"/>
          <w:kern w:val="0"/>
          <w:sz w:val="24"/>
        </w:rPr>
        <w:t>，</w:t>
      </w:r>
      <w:r w:rsidRPr="00F00B77">
        <w:rPr>
          <w:rFonts w:hAnsi="宋体"/>
          <w:kern w:val="0"/>
          <w:sz w:val="24"/>
        </w:rPr>
        <w:t>或对本招募说明书作任何解释或者说明。</w:t>
      </w:r>
      <w:r w:rsidRPr="00F00B77">
        <w:rPr>
          <w:kern w:val="0"/>
          <w:sz w:val="24"/>
        </w:rPr>
        <w:t xml:space="preserve"> </w:t>
      </w:r>
    </w:p>
    <w:p w14:paraId="6ABC8BB7"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本招募说明书根据本基金的基金合同编写，并经中国证监会</w:t>
      </w:r>
      <w:r w:rsidRPr="00F00B77">
        <w:rPr>
          <w:rFonts w:hAnsi="宋体" w:hint="eastAsia"/>
          <w:kern w:val="0"/>
          <w:sz w:val="24"/>
        </w:rPr>
        <w:t>注册</w:t>
      </w:r>
      <w:r w:rsidRPr="00F00B77">
        <w:rPr>
          <w:rFonts w:hAnsi="宋体"/>
          <w:kern w:val="0"/>
          <w:sz w:val="24"/>
        </w:rPr>
        <w:t>。基金合同是约定基金</w:t>
      </w:r>
      <w:r w:rsidRPr="00F00B77">
        <w:rPr>
          <w:rFonts w:hAnsi="宋体" w:hint="eastAsia"/>
          <w:kern w:val="0"/>
          <w:sz w:val="24"/>
        </w:rPr>
        <w:t>合同</w:t>
      </w:r>
      <w:r w:rsidRPr="00F00B77">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00B77">
        <w:rPr>
          <w:kern w:val="0"/>
          <w:sz w:val="24"/>
        </w:rPr>
        <w:t xml:space="preserve"> </w:t>
      </w:r>
    </w:p>
    <w:p w14:paraId="5E48ED2E"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kern w:val="0"/>
          <w:sz w:val="24"/>
        </w:rPr>
        <w:br w:type="page"/>
      </w:r>
      <w:bookmarkStart w:id="2" w:name="_Toc109537380"/>
      <w:bookmarkStart w:id="3" w:name="_Toc491431665"/>
      <w:r w:rsidRPr="00F00B77">
        <w:rPr>
          <w:rFonts w:ascii="宋体" w:hAnsi="宋体" w:hint="eastAsia"/>
          <w:b/>
          <w:kern w:val="0"/>
          <w:sz w:val="30"/>
        </w:rPr>
        <w:t>二、释义</w:t>
      </w:r>
      <w:bookmarkEnd w:id="2"/>
      <w:bookmarkEnd w:id="3"/>
    </w:p>
    <w:p w14:paraId="2EBFE7A9" w14:textId="77777777" w:rsidR="00084DB4" w:rsidRPr="00F00B77" w:rsidRDefault="00084DB4">
      <w:pPr>
        <w:adjustRightInd w:val="0"/>
        <w:snapToGrid w:val="0"/>
        <w:spacing w:line="360" w:lineRule="auto"/>
        <w:ind w:firstLineChars="200" w:firstLine="480"/>
        <w:rPr>
          <w:spacing w:val="8"/>
          <w:sz w:val="24"/>
        </w:rPr>
      </w:pPr>
      <w:r w:rsidRPr="00F00B77">
        <w:rPr>
          <w:rFonts w:hAnsi="宋体"/>
          <w:sz w:val="24"/>
        </w:rPr>
        <w:t>在本招募说明书中，除非文意另有所指，下列词语或简称具有如下含义：</w:t>
      </w:r>
    </w:p>
    <w:p w14:paraId="13271218"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基金或本基金：指交银施罗德</w:t>
      </w:r>
      <w:r w:rsidR="00952456" w:rsidRPr="00F00B77">
        <w:rPr>
          <w:rFonts w:hint="eastAsia"/>
          <w:bCs/>
          <w:sz w:val="24"/>
        </w:rPr>
        <w:t>活期通</w:t>
      </w:r>
      <w:r w:rsidRPr="00F00B77">
        <w:rPr>
          <w:rFonts w:hint="eastAsia"/>
          <w:bCs/>
          <w:sz w:val="24"/>
        </w:rPr>
        <w:t>货币市场基金</w:t>
      </w:r>
    </w:p>
    <w:p w14:paraId="5CEDD212"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基金管理人或本基金管理人：指交银施罗德基金管理有限公司</w:t>
      </w:r>
      <w:r w:rsidRPr="00F00B77">
        <w:rPr>
          <w:rFonts w:hint="eastAsia"/>
          <w:bCs/>
          <w:sz w:val="24"/>
        </w:rPr>
        <w:t xml:space="preserve"> </w:t>
      </w:r>
    </w:p>
    <w:p w14:paraId="2AA0F4F3"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基金托管人或本基金托管人：指</w:t>
      </w:r>
      <w:r w:rsidR="00952456" w:rsidRPr="00F00B77">
        <w:rPr>
          <w:rFonts w:hint="eastAsia"/>
          <w:bCs/>
          <w:sz w:val="24"/>
        </w:rPr>
        <w:t>中信建投证券股份有限公司</w:t>
      </w:r>
    </w:p>
    <w:p w14:paraId="7BE1E4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、基金合同</w:t>
      </w:r>
      <w:r w:rsidR="00A435FA" w:rsidRPr="00F00B77">
        <w:rPr>
          <w:rFonts w:hint="eastAsia"/>
          <w:bCs/>
          <w:sz w:val="24"/>
        </w:rPr>
        <w:t>或</w:t>
      </w:r>
      <w:r w:rsidRPr="00F00B77">
        <w:rPr>
          <w:rFonts w:hint="eastAsia"/>
          <w:bCs/>
          <w:sz w:val="24"/>
        </w:rPr>
        <w:t>《基金合同》：指《交银施罗德</w:t>
      </w:r>
      <w:r w:rsidR="00952456" w:rsidRPr="00F00B77">
        <w:rPr>
          <w:rFonts w:hint="eastAsia"/>
          <w:bCs/>
          <w:sz w:val="24"/>
        </w:rPr>
        <w:t>活期通</w:t>
      </w:r>
      <w:r w:rsidRPr="00F00B77">
        <w:rPr>
          <w:rFonts w:hint="eastAsia"/>
          <w:bCs/>
          <w:sz w:val="24"/>
        </w:rPr>
        <w:t>货币市场基金基金合同》及对基金合同的任何有效修订和补充</w:t>
      </w:r>
    </w:p>
    <w:p w14:paraId="23FA3F6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、托管协议：指基金管理人与基金托管人就本基金签订之《交银施罗德</w:t>
      </w:r>
      <w:r w:rsidR="00952456" w:rsidRPr="00F00B77">
        <w:rPr>
          <w:rFonts w:hint="eastAsia"/>
          <w:bCs/>
          <w:sz w:val="24"/>
        </w:rPr>
        <w:t>活期通</w:t>
      </w:r>
      <w:r w:rsidRPr="00F00B77">
        <w:rPr>
          <w:rFonts w:hint="eastAsia"/>
          <w:bCs/>
          <w:sz w:val="24"/>
        </w:rPr>
        <w:t>货币市场基金托管协议》及对该托管协议的任何有效修订和补充</w:t>
      </w:r>
    </w:p>
    <w:p w14:paraId="5260064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、招募说明书</w:t>
      </w:r>
      <w:r w:rsidR="00A435FA" w:rsidRPr="00F00B77">
        <w:rPr>
          <w:rFonts w:hint="eastAsia"/>
          <w:bCs/>
          <w:sz w:val="24"/>
        </w:rPr>
        <w:t>、</w:t>
      </w:r>
      <w:r w:rsidRPr="00F00B77">
        <w:rPr>
          <w:rFonts w:hint="eastAsia"/>
          <w:bCs/>
          <w:sz w:val="24"/>
        </w:rPr>
        <w:t>《招募说明书》</w:t>
      </w:r>
      <w:r w:rsidR="00A435FA" w:rsidRPr="00F00B77">
        <w:rPr>
          <w:rFonts w:hint="eastAsia"/>
          <w:bCs/>
          <w:sz w:val="24"/>
        </w:rPr>
        <w:t>或</w:t>
      </w:r>
      <w:r w:rsidR="00A435FA" w:rsidRPr="00F00B77">
        <w:rPr>
          <w:bCs/>
          <w:sz w:val="24"/>
        </w:rPr>
        <w:t>本招募说明书</w:t>
      </w:r>
      <w:r w:rsidRPr="00F00B77">
        <w:rPr>
          <w:rFonts w:hint="eastAsia"/>
          <w:bCs/>
          <w:sz w:val="24"/>
        </w:rPr>
        <w:t>：指《交银施罗德</w:t>
      </w:r>
      <w:r w:rsidR="00952456" w:rsidRPr="00F00B77">
        <w:rPr>
          <w:rFonts w:hint="eastAsia"/>
          <w:bCs/>
          <w:sz w:val="24"/>
        </w:rPr>
        <w:t>活期通</w:t>
      </w:r>
      <w:r w:rsidRPr="00F00B77">
        <w:rPr>
          <w:rFonts w:hint="eastAsia"/>
          <w:bCs/>
          <w:sz w:val="24"/>
        </w:rPr>
        <w:t>货币市场基金招募说明书》及其定期的更新</w:t>
      </w:r>
    </w:p>
    <w:p w14:paraId="48DE794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、基金份额发售公告：指《交银施罗德</w:t>
      </w:r>
      <w:r w:rsidR="00952456" w:rsidRPr="00F00B77">
        <w:rPr>
          <w:rFonts w:hint="eastAsia"/>
          <w:bCs/>
          <w:sz w:val="24"/>
        </w:rPr>
        <w:t>活期通</w:t>
      </w:r>
      <w:r w:rsidRPr="00F00B77">
        <w:rPr>
          <w:rFonts w:hint="eastAsia"/>
          <w:bCs/>
          <w:sz w:val="24"/>
        </w:rPr>
        <w:t>货币市场基金基金份额发售公告》</w:t>
      </w:r>
    </w:p>
    <w:p w14:paraId="19E0B48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、法律法规：指中国现行有效并公布实施的法律、行政法规、规范性文件、司法解释、行政规章以及其他对基金合同当事人有约束力的决定、决议、通知等</w:t>
      </w:r>
    </w:p>
    <w:p w14:paraId="5C7A56F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、《基金法》：指《中华人民共和国证券投资基金法》及颁布机关对其不时做出的修订</w:t>
      </w:r>
    </w:p>
    <w:p w14:paraId="5C66225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、《销售办法》：指《证券投资基金销售管理办法》及颁布机关对其不时做出的修订</w:t>
      </w:r>
    </w:p>
    <w:p w14:paraId="5540EFD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、《信息披露办法》：指《证券投资基金信息披露管理办法》及颁布机关对其不时做出的修订</w:t>
      </w:r>
    </w:p>
    <w:p w14:paraId="373E3C2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、《运作办法》：指《公开募集证券投资基金运作管理办法》及颁布机关对其不时做出的修订</w:t>
      </w:r>
    </w:p>
    <w:p w14:paraId="6996D30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、中国证监会：指中国证券监督管理委员会</w:t>
      </w:r>
    </w:p>
    <w:p w14:paraId="5A2B719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、银行业监督管理机构：指中国人民银行和</w:t>
      </w:r>
      <w:r w:rsidRPr="00F00B77">
        <w:rPr>
          <w:rFonts w:hint="eastAsia"/>
          <w:bCs/>
          <w:sz w:val="24"/>
        </w:rPr>
        <w:t>/</w:t>
      </w:r>
      <w:r w:rsidRPr="00F00B77">
        <w:rPr>
          <w:rFonts w:hint="eastAsia"/>
          <w:bCs/>
          <w:sz w:val="24"/>
        </w:rPr>
        <w:t>或中国银行业监督管理委员会</w:t>
      </w:r>
    </w:p>
    <w:p w14:paraId="4FB2705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、基金合同当事人：指受基金合同约束，根据基金合同享有权利并承担义务的法律主体，包括基金管理人、基金托管人和基金份额持有人</w:t>
      </w:r>
    </w:p>
    <w:p w14:paraId="0B8CD7C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、个人投资者：指依据有关法律法规规定可投资于证券投资基金的自然人</w:t>
      </w:r>
    </w:p>
    <w:p w14:paraId="353ED8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6F6B7A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1F0E5C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1AACD4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、投资人或投资者：指个人投资者、机构投资者、合格境外机构投资者</w:t>
      </w:r>
      <w:r w:rsidRPr="00F00B77">
        <w:rPr>
          <w:bCs/>
          <w:sz w:val="24"/>
        </w:rPr>
        <w:t>和</w:t>
      </w:r>
      <w:r w:rsidRPr="00F00B77">
        <w:rPr>
          <w:rFonts w:hint="eastAsia"/>
          <w:bCs/>
          <w:sz w:val="24"/>
        </w:rPr>
        <w:t>人民币</w:t>
      </w:r>
      <w:r w:rsidRPr="00F00B77">
        <w:rPr>
          <w:bCs/>
          <w:sz w:val="24"/>
        </w:rPr>
        <w:t>合格境外机构投资者</w:t>
      </w:r>
      <w:r w:rsidRPr="00F00B77">
        <w:rPr>
          <w:rFonts w:hint="eastAsia"/>
          <w:bCs/>
          <w:sz w:val="24"/>
        </w:rPr>
        <w:t>以及法律法规或中国证监会允许购买证券投资基金的其他投资人的合称</w:t>
      </w:r>
    </w:p>
    <w:p w14:paraId="6092883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、基金份额持有人：指依基金合同和招募说明书合法取得基金份额的投资人</w:t>
      </w:r>
    </w:p>
    <w:p w14:paraId="7080B23E"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hint="eastAsia"/>
          <w:bCs/>
          <w:sz w:val="24"/>
        </w:rPr>
        <w:t>22</w:t>
      </w:r>
      <w:r w:rsidRPr="00F00B77">
        <w:rPr>
          <w:rFonts w:hint="eastAsia"/>
          <w:bCs/>
          <w:sz w:val="24"/>
        </w:rPr>
        <w:t>、基金销售业务：指基金管理人或销售机构宣传推介基金，发售基金份额，办理基金份额的申购、赎回、转换、转托管及定期定额投资等业务</w:t>
      </w:r>
    </w:p>
    <w:p w14:paraId="1442F5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23</w:t>
      </w:r>
      <w:r w:rsidRPr="00F00B7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67E1533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24</w:t>
      </w:r>
      <w:r w:rsidRPr="00F00B7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A43830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25</w:t>
      </w:r>
      <w:r w:rsidRPr="00F00B77">
        <w:rPr>
          <w:rFonts w:hint="eastAsia"/>
          <w:bCs/>
          <w:sz w:val="24"/>
        </w:rPr>
        <w:t>、登记机构：指办理登记业务的机构。基金的登记机构为交银施罗德基金管理有限公司或接受交银施罗德基金管理有限公司委托办理登记业务的机构</w:t>
      </w:r>
    </w:p>
    <w:p w14:paraId="1B06C0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26</w:t>
      </w:r>
      <w:r w:rsidRPr="00F00B77">
        <w:rPr>
          <w:rFonts w:hint="eastAsia"/>
          <w:bCs/>
          <w:sz w:val="24"/>
        </w:rPr>
        <w:t>、基金账户：指登记机构为投资人开立的、记录其持有的、基金管理人所管理的基金份额余额及其变动情况的账户</w:t>
      </w:r>
    </w:p>
    <w:p w14:paraId="6D0EB6A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27</w:t>
      </w:r>
      <w:r w:rsidRPr="00F00B77">
        <w:rPr>
          <w:rFonts w:hint="eastAsia"/>
          <w:bCs/>
          <w:sz w:val="24"/>
        </w:rPr>
        <w:t>、基金交易账户：指销售机构为投资人开立的、记录投资人通过该销售机构办理认购、申购、赎回、转换及转托管等业务而引起的基金份额变动及结余情况的账户</w:t>
      </w:r>
      <w:bookmarkStart w:id="4" w:name="OLE_LINK4"/>
      <w:r w:rsidRPr="00F00B77">
        <w:rPr>
          <w:bCs/>
          <w:sz w:val="24"/>
        </w:rPr>
        <w:t xml:space="preserve"> </w:t>
      </w:r>
      <w:bookmarkEnd w:id="4"/>
    </w:p>
    <w:p w14:paraId="6882231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28</w:t>
      </w:r>
      <w:r w:rsidRPr="00F00B77">
        <w:rPr>
          <w:rFonts w:hint="eastAsia"/>
          <w:bCs/>
          <w:sz w:val="24"/>
        </w:rPr>
        <w:t>、基金合同生效日：指基金募集达到法律法规规定及基金合同规定的条件，基金管理人向中国证监会办理基金备案手续完毕，并获得中国证监会书面确认的日期</w:t>
      </w:r>
    </w:p>
    <w:p w14:paraId="638853D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29</w:t>
      </w:r>
      <w:r w:rsidRPr="00F00B77">
        <w:rPr>
          <w:rFonts w:hint="eastAsia"/>
          <w:bCs/>
          <w:sz w:val="24"/>
        </w:rPr>
        <w:t>、基金合同终止日：指基金合同规定的基金合同终止事由出现后，基金财产清算完毕，清算结果报中国证监会备案并予以公告的日期</w:t>
      </w:r>
    </w:p>
    <w:p w14:paraId="000615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30</w:t>
      </w:r>
      <w:r w:rsidRPr="00F00B77">
        <w:rPr>
          <w:rFonts w:hint="eastAsia"/>
          <w:bCs/>
          <w:sz w:val="24"/>
        </w:rPr>
        <w:t>、基金募集期：指自基金份额发售之日起至发售结束之日止的期间，最长不得超过</w:t>
      </w:r>
      <w:r w:rsidRPr="00F00B77">
        <w:rPr>
          <w:rFonts w:hint="eastAsia"/>
          <w:bCs/>
          <w:sz w:val="24"/>
        </w:rPr>
        <w:t>3</w:t>
      </w:r>
      <w:r w:rsidRPr="00F00B77">
        <w:rPr>
          <w:rFonts w:hint="eastAsia"/>
          <w:bCs/>
          <w:sz w:val="24"/>
        </w:rPr>
        <w:t>个月</w:t>
      </w:r>
    </w:p>
    <w:p w14:paraId="047210F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31</w:t>
      </w:r>
      <w:r w:rsidRPr="00F00B77">
        <w:rPr>
          <w:rFonts w:hint="eastAsia"/>
          <w:bCs/>
          <w:sz w:val="24"/>
        </w:rPr>
        <w:t>、存续期：指基金合同生效至终止之间的不定期期限</w:t>
      </w:r>
    </w:p>
    <w:p w14:paraId="2702411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32</w:t>
      </w:r>
      <w:r w:rsidRPr="00F00B77">
        <w:rPr>
          <w:rFonts w:hint="eastAsia"/>
          <w:bCs/>
          <w:sz w:val="24"/>
        </w:rPr>
        <w:t>、工作日：指上海证券交易所、深圳证券交易所的正常交易日</w:t>
      </w:r>
    </w:p>
    <w:p w14:paraId="1C887AB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33</w:t>
      </w:r>
      <w:r w:rsidRPr="00F00B77">
        <w:rPr>
          <w:rFonts w:hint="eastAsia"/>
          <w:bCs/>
          <w:sz w:val="24"/>
        </w:rPr>
        <w:t>、</w:t>
      </w:r>
      <w:r w:rsidRPr="00F00B77">
        <w:rPr>
          <w:rFonts w:hint="eastAsia"/>
          <w:bCs/>
          <w:sz w:val="24"/>
        </w:rPr>
        <w:t>T</w:t>
      </w:r>
      <w:r w:rsidRPr="00F00B77">
        <w:rPr>
          <w:rFonts w:hint="eastAsia"/>
          <w:bCs/>
          <w:sz w:val="24"/>
        </w:rPr>
        <w:t>日：指销售机构在规定时间受理投资人申购、赎回或其他业务申请的开放日</w:t>
      </w:r>
    </w:p>
    <w:p w14:paraId="3AD8F1A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34</w:t>
      </w:r>
      <w:r w:rsidRPr="00F00B77">
        <w:rPr>
          <w:rFonts w:hint="eastAsia"/>
          <w:bCs/>
          <w:sz w:val="24"/>
        </w:rPr>
        <w:t>、</w:t>
      </w:r>
      <w:r w:rsidRPr="00F00B77">
        <w:rPr>
          <w:rFonts w:hint="eastAsia"/>
          <w:bCs/>
          <w:sz w:val="24"/>
        </w:rPr>
        <w:t>T+n</w:t>
      </w:r>
      <w:r w:rsidRPr="00F00B77">
        <w:rPr>
          <w:rFonts w:hint="eastAsia"/>
          <w:bCs/>
          <w:sz w:val="24"/>
        </w:rPr>
        <w:t>日：指自</w:t>
      </w:r>
      <w:r w:rsidRPr="00F00B77">
        <w:rPr>
          <w:rFonts w:hint="eastAsia"/>
          <w:bCs/>
          <w:sz w:val="24"/>
        </w:rPr>
        <w:t>T</w:t>
      </w:r>
      <w:r w:rsidRPr="00F00B77">
        <w:rPr>
          <w:rFonts w:hint="eastAsia"/>
          <w:bCs/>
          <w:sz w:val="24"/>
        </w:rPr>
        <w:t>日起第</w:t>
      </w:r>
      <w:r w:rsidRPr="00F00B77">
        <w:rPr>
          <w:rFonts w:hint="eastAsia"/>
          <w:bCs/>
          <w:sz w:val="24"/>
        </w:rPr>
        <w:t>n</w:t>
      </w:r>
      <w:r w:rsidRPr="00F00B77">
        <w:rPr>
          <w:rFonts w:hint="eastAsia"/>
          <w:bCs/>
          <w:sz w:val="24"/>
        </w:rPr>
        <w:t>个工作日</w:t>
      </w:r>
      <w:r w:rsidRPr="00F00B77">
        <w:rPr>
          <w:rFonts w:hint="eastAsia"/>
          <w:bCs/>
          <w:sz w:val="24"/>
        </w:rPr>
        <w:t>(</w:t>
      </w:r>
      <w:r w:rsidRPr="00F00B77">
        <w:rPr>
          <w:rFonts w:hint="eastAsia"/>
          <w:bCs/>
          <w:sz w:val="24"/>
        </w:rPr>
        <w:t>不包含</w:t>
      </w:r>
      <w:r w:rsidRPr="00F00B77">
        <w:rPr>
          <w:rFonts w:hint="eastAsia"/>
          <w:bCs/>
          <w:sz w:val="24"/>
        </w:rPr>
        <w:t>T</w:t>
      </w:r>
      <w:r w:rsidRPr="00F00B77">
        <w:rPr>
          <w:rFonts w:hint="eastAsia"/>
          <w:bCs/>
          <w:sz w:val="24"/>
        </w:rPr>
        <w:t>日</w:t>
      </w:r>
      <w:r w:rsidRPr="00F00B77">
        <w:rPr>
          <w:rFonts w:hint="eastAsia"/>
          <w:bCs/>
          <w:sz w:val="24"/>
        </w:rPr>
        <w:t>)</w:t>
      </w:r>
    </w:p>
    <w:p w14:paraId="2FBAB9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35</w:t>
      </w:r>
      <w:r w:rsidRPr="00F00B77">
        <w:rPr>
          <w:rFonts w:hint="eastAsia"/>
          <w:bCs/>
          <w:sz w:val="24"/>
        </w:rPr>
        <w:t>、开放日：指为投资人办理基金份额申购、赎回或其他业务的工作日</w:t>
      </w:r>
    </w:p>
    <w:p w14:paraId="2963BCE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36</w:t>
      </w:r>
      <w:r w:rsidRPr="00F00B77">
        <w:rPr>
          <w:rFonts w:hint="eastAsia"/>
          <w:bCs/>
          <w:sz w:val="24"/>
        </w:rPr>
        <w:t>、开放时间：指开放日基金接受申购、赎回或其他交易的时间段</w:t>
      </w:r>
    </w:p>
    <w:p w14:paraId="7253B6E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37</w:t>
      </w:r>
      <w:r w:rsidRPr="00F00B77">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109C777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38</w:t>
      </w:r>
      <w:r w:rsidRPr="00F00B77">
        <w:rPr>
          <w:rFonts w:hint="eastAsia"/>
          <w:bCs/>
          <w:sz w:val="24"/>
        </w:rPr>
        <w:t>、认购：指在基金募集期内，投资人根据基金合同和招募说明书的规定申请购买基金份额的行为</w:t>
      </w:r>
    </w:p>
    <w:p w14:paraId="5DA0B97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39</w:t>
      </w:r>
      <w:r w:rsidRPr="00F00B77">
        <w:rPr>
          <w:rFonts w:hint="eastAsia"/>
          <w:bCs/>
          <w:sz w:val="24"/>
        </w:rPr>
        <w:t>、申购：指基金合同生效后，投资人根据基金合同和招募说明书的规定申请购买基金份额的行为</w:t>
      </w:r>
    </w:p>
    <w:p w14:paraId="79F8203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40</w:t>
      </w:r>
      <w:r w:rsidRPr="00F00B77">
        <w:rPr>
          <w:rFonts w:hint="eastAsia"/>
          <w:bCs/>
          <w:sz w:val="24"/>
        </w:rPr>
        <w:t>、赎回：指基金合同生效后，基金份额持有人按基金合同和招募说明书规定的条件要求将基金份额兑换为现金的行为</w:t>
      </w:r>
    </w:p>
    <w:p w14:paraId="3EF9905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41</w:t>
      </w:r>
      <w:r w:rsidRPr="00F00B77">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7240F4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42</w:t>
      </w:r>
      <w:r w:rsidRPr="00F00B77">
        <w:rPr>
          <w:rFonts w:hint="eastAsia"/>
          <w:bCs/>
          <w:sz w:val="24"/>
        </w:rPr>
        <w:t>、转托管：指基金份额持有人在本基金的不同销售机构之间实施的变更所持基金份额销售机构的操作</w:t>
      </w:r>
    </w:p>
    <w:p w14:paraId="0D6B32A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43</w:t>
      </w:r>
      <w:r w:rsidRPr="00F00B7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482B69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44</w:t>
      </w:r>
      <w:r w:rsidRPr="00F00B7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00B77">
        <w:rPr>
          <w:rFonts w:hint="eastAsia"/>
          <w:bCs/>
          <w:sz w:val="24"/>
        </w:rPr>
        <w:t>10%</w:t>
      </w:r>
      <w:r w:rsidRPr="00F00B77">
        <w:rPr>
          <w:rFonts w:hint="eastAsia"/>
          <w:bCs/>
          <w:sz w:val="24"/>
        </w:rPr>
        <w:t>的情形</w:t>
      </w:r>
    </w:p>
    <w:p w14:paraId="05A37FB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45</w:t>
      </w:r>
      <w:r w:rsidRPr="00F00B77">
        <w:rPr>
          <w:rFonts w:hint="eastAsia"/>
          <w:bCs/>
          <w:sz w:val="24"/>
        </w:rPr>
        <w:t>、元：指人民币元</w:t>
      </w:r>
    </w:p>
    <w:p w14:paraId="6C68816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46</w:t>
      </w:r>
      <w:r w:rsidRPr="00F00B77">
        <w:rPr>
          <w:rFonts w:hint="eastAsia"/>
          <w:bCs/>
          <w:sz w:val="24"/>
        </w:rPr>
        <w:t>、基金收益：指基金投资所得债券利息、买卖证券价差、银行存款利息、已实现的其他合法收入及因运用基金财产带来的成本和费用的节约</w:t>
      </w:r>
    </w:p>
    <w:p w14:paraId="00391D0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47</w:t>
      </w:r>
      <w:r w:rsidRPr="00F00B77">
        <w:rPr>
          <w:rFonts w:hint="eastAsia"/>
          <w:bCs/>
          <w:sz w:val="24"/>
        </w:rPr>
        <w:t>、摊余成本法：指</w:t>
      </w:r>
      <w:r w:rsidR="00981CD0" w:rsidRPr="00F00B77">
        <w:rPr>
          <w:rFonts w:hint="eastAsia"/>
          <w:bCs/>
          <w:sz w:val="24"/>
        </w:rPr>
        <w:t>计价</w:t>
      </w:r>
      <w:r w:rsidRPr="00F00B77">
        <w:rPr>
          <w:rFonts w:hint="eastAsia"/>
          <w:bCs/>
          <w:sz w:val="24"/>
        </w:rPr>
        <w:t>对象以买入成本列示，按照票面利率或协议利率并考虑其买入时的溢价与折价，在剩余存续期内按照实际利率</w:t>
      </w:r>
      <w:r w:rsidR="00981CD0" w:rsidRPr="00F00B77">
        <w:rPr>
          <w:rFonts w:hint="eastAsia"/>
          <w:bCs/>
          <w:sz w:val="24"/>
        </w:rPr>
        <w:t>法</w:t>
      </w:r>
      <w:r w:rsidRPr="00F00B77">
        <w:rPr>
          <w:rFonts w:hint="eastAsia"/>
          <w:bCs/>
          <w:sz w:val="24"/>
        </w:rPr>
        <w:t>摊销，每日计提损益</w:t>
      </w:r>
    </w:p>
    <w:p w14:paraId="2A1BF38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48</w:t>
      </w:r>
      <w:r w:rsidRPr="00F00B77">
        <w:rPr>
          <w:rFonts w:hint="eastAsia"/>
          <w:bCs/>
          <w:sz w:val="24"/>
        </w:rPr>
        <w:t>、每万份基金已实现收益：指按照相关法规计算的每万份基金份额的日已实现收益</w:t>
      </w:r>
    </w:p>
    <w:p w14:paraId="0D5B70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49</w:t>
      </w:r>
      <w:r w:rsidRPr="00F00B77">
        <w:rPr>
          <w:rFonts w:hint="eastAsia"/>
          <w:bCs/>
          <w:sz w:val="24"/>
        </w:rPr>
        <w:t>、</w:t>
      </w:r>
      <w:r w:rsidRPr="00F00B77">
        <w:rPr>
          <w:rFonts w:hint="eastAsia"/>
          <w:bCs/>
          <w:sz w:val="24"/>
        </w:rPr>
        <w:t>7</w:t>
      </w:r>
      <w:r w:rsidRPr="00F00B77">
        <w:rPr>
          <w:rFonts w:hint="eastAsia"/>
          <w:bCs/>
          <w:sz w:val="24"/>
        </w:rPr>
        <w:t>日年化收益率：指以最近</w:t>
      </w:r>
      <w:r w:rsidRPr="00F00B77">
        <w:rPr>
          <w:rFonts w:hint="eastAsia"/>
          <w:bCs/>
          <w:sz w:val="24"/>
        </w:rPr>
        <w:t>7</w:t>
      </w:r>
      <w:r w:rsidRPr="00F00B77">
        <w:rPr>
          <w:rFonts w:hint="eastAsia"/>
          <w:bCs/>
          <w:sz w:val="24"/>
        </w:rPr>
        <w:t>日</w:t>
      </w:r>
      <w:r w:rsidRPr="00F00B77">
        <w:rPr>
          <w:rFonts w:hint="eastAsia"/>
          <w:bCs/>
          <w:sz w:val="24"/>
        </w:rPr>
        <w:t>(</w:t>
      </w:r>
      <w:r w:rsidRPr="00F00B77">
        <w:rPr>
          <w:rFonts w:hint="eastAsia"/>
          <w:bCs/>
          <w:sz w:val="24"/>
        </w:rPr>
        <w:t>含节假日</w:t>
      </w:r>
      <w:r w:rsidRPr="00F00B77">
        <w:rPr>
          <w:rFonts w:hint="eastAsia"/>
          <w:bCs/>
          <w:sz w:val="24"/>
        </w:rPr>
        <w:t xml:space="preserve">) </w:t>
      </w:r>
      <w:r w:rsidRPr="00F00B77">
        <w:rPr>
          <w:rFonts w:hint="eastAsia"/>
          <w:bCs/>
          <w:sz w:val="24"/>
        </w:rPr>
        <w:t>每万份基金已实现收益所折算的年资产收益率</w:t>
      </w:r>
    </w:p>
    <w:p w14:paraId="07EA10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50</w:t>
      </w:r>
      <w:r w:rsidRPr="00F00B77">
        <w:rPr>
          <w:rFonts w:hint="eastAsia"/>
          <w:bCs/>
          <w:sz w:val="24"/>
        </w:rPr>
        <w:t>、销售服务费：指本基金用于持续销售和服务基金份额持有人的费用，该笔费用从基金财产中扣除，属于基金的营运费用</w:t>
      </w:r>
    </w:p>
    <w:p w14:paraId="3981855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51</w:t>
      </w:r>
      <w:r w:rsidRPr="00F00B77">
        <w:rPr>
          <w:rFonts w:hint="eastAsia"/>
          <w:bCs/>
          <w:sz w:val="24"/>
        </w:rPr>
        <w:t>、基金资产总值：指基金拥有的各类有价证券和票据价值、银行存款本息、基金应收申购款及其他资产的价值总和</w:t>
      </w:r>
    </w:p>
    <w:p w14:paraId="38E61D9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52</w:t>
      </w:r>
      <w:r w:rsidRPr="00F00B77">
        <w:rPr>
          <w:rFonts w:hint="eastAsia"/>
          <w:bCs/>
          <w:sz w:val="24"/>
        </w:rPr>
        <w:t>、基金资产净值：指基金资产总值减去基金负债后的价值</w:t>
      </w:r>
    </w:p>
    <w:p w14:paraId="6F0B389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53</w:t>
      </w:r>
      <w:r w:rsidRPr="00F00B77">
        <w:rPr>
          <w:rFonts w:hint="eastAsia"/>
          <w:bCs/>
          <w:sz w:val="24"/>
        </w:rPr>
        <w:t>、基金份额净值：指计算日基金资产净值除以计算日基金份额总数，本基金各类基金份额的基金份额净值保持在</w:t>
      </w:r>
      <w:r w:rsidRPr="00F00B77">
        <w:rPr>
          <w:rFonts w:hint="eastAsia"/>
          <w:bCs/>
          <w:sz w:val="24"/>
        </w:rPr>
        <w:t>1.00</w:t>
      </w:r>
      <w:r w:rsidRPr="00F00B77">
        <w:rPr>
          <w:rFonts w:hint="eastAsia"/>
          <w:bCs/>
          <w:sz w:val="24"/>
        </w:rPr>
        <w:t>元</w:t>
      </w:r>
    </w:p>
    <w:p w14:paraId="1C88202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54</w:t>
      </w:r>
      <w:r w:rsidRPr="00F00B77">
        <w:rPr>
          <w:rFonts w:hint="eastAsia"/>
          <w:bCs/>
          <w:sz w:val="24"/>
        </w:rPr>
        <w:t>、基金资产估值：指计算评估基金资产和负债的价值，以确定各类基金份额的基金资产净值、每万份基金已实现收益和</w:t>
      </w:r>
      <w:r w:rsidRPr="00F00B77">
        <w:rPr>
          <w:rFonts w:hint="eastAsia"/>
          <w:bCs/>
          <w:sz w:val="24"/>
        </w:rPr>
        <w:t>7</w:t>
      </w:r>
      <w:r w:rsidRPr="00F00B77">
        <w:rPr>
          <w:rFonts w:hint="eastAsia"/>
          <w:bCs/>
          <w:sz w:val="24"/>
        </w:rPr>
        <w:t>日年化收益率的过程</w:t>
      </w:r>
    </w:p>
    <w:p w14:paraId="2D4548E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55</w:t>
      </w:r>
      <w:r w:rsidRPr="00F00B77">
        <w:rPr>
          <w:rFonts w:hint="eastAsia"/>
          <w:bCs/>
          <w:sz w:val="24"/>
        </w:rPr>
        <w:t>、指定媒介：指中国证监会指定的用以进行信息披露的报刊、互联网网站及其他媒介</w:t>
      </w:r>
    </w:p>
    <w:p w14:paraId="560AF1F4" w14:textId="77777777" w:rsidR="0093228C" w:rsidRPr="00F00B77" w:rsidRDefault="00084DB4" w:rsidP="0093228C">
      <w:pPr>
        <w:adjustRightInd w:val="0"/>
        <w:snapToGrid w:val="0"/>
        <w:spacing w:line="360" w:lineRule="auto"/>
        <w:ind w:firstLineChars="200" w:firstLine="480"/>
        <w:rPr>
          <w:rFonts w:ascii="宋体" w:hAnsi="宋体"/>
          <w:b/>
          <w:kern w:val="0"/>
          <w:sz w:val="30"/>
        </w:rPr>
      </w:pPr>
      <w:r w:rsidRPr="00F00B77">
        <w:rPr>
          <w:rFonts w:hint="eastAsia"/>
          <w:bCs/>
          <w:sz w:val="24"/>
        </w:rPr>
        <w:t>56</w:t>
      </w:r>
      <w:r w:rsidRPr="00F00B77">
        <w:rPr>
          <w:rFonts w:hint="eastAsia"/>
          <w:bCs/>
          <w:sz w:val="24"/>
        </w:rPr>
        <w:t>、不可抗力：指本基金合同当事人不能预见、不能避免且不能克服的客观事件</w:t>
      </w:r>
    </w:p>
    <w:p w14:paraId="7CF0F946"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bookmarkStart w:id="5" w:name="_Hlt80961854"/>
      <w:bookmarkStart w:id="6" w:name="_Hlt81034163"/>
      <w:bookmarkStart w:id="7" w:name="_Toc109537381"/>
      <w:bookmarkStart w:id="8" w:name="_Toc491431666"/>
      <w:bookmarkEnd w:id="5"/>
      <w:bookmarkEnd w:id="6"/>
      <w:r w:rsidRPr="00F00B77">
        <w:rPr>
          <w:rFonts w:ascii="宋体" w:hAnsi="宋体" w:hint="eastAsia"/>
          <w:b/>
          <w:kern w:val="0"/>
          <w:sz w:val="30"/>
        </w:rPr>
        <w:t>三、基金管理人</w:t>
      </w:r>
      <w:bookmarkEnd w:id="7"/>
      <w:bookmarkEnd w:id="8"/>
    </w:p>
    <w:p w14:paraId="4397F840" w14:textId="77777777" w:rsidR="00084DB4" w:rsidRPr="00F00B77" w:rsidRDefault="00084DB4">
      <w:pPr>
        <w:widowControl/>
        <w:adjustRightInd w:val="0"/>
        <w:snapToGrid w:val="0"/>
        <w:spacing w:line="360" w:lineRule="auto"/>
        <w:ind w:firstLineChars="200" w:firstLine="482"/>
        <w:rPr>
          <w:rFonts w:hAnsi="宋体"/>
          <w:b/>
          <w:kern w:val="0"/>
          <w:sz w:val="24"/>
        </w:rPr>
      </w:pPr>
      <w:r w:rsidRPr="00F00B77">
        <w:rPr>
          <w:rFonts w:hAnsi="宋体"/>
          <w:b/>
          <w:kern w:val="0"/>
          <w:sz w:val="24"/>
        </w:rPr>
        <w:t>（一）基金管理人概况</w:t>
      </w:r>
    </w:p>
    <w:p w14:paraId="381B98FA"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名称：交银施罗德基金管理有限公司</w:t>
      </w:r>
    </w:p>
    <w:p w14:paraId="15C86D9D"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住所：上海市浦东新区银城中路</w:t>
      </w:r>
      <w:r w:rsidRPr="00F00B77">
        <w:rPr>
          <w:kern w:val="0"/>
          <w:sz w:val="24"/>
        </w:rPr>
        <w:t>188</w:t>
      </w:r>
      <w:r w:rsidRPr="00F00B77">
        <w:rPr>
          <w:rFonts w:hAnsi="宋体"/>
          <w:kern w:val="0"/>
          <w:sz w:val="24"/>
        </w:rPr>
        <w:t>号交通银行大楼二层（裙）</w:t>
      </w:r>
    </w:p>
    <w:p w14:paraId="4521DBC1"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办公地址：</w:t>
      </w:r>
      <w:r w:rsidRPr="00F00B77">
        <w:rPr>
          <w:rFonts w:hAnsi="宋体" w:hint="eastAsia"/>
          <w:kern w:val="0"/>
          <w:sz w:val="24"/>
        </w:rPr>
        <w:t>上海</w:t>
      </w:r>
      <w:r w:rsidR="009374CC" w:rsidRPr="00F00B77">
        <w:rPr>
          <w:rFonts w:hAnsi="宋体" w:hint="eastAsia"/>
          <w:kern w:val="0"/>
          <w:sz w:val="24"/>
        </w:rPr>
        <w:t>市</w:t>
      </w:r>
      <w:r w:rsidRPr="00F00B77">
        <w:rPr>
          <w:rFonts w:hAnsi="宋体" w:hint="eastAsia"/>
          <w:kern w:val="0"/>
          <w:sz w:val="24"/>
        </w:rPr>
        <w:t>浦东新区世纪大道</w:t>
      </w:r>
      <w:r w:rsidRPr="00F00B77">
        <w:rPr>
          <w:rFonts w:hAnsi="宋体" w:hint="eastAsia"/>
          <w:kern w:val="0"/>
          <w:sz w:val="24"/>
        </w:rPr>
        <w:t>8</w:t>
      </w:r>
      <w:r w:rsidRPr="00F00B77">
        <w:rPr>
          <w:rFonts w:hAnsi="宋体" w:hint="eastAsia"/>
          <w:kern w:val="0"/>
          <w:sz w:val="24"/>
        </w:rPr>
        <w:t>号国金中心二期</w:t>
      </w:r>
      <w:r w:rsidRPr="00F00B77">
        <w:rPr>
          <w:rFonts w:hAnsi="宋体" w:hint="eastAsia"/>
          <w:kern w:val="0"/>
          <w:sz w:val="24"/>
        </w:rPr>
        <w:t>21-22</w:t>
      </w:r>
      <w:r w:rsidRPr="00F00B77">
        <w:rPr>
          <w:rFonts w:hAnsi="宋体" w:hint="eastAsia"/>
          <w:kern w:val="0"/>
          <w:sz w:val="24"/>
        </w:rPr>
        <w:t>楼</w:t>
      </w:r>
    </w:p>
    <w:p w14:paraId="3EF84C09"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sz w:val="24"/>
        </w:rPr>
        <w:t>邮政编码：</w:t>
      </w:r>
      <w:r w:rsidRPr="00F00B77">
        <w:rPr>
          <w:sz w:val="24"/>
        </w:rPr>
        <w:t>200120</w:t>
      </w:r>
    </w:p>
    <w:p w14:paraId="5689D5B4"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法定代表人：</w:t>
      </w:r>
      <w:r w:rsidRPr="00F00B77">
        <w:rPr>
          <w:rFonts w:ascii="宋体" w:hAnsi="宋体" w:hint="eastAsia"/>
          <w:sz w:val="24"/>
          <w:szCs w:val="21"/>
        </w:rPr>
        <w:t>于亚利</w:t>
      </w:r>
    </w:p>
    <w:p w14:paraId="00D82B78"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成立时间：</w:t>
      </w:r>
      <w:r w:rsidRPr="00F00B77">
        <w:rPr>
          <w:kern w:val="0"/>
          <w:sz w:val="24"/>
        </w:rPr>
        <w:t>2005</w:t>
      </w:r>
      <w:r w:rsidRPr="00F00B77">
        <w:rPr>
          <w:rFonts w:hAnsi="宋体"/>
          <w:kern w:val="0"/>
          <w:sz w:val="24"/>
        </w:rPr>
        <w:t>年</w:t>
      </w:r>
      <w:r w:rsidRPr="00F00B77">
        <w:rPr>
          <w:kern w:val="0"/>
          <w:sz w:val="24"/>
        </w:rPr>
        <w:t>8</w:t>
      </w:r>
      <w:r w:rsidRPr="00F00B77">
        <w:rPr>
          <w:rFonts w:hAnsi="宋体"/>
          <w:kern w:val="0"/>
          <w:sz w:val="24"/>
        </w:rPr>
        <w:t>月</w:t>
      </w:r>
      <w:r w:rsidRPr="00F00B77">
        <w:rPr>
          <w:kern w:val="0"/>
          <w:sz w:val="24"/>
        </w:rPr>
        <w:t>4</w:t>
      </w:r>
      <w:r w:rsidRPr="00F00B77">
        <w:rPr>
          <w:rFonts w:hAnsi="宋体"/>
          <w:kern w:val="0"/>
          <w:sz w:val="24"/>
        </w:rPr>
        <w:t>日</w:t>
      </w:r>
    </w:p>
    <w:p w14:paraId="00083C3E"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注册资本：</w:t>
      </w:r>
      <w:r w:rsidRPr="00F00B77">
        <w:rPr>
          <w:kern w:val="0"/>
          <w:sz w:val="24"/>
        </w:rPr>
        <w:t>2</w:t>
      </w:r>
      <w:r w:rsidRPr="00F00B77">
        <w:rPr>
          <w:rFonts w:hAnsi="宋体"/>
          <w:kern w:val="0"/>
          <w:sz w:val="24"/>
        </w:rPr>
        <w:t>亿元人民币</w:t>
      </w:r>
    </w:p>
    <w:p w14:paraId="56FBB8FE"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存续期间：持续经营</w:t>
      </w:r>
    </w:p>
    <w:p w14:paraId="11F4BC88"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联系人：</w:t>
      </w:r>
      <w:r w:rsidR="007E18C3">
        <w:rPr>
          <w:rFonts w:hAnsi="宋体" w:hint="eastAsia"/>
          <w:kern w:val="0"/>
          <w:sz w:val="24"/>
        </w:rPr>
        <w:t>郭佳敏</w:t>
      </w:r>
      <w:r w:rsidR="007E18C3" w:rsidRPr="00F00B77" w:rsidDel="007E18C3">
        <w:rPr>
          <w:rFonts w:hAnsi="宋体" w:hint="eastAsia"/>
          <w:kern w:val="0"/>
          <w:sz w:val="24"/>
        </w:rPr>
        <w:t xml:space="preserve"> </w:t>
      </w:r>
    </w:p>
    <w:p w14:paraId="74F168F9"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007E18C3" w:rsidRPr="00F00B77">
        <w:rPr>
          <w:kern w:val="0"/>
          <w:sz w:val="24"/>
        </w:rPr>
        <w:t>61055</w:t>
      </w:r>
      <w:r w:rsidR="007E18C3">
        <w:rPr>
          <w:kern w:val="0"/>
          <w:sz w:val="24"/>
        </w:rPr>
        <w:t>793</w:t>
      </w:r>
    </w:p>
    <w:p w14:paraId="6C5501C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kern w:val="0"/>
          <w:sz w:val="24"/>
        </w:rPr>
        <w:t>61055034</w:t>
      </w:r>
    </w:p>
    <w:p w14:paraId="143324AA"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hAnsi="宋体" w:hint="eastAsia"/>
          <w:kern w:val="0"/>
          <w:sz w:val="24"/>
        </w:rPr>
        <w:t>交银施罗德基金管理有限公司（以下简称“公司”）经中国证监会证监基金字</w:t>
      </w:r>
      <w:r w:rsidRPr="00F00B77">
        <w:rPr>
          <w:rFonts w:hAnsi="宋体" w:hint="eastAsia"/>
          <w:kern w:val="0"/>
          <w:sz w:val="24"/>
        </w:rPr>
        <w:t>[2005]128</w:t>
      </w:r>
      <w:r w:rsidRPr="00F00B77">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F00B77" w14:paraId="1F97E26D" w14:textId="77777777">
        <w:trPr>
          <w:jc w:val="center"/>
        </w:trPr>
        <w:tc>
          <w:tcPr>
            <w:tcW w:w="7381" w:type="dxa"/>
          </w:tcPr>
          <w:p w14:paraId="091245BC" w14:textId="77777777" w:rsidR="00084DB4" w:rsidRPr="00F00B77" w:rsidRDefault="00084DB4">
            <w:pPr>
              <w:widowControl/>
              <w:adjustRightInd w:val="0"/>
              <w:snapToGrid w:val="0"/>
              <w:jc w:val="center"/>
              <w:rPr>
                <w:kern w:val="0"/>
                <w:sz w:val="24"/>
              </w:rPr>
            </w:pPr>
            <w:r w:rsidRPr="00F00B77">
              <w:rPr>
                <w:rFonts w:hAnsi="宋体"/>
                <w:kern w:val="0"/>
                <w:sz w:val="24"/>
              </w:rPr>
              <w:t>股东名称</w:t>
            </w:r>
          </w:p>
        </w:tc>
        <w:tc>
          <w:tcPr>
            <w:tcW w:w="1475" w:type="dxa"/>
          </w:tcPr>
          <w:p w14:paraId="1D09E4B6" w14:textId="77777777" w:rsidR="00084DB4" w:rsidRPr="00F00B77" w:rsidRDefault="00084DB4">
            <w:pPr>
              <w:widowControl/>
              <w:adjustRightInd w:val="0"/>
              <w:snapToGrid w:val="0"/>
              <w:jc w:val="center"/>
              <w:rPr>
                <w:kern w:val="0"/>
                <w:sz w:val="24"/>
              </w:rPr>
            </w:pPr>
            <w:r w:rsidRPr="00F00B77">
              <w:rPr>
                <w:rFonts w:hAnsi="宋体"/>
                <w:kern w:val="0"/>
                <w:sz w:val="24"/>
              </w:rPr>
              <w:t>股权比例</w:t>
            </w:r>
          </w:p>
        </w:tc>
      </w:tr>
      <w:tr w:rsidR="00084DB4" w:rsidRPr="00F00B77" w14:paraId="35EA17F0" w14:textId="77777777">
        <w:trPr>
          <w:jc w:val="center"/>
        </w:trPr>
        <w:tc>
          <w:tcPr>
            <w:tcW w:w="7381" w:type="dxa"/>
          </w:tcPr>
          <w:p w14:paraId="20D62DF1" w14:textId="77777777" w:rsidR="00084DB4" w:rsidRPr="00F00B77" w:rsidRDefault="00084DB4">
            <w:pPr>
              <w:widowControl/>
              <w:adjustRightInd w:val="0"/>
              <w:snapToGrid w:val="0"/>
              <w:rPr>
                <w:kern w:val="0"/>
                <w:sz w:val="24"/>
              </w:rPr>
            </w:pPr>
            <w:r w:rsidRPr="00F00B77">
              <w:rPr>
                <w:rFonts w:hAnsi="宋体"/>
                <w:kern w:val="0"/>
                <w:sz w:val="24"/>
              </w:rPr>
              <w:t>交通银行股份有限公司（以下使用全称或其简称</w:t>
            </w:r>
            <w:r w:rsidRPr="00F00B77">
              <w:rPr>
                <w:kern w:val="0"/>
                <w:sz w:val="24"/>
              </w:rPr>
              <w:t>“</w:t>
            </w:r>
            <w:r w:rsidRPr="00F00B77">
              <w:rPr>
                <w:rFonts w:hAnsi="宋体"/>
                <w:kern w:val="0"/>
                <w:sz w:val="24"/>
              </w:rPr>
              <w:t>交通银行</w:t>
            </w:r>
            <w:r w:rsidRPr="00F00B77">
              <w:rPr>
                <w:kern w:val="0"/>
                <w:sz w:val="24"/>
              </w:rPr>
              <w:t>”</w:t>
            </w:r>
            <w:r w:rsidRPr="00F00B77">
              <w:rPr>
                <w:rFonts w:hAnsi="宋体"/>
                <w:kern w:val="0"/>
                <w:sz w:val="24"/>
              </w:rPr>
              <w:t>）</w:t>
            </w:r>
          </w:p>
        </w:tc>
        <w:tc>
          <w:tcPr>
            <w:tcW w:w="1475" w:type="dxa"/>
            <w:vAlign w:val="center"/>
          </w:tcPr>
          <w:p w14:paraId="53AD2ED2" w14:textId="77777777" w:rsidR="00084DB4" w:rsidRPr="00F00B77" w:rsidRDefault="00084DB4">
            <w:pPr>
              <w:widowControl/>
              <w:adjustRightInd w:val="0"/>
              <w:snapToGrid w:val="0"/>
              <w:jc w:val="right"/>
              <w:rPr>
                <w:kern w:val="0"/>
                <w:sz w:val="24"/>
              </w:rPr>
            </w:pPr>
            <w:r w:rsidRPr="00F00B77">
              <w:rPr>
                <w:kern w:val="0"/>
                <w:sz w:val="24"/>
              </w:rPr>
              <w:t>65%</w:t>
            </w:r>
          </w:p>
        </w:tc>
      </w:tr>
      <w:tr w:rsidR="00084DB4" w:rsidRPr="00F00B77" w14:paraId="31324708" w14:textId="77777777">
        <w:trPr>
          <w:jc w:val="center"/>
        </w:trPr>
        <w:tc>
          <w:tcPr>
            <w:tcW w:w="7381" w:type="dxa"/>
          </w:tcPr>
          <w:p w14:paraId="70A5305F" w14:textId="77777777" w:rsidR="00084DB4" w:rsidRPr="00F00B77" w:rsidRDefault="00084DB4">
            <w:pPr>
              <w:widowControl/>
              <w:adjustRightInd w:val="0"/>
              <w:snapToGrid w:val="0"/>
              <w:rPr>
                <w:kern w:val="0"/>
                <w:sz w:val="24"/>
              </w:rPr>
            </w:pPr>
            <w:r w:rsidRPr="00F00B77">
              <w:rPr>
                <w:rFonts w:hAnsi="宋体"/>
                <w:kern w:val="0"/>
                <w:sz w:val="24"/>
              </w:rPr>
              <w:t>施罗德投资管理有限公司</w:t>
            </w:r>
          </w:p>
        </w:tc>
        <w:tc>
          <w:tcPr>
            <w:tcW w:w="1475" w:type="dxa"/>
            <w:vAlign w:val="center"/>
          </w:tcPr>
          <w:p w14:paraId="0C3D92B8" w14:textId="77777777" w:rsidR="00084DB4" w:rsidRPr="00F00B77" w:rsidRDefault="00084DB4">
            <w:pPr>
              <w:widowControl/>
              <w:adjustRightInd w:val="0"/>
              <w:snapToGrid w:val="0"/>
              <w:jc w:val="right"/>
              <w:rPr>
                <w:kern w:val="0"/>
                <w:sz w:val="24"/>
              </w:rPr>
            </w:pPr>
            <w:r w:rsidRPr="00F00B77">
              <w:rPr>
                <w:kern w:val="0"/>
                <w:sz w:val="24"/>
              </w:rPr>
              <w:t>30%</w:t>
            </w:r>
          </w:p>
        </w:tc>
      </w:tr>
      <w:tr w:rsidR="00084DB4" w:rsidRPr="00F00B77" w14:paraId="0D880423" w14:textId="77777777">
        <w:trPr>
          <w:jc w:val="center"/>
        </w:trPr>
        <w:tc>
          <w:tcPr>
            <w:tcW w:w="7381" w:type="dxa"/>
          </w:tcPr>
          <w:p w14:paraId="70DBBB7F" w14:textId="77777777" w:rsidR="00084DB4" w:rsidRPr="00F00B77" w:rsidRDefault="00084DB4">
            <w:pPr>
              <w:widowControl/>
              <w:adjustRightInd w:val="0"/>
              <w:snapToGrid w:val="0"/>
              <w:rPr>
                <w:kern w:val="0"/>
                <w:sz w:val="24"/>
              </w:rPr>
            </w:pPr>
            <w:r w:rsidRPr="00F00B77">
              <w:rPr>
                <w:rFonts w:hAnsi="宋体"/>
                <w:kern w:val="0"/>
                <w:sz w:val="24"/>
              </w:rPr>
              <w:t>中国国际海运集装箱（集团）股份有限公司</w:t>
            </w:r>
          </w:p>
        </w:tc>
        <w:tc>
          <w:tcPr>
            <w:tcW w:w="1475" w:type="dxa"/>
            <w:vAlign w:val="center"/>
          </w:tcPr>
          <w:p w14:paraId="38B4DCD1" w14:textId="77777777" w:rsidR="00084DB4" w:rsidRPr="00F00B77" w:rsidRDefault="00084DB4">
            <w:pPr>
              <w:widowControl/>
              <w:adjustRightInd w:val="0"/>
              <w:snapToGrid w:val="0"/>
              <w:jc w:val="right"/>
              <w:rPr>
                <w:kern w:val="0"/>
                <w:sz w:val="24"/>
              </w:rPr>
            </w:pPr>
            <w:r w:rsidRPr="00F00B77">
              <w:rPr>
                <w:kern w:val="0"/>
                <w:sz w:val="24"/>
              </w:rPr>
              <w:t>5%</w:t>
            </w:r>
          </w:p>
        </w:tc>
      </w:tr>
    </w:tbl>
    <w:p w14:paraId="36136DC2" w14:textId="77777777" w:rsidR="00084DB4" w:rsidRPr="00F00B77" w:rsidRDefault="00084DB4">
      <w:pPr>
        <w:adjustRightInd w:val="0"/>
        <w:snapToGrid w:val="0"/>
        <w:spacing w:line="360" w:lineRule="auto"/>
        <w:ind w:firstLineChars="200" w:firstLine="482"/>
        <w:rPr>
          <w:rFonts w:hAnsi="宋体"/>
          <w:b/>
          <w:kern w:val="0"/>
          <w:sz w:val="24"/>
        </w:rPr>
      </w:pPr>
      <w:r w:rsidRPr="00F00B77">
        <w:rPr>
          <w:rFonts w:hAnsi="宋体"/>
          <w:b/>
          <w:kern w:val="0"/>
          <w:sz w:val="24"/>
        </w:rPr>
        <w:t>（二）主要成员情况</w:t>
      </w:r>
      <w:r w:rsidRPr="00F00B77">
        <w:rPr>
          <w:rFonts w:hAnsi="宋体"/>
          <w:b/>
          <w:kern w:val="0"/>
          <w:sz w:val="24"/>
        </w:rPr>
        <w:t xml:space="preserve"> </w:t>
      </w:r>
    </w:p>
    <w:p w14:paraId="22668A6A" w14:textId="77777777" w:rsidR="00084DB4" w:rsidRPr="00F00B77" w:rsidRDefault="00084DB4">
      <w:pPr>
        <w:widowControl/>
        <w:adjustRightInd w:val="0"/>
        <w:snapToGrid w:val="0"/>
        <w:spacing w:line="360" w:lineRule="auto"/>
        <w:ind w:firstLineChars="200" w:firstLine="480"/>
        <w:jc w:val="left"/>
        <w:rPr>
          <w:kern w:val="0"/>
          <w:sz w:val="24"/>
        </w:rPr>
      </w:pPr>
      <w:r w:rsidRPr="00F00B77">
        <w:rPr>
          <w:kern w:val="0"/>
          <w:sz w:val="24"/>
        </w:rPr>
        <w:t>1</w:t>
      </w:r>
      <w:r w:rsidRPr="00F00B77">
        <w:rPr>
          <w:rFonts w:hAnsi="宋体"/>
          <w:kern w:val="0"/>
          <w:sz w:val="24"/>
        </w:rPr>
        <w:t>、基金管理人董事会成员</w:t>
      </w:r>
      <w:r w:rsidRPr="00F00B77">
        <w:rPr>
          <w:kern w:val="0"/>
          <w:sz w:val="24"/>
        </w:rPr>
        <w:t xml:space="preserve"> </w:t>
      </w:r>
    </w:p>
    <w:p w14:paraId="52D8BD4D" w14:textId="77777777" w:rsidR="00084DB4" w:rsidRPr="00F00B77" w:rsidRDefault="00084DB4">
      <w:pPr>
        <w:widowControl/>
        <w:adjustRightInd w:val="0"/>
        <w:snapToGrid w:val="0"/>
        <w:spacing w:line="360" w:lineRule="auto"/>
        <w:ind w:firstLineChars="200" w:firstLine="480"/>
        <w:jc w:val="left"/>
        <w:rPr>
          <w:rFonts w:hAnsi="宋体"/>
          <w:kern w:val="0"/>
          <w:sz w:val="24"/>
        </w:rPr>
      </w:pPr>
      <w:bookmarkStart w:id="9" w:name="OLE_LINK2"/>
      <w:r w:rsidRPr="00F00B77">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5FE32709" w14:textId="77777777" w:rsidR="00084DB4" w:rsidRPr="00F00B77" w:rsidRDefault="001A365C">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85D6BF9"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303F1EC" w14:textId="77777777" w:rsidR="00084DB4" w:rsidRPr="00F00B77" w:rsidRDefault="001A365C">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6964A2A1"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孙培基先生，董事，学士学位。</w:t>
      </w:r>
      <w:r w:rsidR="007E18C3" w:rsidRPr="007E18C3">
        <w:rPr>
          <w:rFonts w:hAnsi="宋体" w:hint="eastAsia"/>
          <w:kern w:val="0"/>
          <w:sz w:val="24"/>
        </w:rPr>
        <w:t>现任交通银行上海分行党委委员、纪委书记。历任交通银行风险管理部副总经理、</w:t>
      </w:r>
      <w:r w:rsidRPr="00F00B77">
        <w:rPr>
          <w:rFonts w:hAnsi="宋体" w:hint="eastAsia"/>
          <w:kern w:val="0"/>
          <w:sz w:val="24"/>
        </w:rPr>
        <w:t>交通银行财会部副处长，交通银行董事会办公室副处长、处长，交通银行预算财务部高级经理，交通银行海南分行副行长，交通银行审计部副总经理。</w:t>
      </w:r>
    </w:p>
    <w:p w14:paraId="54BFE7A8" w14:textId="77777777" w:rsidR="007E18C3" w:rsidRDefault="007E18C3">
      <w:pPr>
        <w:widowControl/>
        <w:adjustRightInd w:val="0"/>
        <w:snapToGrid w:val="0"/>
        <w:spacing w:line="360" w:lineRule="auto"/>
        <w:ind w:firstLineChars="200" w:firstLine="480"/>
        <w:jc w:val="left"/>
        <w:rPr>
          <w:rFonts w:hAnsi="宋体"/>
          <w:kern w:val="0"/>
          <w:sz w:val="24"/>
        </w:rPr>
      </w:pPr>
      <w:r w:rsidRPr="007E18C3">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1270AD2"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谢丹阳先生，独立董事，博士学位。现任香港科技大学经济系教授。历任</w:t>
      </w:r>
      <w:r w:rsidR="007E18C3" w:rsidRPr="007E18C3">
        <w:rPr>
          <w:rFonts w:hAnsi="宋体" w:hint="eastAsia"/>
          <w:kern w:val="0"/>
          <w:sz w:val="24"/>
        </w:rPr>
        <w:t>武汉大学经济与管理学院院长、</w:t>
      </w:r>
      <w:r w:rsidRPr="00F00B77">
        <w:rPr>
          <w:rFonts w:hAnsi="宋体" w:hint="eastAsia"/>
          <w:kern w:val="0"/>
          <w:sz w:val="24"/>
        </w:rPr>
        <w:t>蒙特利尔大学经济系助理教授，国际货币基金经济学家和高级经济学家，香港科技大学助理教授、副教授、教授、系主任、瑞安经管中心主任。</w:t>
      </w:r>
    </w:p>
    <w:p w14:paraId="31D6FE9F"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袁志刚先生，独立董事，博士学位。现任复旦大学经济学院教授。历任复旦大学经济学院副教授、教授、经济系系主任、经济学院院长。</w:t>
      </w:r>
    </w:p>
    <w:p w14:paraId="1FF2D58F"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41F7807A"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kern w:val="0"/>
          <w:sz w:val="24"/>
        </w:rPr>
        <w:t>2</w:t>
      </w:r>
      <w:r w:rsidRPr="00F00B77">
        <w:rPr>
          <w:rFonts w:hAnsi="宋体"/>
          <w:kern w:val="0"/>
          <w:sz w:val="24"/>
        </w:rPr>
        <w:t>、基金管理人监事会成员</w:t>
      </w:r>
      <w:r w:rsidRPr="00F00B77">
        <w:rPr>
          <w:rFonts w:hAnsi="宋体"/>
          <w:kern w:val="0"/>
          <w:sz w:val="24"/>
        </w:rPr>
        <w:t xml:space="preserve"> </w:t>
      </w:r>
    </w:p>
    <w:p w14:paraId="4F08A4A2" w14:textId="77777777" w:rsidR="00084DB4" w:rsidRPr="00F00B77" w:rsidRDefault="00084DB4">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9A0AC4D" w14:textId="77777777" w:rsidR="00084DB4" w:rsidRPr="00F00B77" w:rsidRDefault="00084DB4">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F00B77">
        <w:rPr>
          <w:rFonts w:hint="eastAsia"/>
          <w:kern w:val="0"/>
          <w:sz w:val="24"/>
          <w:szCs w:val="24"/>
        </w:rPr>
        <w:t>MIDAS-KAPITI INTERNATIONAL LIMITED</w:t>
      </w:r>
      <w:r w:rsidRPr="00F00B77">
        <w:rPr>
          <w:rFonts w:hint="eastAsia"/>
          <w:kern w:val="0"/>
          <w:sz w:val="24"/>
          <w:szCs w:val="24"/>
        </w:rPr>
        <w:t>，施罗德投资管理</w:t>
      </w:r>
      <w:r w:rsidRPr="00F00B77">
        <w:rPr>
          <w:rFonts w:hint="eastAsia"/>
          <w:kern w:val="0"/>
          <w:sz w:val="24"/>
          <w:szCs w:val="24"/>
        </w:rPr>
        <w:t>(</w:t>
      </w:r>
      <w:r w:rsidRPr="00F00B77">
        <w:rPr>
          <w:rFonts w:hint="eastAsia"/>
          <w:kern w:val="0"/>
          <w:sz w:val="24"/>
          <w:szCs w:val="24"/>
        </w:rPr>
        <w:t>香港</w:t>
      </w:r>
      <w:r w:rsidRPr="00F00B77">
        <w:rPr>
          <w:rFonts w:hint="eastAsia"/>
          <w:kern w:val="0"/>
          <w:sz w:val="24"/>
          <w:szCs w:val="24"/>
        </w:rPr>
        <w:t>)</w:t>
      </w:r>
      <w:r w:rsidRPr="00F00B77">
        <w:rPr>
          <w:rFonts w:hint="eastAsia"/>
          <w:kern w:val="0"/>
          <w:sz w:val="24"/>
          <w:szCs w:val="24"/>
        </w:rPr>
        <w:t>有限公司资讯科技部主管、中国事务联席董事、交银施罗德基金管理有限公司监察稽核及风险管理总监。</w:t>
      </w:r>
    </w:p>
    <w:p w14:paraId="43FECA75" w14:textId="77777777" w:rsidR="001A365C" w:rsidRPr="00F00B77" w:rsidRDefault="001A365C" w:rsidP="001A365C">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0A9C518" w14:textId="6E875F18" w:rsidR="008A496B" w:rsidRPr="00F00B77" w:rsidRDefault="001A365C">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佘川女士，监事、</w:t>
      </w:r>
      <w:r w:rsidR="004C3AEA" w:rsidRPr="00C71AF4">
        <w:rPr>
          <w:rFonts w:hint="eastAsia"/>
          <w:kern w:val="0"/>
          <w:sz w:val="24"/>
          <w:szCs w:val="24"/>
        </w:rPr>
        <w:t>硕士学位</w:t>
      </w:r>
      <w:r w:rsidRPr="007E18C3">
        <w:rPr>
          <w:rFonts w:hint="eastAsia"/>
          <w:kern w:val="0"/>
          <w:sz w:val="24"/>
          <w:szCs w:val="24"/>
        </w:rPr>
        <w:t>。现任</w:t>
      </w:r>
      <w:r w:rsidRPr="00F00B77">
        <w:rPr>
          <w:rFonts w:hint="eastAsia"/>
          <w:kern w:val="0"/>
          <w:sz w:val="24"/>
          <w:szCs w:val="24"/>
        </w:rPr>
        <w:t>交银施罗德基金管理有限公司投资运营总监。历任华泰证券</w:t>
      </w:r>
      <w:r w:rsidR="00D859E3">
        <w:rPr>
          <w:rFonts w:hint="eastAsia"/>
          <w:kern w:val="0"/>
          <w:sz w:val="24"/>
          <w:szCs w:val="24"/>
        </w:rPr>
        <w:t>股份</w:t>
      </w:r>
      <w:r w:rsidR="00D859E3">
        <w:rPr>
          <w:kern w:val="0"/>
          <w:sz w:val="24"/>
          <w:szCs w:val="24"/>
        </w:rPr>
        <w:t>有限</w:t>
      </w:r>
      <w:r w:rsidRPr="00F00B77">
        <w:rPr>
          <w:rFonts w:hint="eastAsia"/>
          <w:kern w:val="0"/>
          <w:sz w:val="24"/>
          <w:szCs w:val="24"/>
        </w:rPr>
        <w:t>公司综合发展部高级经理、投资银行部项目经理，银河基金管理有限公司监察部总监，交银施罗德基金管理有限公司监察稽核部总经理、监察风控副总监。</w:t>
      </w:r>
    </w:p>
    <w:bookmarkEnd w:id="9"/>
    <w:p w14:paraId="2BFAF459" w14:textId="77777777" w:rsidR="00084DB4" w:rsidRPr="00F00B77" w:rsidRDefault="00084DB4">
      <w:pPr>
        <w:widowControl/>
        <w:adjustRightInd w:val="0"/>
        <w:snapToGrid w:val="0"/>
        <w:spacing w:line="360" w:lineRule="auto"/>
        <w:ind w:firstLineChars="200" w:firstLine="480"/>
        <w:jc w:val="left"/>
        <w:rPr>
          <w:kern w:val="0"/>
          <w:sz w:val="24"/>
        </w:rPr>
      </w:pPr>
      <w:r w:rsidRPr="00F00B77">
        <w:rPr>
          <w:kern w:val="0"/>
          <w:sz w:val="24"/>
        </w:rPr>
        <w:t>3</w:t>
      </w:r>
      <w:r w:rsidRPr="00F00B77">
        <w:rPr>
          <w:rFonts w:hAnsi="宋体"/>
          <w:kern w:val="0"/>
          <w:sz w:val="24"/>
        </w:rPr>
        <w:t>、</w:t>
      </w:r>
      <w:r w:rsidRPr="00F00B77">
        <w:rPr>
          <w:kern w:val="0"/>
          <w:sz w:val="24"/>
          <w:szCs w:val="24"/>
        </w:rPr>
        <w:t>基金管理人高级管理</w:t>
      </w:r>
      <w:r w:rsidRPr="00F00B77">
        <w:rPr>
          <w:rFonts w:hAnsi="宋体"/>
          <w:kern w:val="0"/>
          <w:sz w:val="24"/>
        </w:rPr>
        <w:t>人员</w:t>
      </w:r>
      <w:r w:rsidRPr="00F00B77">
        <w:rPr>
          <w:kern w:val="0"/>
          <w:sz w:val="24"/>
        </w:rPr>
        <w:t xml:space="preserve"> </w:t>
      </w:r>
    </w:p>
    <w:p w14:paraId="557CD0E0"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阮红女士，总经理</w:t>
      </w:r>
      <w:r w:rsidRPr="00F00B77">
        <w:rPr>
          <w:rFonts w:hint="eastAsia"/>
          <w:kern w:val="0"/>
          <w:sz w:val="24"/>
        </w:rPr>
        <w:t>。简历同上。</w:t>
      </w:r>
      <w:r w:rsidRPr="00F00B77">
        <w:rPr>
          <w:rFonts w:hint="eastAsia"/>
          <w:kern w:val="0"/>
          <w:sz w:val="24"/>
          <w:szCs w:val="24"/>
        </w:rPr>
        <w:t xml:space="preserve"> </w:t>
      </w:r>
    </w:p>
    <w:p w14:paraId="3065F359"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许珊燕女士，副总经理，硕士学历，高级经济师，兼任交银施罗德资产管理有限公司董事。历任湖南大学</w:t>
      </w:r>
      <w:r w:rsidRPr="00F00B77">
        <w:rPr>
          <w:rFonts w:hint="eastAsia"/>
          <w:kern w:val="0"/>
          <w:sz w:val="24"/>
        </w:rPr>
        <w:t>(</w:t>
      </w:r>
      <w:r w:rsidRPr="00F00B77">
        <w:rPr>
          <w:rFonts w:hint="eastAsia"/>
          <w:kern w:val="0"/>
          <w:sz w:val="24"/>
        </w:rPr>
        <w:t>原湖南财经学院</w:t>
      </w:r>
      <w:r w:rsidRPr="00F00B77">
        <w:rPr>
          <w:rFonts w:hint="eastAsia"/>
          <w:kern w:val="0"/>
          <w:sz w:val="24"/>
        </w:rPr>
        <w:t>)</w:t>
      </w:r>
      <w:r w:rsidRPr="00F00B77">
        <w:rPr>
          <w:rFonts w:hint="eastAsia"/>
          <w:kern w:val="0"/>
          <w:sz w:val="24"/>
        </w:rPr>
        <w:t>金融学院讲师，湘财证券有限责任公司国债部副经理、基金管理总部总经理，湘财荷银基金管理有限公司副总经理。</w:t>
      </w:r>
    </w:p>
    <w:p w14:paraId="52356C3B"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374CC" w:rsidRPr="00F00B77">
        <w:rPr>
          <w:rFonts w:hint="eastAsia"/>
          <w:kern w:val="0"/>
          <w:sz w:val="24"/>
          <w:szCs w:val="24"/>
        </w:rPr>
        <w:t>交通银行资产托管业务中心副总裁；</w:t>
      </w:r>
      <w:r w:rsidRPr="00F00B77">
        <w:rPr>
          <w:rFonts w:hint="eastAsia"/>
          <w:kern w:val="0"/>
          <w:sz w:val="24"/>
          <w:szCs w:val="24"/>
        </w:rPr>
        <w:t>云南省曲靖市市委常委、副市长（挂职）。</w:t>
      </w:r>
    </w:p>
    <w:p w14:paraId="6685F789"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C763662" w14:textId="77777777" w:rsidR="001A365C"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E1131DC" w14:textId="77777777" w:rsidR="00084DB4" w:rsidRPr="00F00B77" w:rsidRDefault="001A365C">
      <w:pPr>
        <w:widowControl/>
        <w:adjustRightInd w:val="0"/>
        <w:snapToGrid w:val="0"/>
        <w:spacing w:line="360" w:lineRule="auto"/>
        <w:ind w:firstLineChars="200" w:firstLine="480"/>
        <w:rPr>
          <w:kern w:val="0"/>
          <w:sz w:val="24"/>
          <w:szCs w:val="24"/>
        </w:rPr>
      </w:pPr>
      <w:r w:rsidRPr="00F00B77">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4B279C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、本基金基金经理</w:t>
      </w:r>
      <w:r w:rsidRPr="00F00B77">
        <w:rPr>
          <w:kern w:val="0"/>
          <w:sz w:val="24"/>
        </w:rPr>
        <w:t xml:space="preserve"> </w:t>
      </w:r>
    </w:p>
    <w:p w14:paraId="1DF57067" w14:textId="3AAF9B9E" w:rsidR="00084DB4" w:rsidRPr="00F00B77" w:rsidRDefault="00084DB4" w:rsidP="00502ED4">
      <w:pPr>
        <w:widowControl/>
        <w:adjustRightInd w:val="0"/>
        <w:snapToGrid w:val="0"/>
        <w:spacing w:line="360" w:lineRule="auto"/>
        <w:ind w:firstLineChars="200" w:firstLine="480"/>
        <w:rPr>
          <w:rFonts w:ascii="宋体" w:hAnsi="宋体"/>
          <w:sz w:val="24"/>
        </w:rPr>
      </w:pPr>
      <w:r w:rsidRPr="00F00B77">
        <w:rPr>
          <w:rFonts w:ascii="宋体" w:hAnsi="宋体" w:hint="eastAsia"/>
          <w:sz w:val="24"/>
        </w:rPr>
        <w:t>黄莹洁女士，</w:t>
      </w:r>
      <w:r w:rsidR="00AF49F4" w:rsidRPr="00F00B77">
        <w:rPr>
          <w:rFonts w:ascii="宋体" w:hAnsi="宋体" w:hint="eastAsia"/>
          <w:sz w:val="24"/>
        </w:rPr>
        <w:t>香港大学工商管理硕士、北京大学经济学、管理学双学士。</w:t>
      </w:r>
      <w:r w:rsidR="005E3BF3" w:rsidRPr="005E3BF3">
        <w:rPr>
          <w:rFonts w:ascii="宋体" w:hAnsi="宋体" w:hint="eastAsia"/>
          <w:sz w:val="24"/>
        </w:rPr>
        <w:t>9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7月25日起担任交银施罗德丰泽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6BE5D4FD" w14:textId="38561DBA" w:rsidR="00084DB4" w:rsidRPr="00F00B77" w:rsidRDefault="00084DB4" w:rsidP="00502ED4">
      <w:pPr>
        <w:widowControl/>
        <w:adjustRightInd w:val="0"/>
        <w:snapToGrid w:val="0"/>
        <w:spacing w:line="360" w:lineRule="auto"/>
        <w:ind w:firstLineChars="200" w:firstLine="480"/>
        <w:rPr>
          <w:rFonts w:ascii="宋体" w:hAnsi="宋体"/>
          <w:sz w:val="24"/>
        </w:rPr>
      </w:pPr>
      <w:r w:rsidRPr="00F00B77">
        <w:rPr>
          <w:rFonts w:ascii="宋体" w:hAnsi="宋体" w:hint="eastAsia"/>
          <w:sz w:val="24"/>
        </w:rPr>
        <w:t>连端清先生，</w:t>
      </w:r>
      <w:r w:rsidR="00AF49F4" w:rsidRPr="00F00B77">
        <w:rPr>
          <w:rFonts w:ascii="宋体" w:hAnsi="宋体" w:hint="eastAsia"/>
          <w:sz w:val="24"/>
        </w:rPr>
        <w:t>复旦大学经济学博士。</w:t>
      </w:r>
      <w:r w:rsidR="005E3BF3" w:rsidRPr="005E3BF3">
        <w:rPr>
          <w:rFonts w:ascii="宋体" w:hAnsi="宋体" w:hint="eastAsia"/>
          <w:sz w:val="24"/>
        </w:rPr>
        <w:t>2009年至2011年于交通银行总行金融市场部任职，2011年至2013年任湘财证券研究所研究员，2013年至2015年任中航信托资产管理部投资经理。2015年加入交银施罗德基金管理有限公司。</w:t>
      </w:r>
      <w:r w:rsidR="001A322F">
        <w:rPr>
          <w:rFonts w:ascii="宋体" w:hAnsi="宋体" w:hint="eastAsia"/>
          <w:sz w:val="24"/>
        </w:rPr>
        <w:t>自</w:t>
      </w:r>
      <w:r w:rsidR="005E3BF3" w:rsidRPr="005E3BF3">
        <w:rPr>
          <w:rFonts w:ascii="宋体" w:hAnsi="宋体" w:hint="eastAsia"/>
          <w:sz w:val="24"/>
        </w:rPr>
        <w:t>2015年8月4日起担任交银施罗德丰盈收益债券型证券投资基金、交银施罗德现金宝货币市场基金、交银施罗德丰润收益债券型证券投资基金的基金经理至今，</w:t>
      </w:r>
      <w:r w:rsidR="001A322F">
        <w:rPr>
          <w:rFonts w:ascii="宋体" w:hAnsi="宋体" w:hint="eastAsia"/>
          <w:sz w:val="24"/>
        </w:rPr>
        <w:t>自</w:t>
      </w:r>
      <w:r w:rsidR="005E3BF3" w:rsidRPr="005E3BF3">
        <w:rPr>
          <w:rFonts w:ascii="宋体" w:hAnsi="宋体" w:hint="eastAsia"/>
          <w:sz w:val="24"/>
        </w:rPr>
        <w:t>2015年10月16日起担任交银施罗德货币市场证券投资基金、交银施罗德理财60天债券型证券投资基金基金经理至今，</w:t>
      </w:r>
      <w:r w:rsidR="001A322F">
        <w:rPr>
          <w:rFonts w:ascii="宋体" w:hAnsi="宋体" w:hint="eastAsia"/>
          <w:sz w:val="24"/>
        </w:rPr>
        <w:t>自</w:t>
      </w:r>
      <w:r w:rsidR="005E3BF3" w:rsidRPr="005E3BF3">
        <w:rPr>
          <w:rFonts w:ascii="宋体" w:hAnsi="宋体" w:hint="eastAsia"/>
          <w:sz w:val="24"/>
        </w:rPr>
        <w:t>2016年7月27日起担任交银施罗德活期通货币市场基金基金经理至今，</w:t>
      </w:r>
      <w:r w:rsidR="001A322F">
        <w:rPr>
          <w:rFonts w:ascii="宋体" w:hAnsi="宋体" w:hint="eastAsia"/>
          <w:sz w:val="24"/>
        </w:rPr>
        <w:t>自</w:t>
      </w:r>
      <w:r w:rsidR="005E3BF3" w:rsidRPr="005E3BF3">
        <w:rPr>
          <w:rFonts w:ascii="宋体" w:hAnsi="宋体" w:hint="eastAsia"/>
          <w:sz w:val="24"/>
        </w:rPr>
        <w:t>2016年10月19日起担任交银施罗德天利宝货币市场基金基金经理至今，</w:t>
      </w:r>
      <w:r w:rsidR="001A322F">
        <w:rPr>
          <w:rFonts w:ascii="宋体" w:hAnsi="宋体" w:hint="eastAsia"/>
          <w:sz w:val="24"/>
        </w:rPr>
        <w:t>自</w:t>
      </w:r>
      <w:r w:rsidR="005E3BF3" w:rsidRPr="005E3BF3">
        <w:rPr>
          <w:rFonts w:ascii="宋体" w:hAnsi="宋体" w:hint="eastAsia"/>
          <w:sz w:val="24"/>
        </w:rPr>
        <w:t>2016年11月28日起担任交银施罗德裕隆纯债债券型证券投资基金基金经理至今，</w:t>
      </w:r>
      <w:r w:rsidR="001A322F">
        <w:rPr>
          <w:rFonts w:ascii="宋体" w:hAnsi="宋体" w:hint="eastAsia"/>
          <w:sz w:val="24"/>
        </w:rPr>
        <w:t>自</w:t>
      </w:r>
      <w:r w:rsidR="005E3BF3" w:rsidRPr="005E3BF3">
        <w:rPr>
          <w:rFonts w:ascii="宋体" w:hAnsi="宋体" w:hint="eastAsia"/>
          <w:sz w:val="24"/>
        </w:rPr>
        <w:t>2016年12月7日起担任交银施罗德天鑫宝货币市场基金基金经理至今，</w:t>
      </w:r>
      <w:r w:rsidR="001A322F">
        <w:rPr>
          <w:rFonts w:ascii="宋体" w:hAnsi="宋体" w:hint="eastAsia"/>
          <w:sz w:val="24"/>
        </w:rPr>
        <w:t>自</w:t>
      </w:r>
      <w:r w:rsidR="005E3BF3" w:rsidRPr="005E3BF3">
        <w:rPr>
          <w:rFonts w:ascii="宋体" w:hAnsi="宋体" w:hint="eastAsia"/>
          <w:sz w:val="24"/>
        </w:rPr>
        <w:t>2016年12月20日起担任交银施罗德天益宝货币市场基金基金经理至今，</w:t>
      </w:r>
      <w:r w:rsidR="001A322F">
        <w:rPr>
          <w:rFonts w:ascii="宋体" w:hAnsi="宋体" w:hint="eastAsia"/>
          <w:sz w:val="24"/>
        </w:rPr>
        <w:t>自</w:t>
      </w:r>
      <w:r w:rsidR="005E3BF3" w:rsidRPr="005E3BF3">
        <w:rPr>
          <w:rFonts w:ascii="宋体" w:hAnsi="宋体" w:hint="eastAsia"/>
          <w:sz w:val="24"/>
        </w:rPr>
        <w:t>2017年3月3日起担任交银施罗德境尚收益债券型证券投资基金基金经理至今，</w:t>
      </w:r>
      <w:r w:rsidR="001A322F">
        <w:rPr>
          <w:rFonts w:ascii="宋体" w:hAnsi="宋体" w:hint="eastAsia"/>
          <w:sz w:val="24"/>
        </w:rPr>
        <w:t>自</w:t>
      </w:r>
      <w:r w:rsidR="005E3BF3" w:rsidRPr="005E3BF3">
        <w:rPr>
          <w:rFonts w:ascii="宋体" w:hAnsi="宋体" w:hint="eastAsia"/>
          <w:sz w:val="24"/>
        </w:rPr>
        <w:t>2017年3月31日起担任交银施罗德裕兴纯债债券型证券投资基金、交银施罗德裕盈纯债债券型证券投资基金、交银施罗德裕利纯债债券型证券投资基金基金经理至今。</w:t>
      </w:r>
    </w:p>
    <w:p w14:paraId="6B28E93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、投资决策委员会成员</w:t>
      </w:r>
      <w:r w:rsidRPr="00F00B77">
        <w:rPr>
          <w:kern w:val="0"/>
          <w:sz w:val="24"/>
        </w:rPr>
        <w:t xml:space="preserve"> </w:t>
      </w:r>
    </w:p>
    <w:p w14:paraId="1B88C8C4" w14:textId="77777777" w:rsidR="00084DB4" w:rsidRPr="00F00B77" w:rsidRDefault="00084DB4">
      <w:pPr>
        <w:adjustRightInd w:val="0"/>
        <w:snapToGrid w:val="0"/>
        <w:spacing w:line="360" w:lineRule="auto"/>
        <w:ind w:firstLineChars="200" w:firstLine="480"/>
        <w:rPr>
          <w:kern w:val="0"/>
          <w:sz w:val="24"/>
          <w:szCs w:val="24"/>
        </w:rPr>
      </w:pPr>
      <w:r w:rsidRPr="00F00B77">
        <w:rPr>
          <w:kern w:val="0"/>
          <w:sz w:val="24"/>
        </w:rPr>
        <w:t>委员：</w:t>
      </w:r>
      <w:r w:rsidRPr="00F00B77">
        <w:rPr>
          <w:rFonts w:hint="eastAsia"/>
          <w:kern w:val="0"/>
          <w:sz w:val="24"/>
        </w:rPr>
        <w:t xml:space="preserve"> </w:t>
      </w:r>
      <w:r w:rsidRPr="00F00B77">
        <w:rPr>
          <w:rFonts w:hint="eastAsia"/>
          <w:kern w:val="0"/>
          <w:sz w:val="24"/>
          <w:szCs w:val="24"/>
        </w:rPr>
        <w:t>阮红（总经理）</w:t>
      </w:r>
    </w:p>
    <w:p w14:paraId="698AC790" w14:textId="77777777" w:rsidR="00084DB4" w:rsidRPr="00F00B77" w:rsidRDefault="00084DB4">
      <w:pPr>
        <w:adjustRightInd w:val="0"/>
        <w:snapToGrid w:val="0"/>
        <w:spacing w:line="360" w:lineRule="auto"/>
        <w:ind w:firstLineChars="550" w:firstLine="1320"/>
        <w:rPr>
          <w:kern w:val="0"/>
          <w:sz w:val="24"/>
          <w:szCs w:val="24"/>
        </w:rPr>
      </w:pPr>
      <w:r w:rsidRPr="00F00B77">
        <w:rPr>
          <w:rFonts w:hint="eastAsia"/>
          <w:kern w:val="0"/>
          <w:sz w:val="24"/>
          <w:szCs w:val="24"/>
        </w:rPr>
        <w:t>王少成（权益投资总监、基金经理）</w:t>
      </w:r>
    </w:p>
    <w:p w14:paraId="0C16E0A4" w14:textId="77777777" w:rsidR="001A365C" w:rsidRPr="00F00B77" w:rsidRDefault="001A365C" w:rsidP="001A365C">
      <w:pPr>
        <w:adjustRightInd w:val="0"/>
        <w:snapToGrid w:val="0"/>
        <w:spacing w:line="360" w:lineRule="auto"/>
        <w:ind w:firstLineChars="550" w:firstLine="1320"/>
        <w:rPr>
          <w:kern w:val="0"/>
          <w:sz w:val="24"/>
          <w:szCs w:val="24"/>
        </w:rPr>
      </w:pPr>
      <w:r w:rsidRPr="00F00B77">
        <w:rPr>
          <w:rFonts w:hint="eastAsia"/>
          <w:kern w:val="0"/>
          <w:sz w:val="24"/>
          <w:szCs w:val="24"/>
        </w:rPr>
        <w:t>齐</w:t>
      </w:r>
      <w:r w:rsidRPr="00F00B77">
        <w:rPr>
          <w:rFonts w:hint="eastAsia"/>
          <w:kern w:val="0"/>
          <w:sz w:val="24"/>
        </w:rPr>
        <w:t>晧</w:t>
      </w:r>
      <w:r w:rsidRPr="00F00B77">
        <w:rPr>
          <w:rFonts w:hint="eastAsia"/>
          <w:kern w:val="0"/>
          <w:sz w:val="24"/>
          <w:szCs w:val="24"/>
        </w:rPr>
        <w:t>（跨境投资总监、</w:t>
      </w:r>
      <w:r w:rsidRPr="00F00B77">
        <w:rPr>
          <w:kern w:val="0"/>
          <w:sz w:val="24"/>
          <w:szCs w:val="24"/>
        </w:rPr>
        <w:t>投资经理</w:t>
      </w:r>
      <w:r w:rsidRPr="00F00B77">
        <w:rPr>
          <w:rFonts w:hint="eastAsia"/>
          <w:kern w:val="0"/>
          <w:sz w:val="24"/>
          <w:szCs w:val="24"/>
        </w:rPr>
        <w:t>）</w:t>
      </w:r>
    </w:p>
    <w:p w14:paraId="64B4BAAF" w14:textId="77777777" w:rsidR="001A365C" w:rsidRPr="00F00B77" w:rsidRDefault="001A365C" w:rsidP="001A365C">
      <w:pPr>
        <w:adjustRightInd w:val="0"/>
        <w:snapToGrid w:val="0"/>
        <w:spacing w:line="360" w:lineRule="auto"/>
        <w:ind w:firstLineChars="550" w:firstLine="1320"/>
        <w:rPr>
          <w:kern w:val="0"/>
          <w:sz w:val="24"/>
          <w:szCs w:val="24"/>
        </w:rPr>
      </w:pPr>
      <w:r w:rsidRPr="00F00B77">
        <w:rPr>
          <w:rFonts w:hint="eastAsia"/>
          <w:kern w:val="0"/>
          <w:sz w:val="24"/>
          <w:szCs w:val="24"/>
        </w:rPr>
        <w:t>于海颖（</w:t>
      </w:r>
      <w:r w:rsidRPr="00F00B77">
        <w:rPr>
          <w:kern w:val="0"/>
          <w:sz w:val="24"/>
          <w:szCs w:val="24"/>
        </w:rPr>
        <w:t>固定收益（公募）投资总监、基金经理）</w:t>
      </w:r>
    </w:p>
    <w:p w14:paraId="046AB3E1" w14:textId="77777777" w:rsidR="00084DB4" w:rsidRPr="00F00B77" w:rsidRDefault="00862C1D">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F00B77">
        <w:rPr>
          <w:rFonts w:hint="eastAsia"/>
          <w:kern w:val="0"/>
          <w:sz w:val="24"/>
          <w:szCs w:val="24"/>
        </w:rPr>
        <w:t>（研究</w:t>
      </w:r>
      <w:r>
        <w:rPr>
          <w:rFonts w:hint="eastAsia"/>
          <w:kern w:val="0"/>
          <w:sz w:val="24"/>
          <w:szCs w:val="24"/>
        </w:rPr>
        <w:t>总监</w:t>
      </w:r>
      <w:r w:rsidR="00084DB4" w:rsidRPr="00F00B77">
        <w:rPr>
          <w:rFonts w:hint="eastAsia"/>
          <w:kern w:val="0"/>
          <w:sz w:val="24"/>
          <w:szCs w:val="24"/>
        </w:rPr>
        <w:t>）</w:t>
      </w:r>
    </w:p>
    <w:p w14:paraId="0C836C39" w14:textId="1991DDAC" w:rsidR="00084DB4" w:rsidRPr="00F00B77" w:rsidRDefault="00084DB4" w:rsidP="00676714">
      <w:pPr>
        <w:widowControl/>
        <w:adjustRightInd w:val="0"/>
        <w:snapToGrid w:val="0"/>
        <w:spacing w:line="360" w:lineRule="auto"/>
        <w:ind w:firstLineChars="200" w:firstLine="480"/>
        <w:rPr>
          <w:kern w:val="0"/>
          <w:sz w:val="24"/>
        </w:rPr>
      </w:pPr>
      <w:r w:rsidRPr="00F00B77">
        <w:rPr>
          <w:kern w:val="0"/>
          <w:sz w:val="24"/>
        </w:rPr>
        <w:t>上述人员之间不存在近亲属关系。</w:t>
      </w:r>
      <w:r w:rsidR="000D1B7D" w:rsidRPr="00F00B77">
        <w:rPr>
          <w:rFonts w:hint="eastAsia"/>
          <w:kern w:val="0"/>
          <w:sz w:val="24"/>
        </w:rPr>
        <w:t>上述各项人员信息更新截止日为</w:t>
      </w:r>
      <w:r w:rsidR="005E3BF3" w:rsidRPr="00F00B77">
        <w:rPr>
          <w:rFonts w:hint="eastAsia"/>
          <w:kern w:val="0"/>
          <w:sz w:val="24"/>
        </w:rPr>
        <w:t>201</w:t>
      </w:r>
      <w:r w:rsidR="005E3BF3" w:rsidRPr="00F00B77">
        <w:rPr>
          <w:kern w:val="0"/>
          <w:sz w:val="24"/>
        </w:rPr>
        <w:t>7</w:t>
      </w:r>
      <w:r w:rsidR="005E3BF3" w:rsidRPr="00F00B77">
        <w:rPr>
          <w:rFonts w:hint="eastAsia"/>
          <w:kern w:val="0"/>
          <w:sz w:val="24"/>
        </w:rPr>
        <w:t>年</w:t>
      </w:r>
      <w:r w:rsidR="007972BD">
        <w:rPr>
          <w:kern w:val="0"/>
          <w:sz w:val="24"/>
        </w:rPr>
        <w:t>7</w:t>
      </w:r>
      <w:r w:rsidR="000D1B7D" w:rsidRPr="00F00B77">
        <w:rPr>
          <w:rFonts w:hint="eastAsia"/>
          <w:kern w:val="0"/>
          <w:sz w:val="24"/>
        </w:rPr>
        <w:t>月</w:t>
      </w:r>
      <w:r w:rsidR="005E3BF3" w:rsidRPr="00F00B77">
        <w:rPr>
          <w:kern w:val="0"/>
          <w:sz w:val="24"/>
        </w:rPr>
        <w:t>2</w:t>
      </w:r>
      <w:r w:rsidR="007972BD">
        <w:rPr>
          <w:kern w:val="0"/>
          <w:sz w:val="24"/>
        </w:rPr>
        <w:t>7</w:t>
      </w:r>
      <w:r w:rsidR="000D1B7D" w:rsidRPr="00F00B77">
        <w:rPr>
          <w:rFonts w:hint="eastAsia"/>
          <w:kern w:val="0"/>
          <w:sz w:val="24"/>
        </w:rPr>
        <w:t>日，期后变动（如有）敬请关注基金管理人发布的相</w:t>
      </w:r>
      <w:bookmarkStart w:id="10" w:name="_GoBack"/>
      <w:bookmarkEnd w:id="10"/>
      <w:r w:rsidR="000D1B7D" w:rsidRPr="00F00B77">
        <w:rPr>
          <w:rFonts w:hint="eastAsia"/>
          <w:kern w:val="0"/>
          <w:sz w:val="24"/>
        </w:rPr>
        <w:t>关公告。</w:t>
      </w:r>
    </w:p>
    <w:p w14:paraId="28DB8400"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（三）基金管理人的职责</w:t>
      </w:r>
      <w:r w:rsidRPr="00F00B77">
        <w:rPr>
          <w:b/>
          <w:kern w:val="0"/>
          <w:sz w:val="24"/>
        </w:rPr>
        <w:t xml:space="preserve"> </w:t>
      </w:r>
    </w:p>
    <w:p w14:paraId="0863BDC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、依法募集</w:t>
      </w:r>
      <w:r w:rsidRPr="00F00B77">
        <w:rPr>
          <w:rFonts w:hint="eastAsia"/>
          <w:kern w:val="0"/>
          <w:sz w:val="24"/>
        </w:rPr>
        <w:t>资金</w:t>
      </w:r>
      <w:r w:rsidRPr="00F00B77">
        <w:rPr>
          <w:kern w:val="0"/>
          <w:sz w:val="24"/>
        </w:rPr>
        <w:t>，办理或者委托经中国证监会认定的其他机构办理基金份额的发售、申购、赎回和登记事宜；</w:t>
      </w:r>
      <w:r w:rsidRPr="00F00B77">
        <w:rPr>
          <w:kern w:val="0"/>
          <w:sz w:val="24"/>
        </w:rPr>
        <w:t xml:space="preserve"> </w:t>
      </w:r>
    </w:p>
    <w:p w14:paraId="75755E7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、办理基金备案手续；</w:t>
      </w:r>
      <w:r w:rsidRPr="00F00B77">
        <w:rPr>
          <w:kern w:val="0"/>
          <w:sz w:val="24"/>
        </w:rPr>
        <w:t xml:space="preserve"> </w:t>
      </w:r>
    </w:p>
    <w:p w14:paraId="32B5611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、对所管理的不同基金财产分别管理、分别记账，进行证券投资；</w:t>
      </w:r>
      <w:r w:rsidRPr="00F00B77">
        <w:rPr>
          <w:kern w:val="0"/>
          <w:sz w:val="24"/>
        </w:rPr>
        <w:t xml:space="preserve"> </w:t>
      </w:r>
    </w:p>
    <w:p w14:paraId="735A2D7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、按照基金合同的约定确定基金收益分配方案，及时向基金份额持有人分配收益；</w:t>
      </w:r>
      <w:r w:rsidRPr="00F00B77">
        <w:rPr>
          <w:kern w:val="0"/>
          <w:sz w:val="24"/>
        </w:rPr>
        <w:t xml:space="preserve"> </w:t>
      </w:r>
    </w:p>
    <w:p w14:paraId="658FB32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、进行基金会计核算并编制基金财务会计报告；</w:t>
      </w:r>
      <w:r w:rsidRPr="00F00B77">
        <w:rPr>
          <w:kern w:val="0"/>
          <w:sz w:val="24"/>
        </w:rPr>
        <w:t xml:space="preserve"> </w:t>
      </w:r>
    </w:p>
    <w:p w14:paraId="54D7E51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6</w:t>
      </w:r>
      <w:r w:rsidRPr="00F00B77">
        <w:rPr>
          <w:kern w:val="0"/>
          <w:sz w:val="24"/>
        </w:rPr>
        <w:t>、编制季度、半年度和年度基金报告；</w:t>
      </w:r>
      <w:r w:rsidRPr="00F00B77">
        <w:rPr>
          <w:kern w:val="0"/>
          <w:sz w:val="24"/>
        </w:rPr>
        <w:t xml:space="preserve"> </w:t>
      </w:r>
    </w:p>
    <w:p w14:paraId="797D412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7</w:t>
      </w:r>
      <w:r w:rsidRPr="00F00B77">
        <w:rPr>
          <w:kern w:val="0"/>
          <w:sz w:val="24"/>
        </w:rPr>
        <w:t>、计算并公告基金资产净值，确定基金份额申购、赎回价格；</w:t>
      </w:r>
      <w:r w:rsidRPr="00F00B77">
        <w:rPr>
          <w:kern w:val="0"/>
          <w:sz w:val="24"/>
        </w:rPr>
        <w:t xml:space="preserve"> </w:t>
      </w:r>
    </w:p>
    <w:p w14:paraId="553886A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8</w:t>
      </w:r>
      <w:r w:rsidRPr="00F00B77">
        <w:rPr>
          <w:kern w:val="0"/>
          <w:sz w:val="24"/>
        </w:rPr>
        <w:t>、办理与基金财产管理业务活动有关的信息披露事项；</w:t>
      </w:r>
      <w:r w:rsidRPr="00F00B77">
        <w:rPr>
          <w:kern w:val="0"/>
          <w:sz w:val="24"/>
        </w:rPr>
        <w:t xml:space="preserve"> </w:t>
      </w:r>
    </w:p>
    <w:p w14:paraId="74926B4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9</w:t>
      </w:r>
      <w:r w:rsidRPr="00F00B77">
        <w:rPr>
          <w:kern w:val="0"/>
          <w:sz w:val="24"/>
        </w:rPr>
        <w:t>、</w:t>
      </w:r>
      <w:r w:rsidRPr="00F00B77">
        <w:rPr>
          <w:rFonts w:hint="eastAsia"/>
          <w:kern w:val="0"/>
          <w:sz w:val="24"/>
        </w:rPr>
        <w:t>按照规定</w:t>
      </w:r>
      <w:r w:rsidRPr="00F00B77">
        <w:rPr>
          <w:kern w:val="0"/>
          <w:sz w:val="24"/>
        </w:rPr>
        <w:t>召集基金份额持有人大会；</w:t>
      </w:r>
      <w:r w:rsidRPr="00F00B77">
        <w:rPr>
          <w:kern w:val="0"/>
          <w:sz w:val="24"/>
        </w:rPr>
        <w:t xml:space="preserve"> </w:t>
      </w:r>
    </w:p>
    <w:p w14:paraId="302ADFA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10</w:t>
      </w:r>
      <w:r w:rsidRPr="00F00B77">
        <w:rPr>
          <w:kern w:val="0"/>
          <w:sz w:val="24"/>
        </w:rPr>
        <w:t>、保存基金财产管理业务活动的记录、账册、报表和其他相关资料；</w:t>
      </w:r>
      <w:r w:rsidRPr="00F00B77">
        <w:rPr>
          <w:kern w:val="0"/>
          <w:sz w:val="24"/>
        </w:rPr>
        <w:t xml:space="preserve"> </w:t>
      </w:r>
    </w:p>
    <w:p w14:paraId="77D4025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11</w:t>
      </w:r>
      <w:r w:rsidRPr="00F00B77">
        <w:rPr>
          <w:kern w:val="0"/>
          <w:sz w:val="24"/>
        </w:rPr>
        <w:t>、以基金管理人名义，代表基金份额持有人利益行使诉讼权利或者实施其他法律行为；</w:t>
      </w:r>
      <w:r w:rsidRPr="00F00B77">
        <w:rPr>
          <w:kern w:val="0"/>
          <w:sz w:val="24"/>
        </w:rPr>
        <w:t xml:space="preserve"> </w:t>
      </w:r>
    </w:p>
    <w:p w14:paraId="1B6A54D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12</w:t>
      </w:r>
      <w:r w:rsidRPr="00F00B77">
        <w:rPr>
          <w:kern w:val="0"/>
          <w:sz w:val="24"/>
        </w:rPr>
        <w:t>、有关法律法规和中国证监会规定的其他职责。</w:t>
      </w:r>
      <w:r w:rsidRPr="00F00B77">
        <w:rPr>
          <w:kern w:val="0"/>
          <w:sz w:val="24"/>
        </w:rPr>
        <w:t xml:space="preserve"> </w:t>
      </w:r>
    </w:p>
    <w:p w14:paraId="59458D8D"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（四）基金管理人的承诺</w:t>
      </w:r>
      <w:r w:rsidRPr="00F00B77">
        <w:rPr>
          <w:b/>
          <w:kern w:val="0"/>
          <w:sz w:val="24"/>
        </w:rPr>
        <w:t xml:space="preserve"> </w:t>
      </w:r>
    </w:p>
    <w:p w14:paraId="5C54451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、基金管理人承诺不从事违反</w:t>
      </w:r>
      <w:r w:rsidRPr="00F00B77">
        <w:rPr>
          <w:sz w:val="24"/>
          <w:szCs w:val="24"/>
        </w:rPr>
        <w:t>《中华人民共和国证券法》</w:t>
      </w:r>
      <w:r w:rsidRPr="00F00B77">
        <w:rPr>
          <w:kern w:val="0"/>
          <w:sz w:val="24"/>
        </w:rPr>
        <w:t>的行为，并承诺建立健全内部控制制度，采取有效措施，防止违反</w:t>
      </w:r>
      <w:r w:rsidRPr="00F00B77">
        <w:rPr>
          <w:sz w:val="24"/>
          <w:szCs w:val="24"/>
        </w:rPr>
        <w:t>《中华人民共和国证券法》</w:t>
      </w:r>
      <w:r w:rsidRPr="00F00B77">
        <w:rPr>
          <w:kern w:val="0"/>
          <w:sz w:val="24"/>
        </w:rPr>
        <w:t>行为的发生；</w:t>
      </w:r>
    </w:p>
    <w:p w14:paraId="27EA9E2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、基金管理人承诺不从事违反《基金法》的行为，并承诺建立健全内部风险控制制度，采取有效措施，防止下列行为的发生：</w:t>
      </w:r>
    </w:p>
    <w:p w14:paraId="6EC1229D"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1</w:t>
      </w:r>
      <w:r w:rsidRPr="00F00B77">
        <w:rPr>
          <w:sz w:val="24"/>
        </w:rPr>
        <w:t>）将基金管理人固有财产或者他人财产混同于基金财产从事证券投资；</w:t>
      </w:r>
    </w:p>
    <w:p w14:paraId="0259DDF2"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2</w:t>
      </w:r>
      <w:r w:rsidRPr="00F00B77">
        <w:rPr>
          <w:sz w:val="24"/>
        </w:rPr>
        <w:t>）不公平地对待管理的不同基金财产；</w:t>
      </w:r>
    </w:p>
    <w:p w14:paraId="4CA43899"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3</w:t>
      </w:r>
      <w:r w:rsidRPr="00F00B77">
        <w:rPr>
          <w:sz w:val="24"/>
        </w:rPr>
        <w:t>）利用基金财产为基金份额持有人以外的第三人牟取利益；</w:t>
      </w:r>
    </w:p>
    <w:p w14:paraId="531C1B74"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4</w:t>
      </w:r>
      <w:r w:rsidRPr="00F00B77">
        <w:rPr>
          <w:sz w:val="24"/>
        </w:rPr>
        <w:t>）向基金份额持有人违规承诺收益或者承担损失；</w:t>
      </w:r>
    </w:p>
    <w:p w14:paraId="785601C3" w14:textId="77777777" w:rsidR="00084DB4" w:rsidRPr="00F00B77" w:rsidRDefault="00084DB4">
      <w:pPr>
        <w:adjustRightInd w:val="0"/>
        <w:snapToGrid w:val="0"/>
        <w:spacing w:line="360" w:lineRule="auto"/>
        <w:ind w:firstLineChars="200" w:firstLine="480"/>
        <w:rPr>
          <w:sz w:val="24"/>
          <w:szCs w:val="24"/>
        </w:rPr>
      </w:pPr>
      <w:r w:rsidRPr="00F00B77">
        <w:rPr>
          <w:sz w:val="24"/>
        </w:rPr>
        <w:t>（</w:t>
      </w:r>
      <w:r w:rsidRPr="00F00B77">
        <w:rPr>
          <w:sz w:val="24"/>
        </w:rPr>
        <w:t>5</w:t>
      </w:r>
      <w:r w:rsidRPr="00F00B77">
        <w:rPr>
          <w:sz w:val="24"/>
        </w:rPr>
        <w:t>）</w:t>
      </w:r>
      <w:r w:rsidRPr="00F00B77">
        <w:rPr>
          <w:rFonts w:hint="eastAsia"/>
          <w:sz w:val="24"/>
          <w:szCs w:val="24"/>
        </w:rPr>
        <w:t>侵占、挪用基金财产；</w:t>
      </w:r>
    </w:p>
    <w:p w14:paraId="168E80C4" w14:textId="77777777" w:rsidR="00084DB4" w:rsidRPr="00F00B77" w:rsidRDefault="00084DB4">
      <w:pPr>
        <w:adjustRightInd w:val="0"/>
        <w:snapToGrid w:val="0"/>
        <w:spacing w:line="360" w:lineRule="auto"/>
        <w:ind w:firstLineChars="200" w:firstLine="480"/>
        <w:rPr>
          <w:sz w:val="24"/>
        </w:rPr>
      </w:pPr>
      <w:r w:rsidRPr="00F00B77">
        <w:rPr>
          <w:sz w:val="24"/>
          <w:szCs w:val="24"/>
        </w:rPr>
        <w:t>（</w:t>
      </w:r>
      <w:r w:rsidRPr="00F00B77">
        <w:rPr>
          <w:sz w:val="24"/>
          <w:szCs w:val="24"/>
        </w:rPr>
        <w:t>6</w:t>
      </w:r>
      <w:r w:rsidRPr="00F00B77">
        <w:rPr>
          <w:sz w:val="24"/>
          <w:szCs w:val="24"/>
        </w:rPr>
        <w:t>）</w:t>
      </w:r>
      <w:r w:rsidRPr="00F00B77">
        <w:rPr>
          <w:rFonts w:hint="eastAsia"/>
          <w:sz w:val="24"/>
        </w:rPr>
        <w:t>泄露因职务便利获取的未公开信息、利用该信息从事或者明示、暗示他人从事相关的交易活动；</w:t>
      </w:r>
    </w:p>
    <w:p w14:paraId="73EE9A78" w14:textId="77777777" w:rsidR="00084DB4" w:rsidRPr="00F00B77" w:rsidRDefault="00084DB4" w:rsidP="002160E7">
      <w:pPr>
        <w:adjustRightInd w:val="0"/>
        <w:snapToGrid w:val="0"/>
        <w:spacing w:line="360" w:lineRule="auto"/>
        <w:ind w:firstLineChars="200" w:firstLine="480"/>
        <w:rPr>
          <w:sz w:val="24"/>
        </w:rPr>
      </w:pPr>
      <w:r w:rsidRPr="00F00B77">
        <w:rPr>
          <w:rFonts w:hint="eastAsia"/>
          <w:sz w:val="24"/>
        </w:rPr>
        <w:t>（</w:t>
      </w:r>
      <w:r w:rsidRPr="00F00B77">
        <w:rPr>
          <w:rFonts w:hint="eastAsia"/>
          <w:sz w:val="24"/>
        </w:rPr>
        <w:t>7</w:t>
      </w:r>
      <w:r w:rsidRPr="00F00B77">
        <w:rPr>
          <w:sz w:val="24"/>
        </w:rPr>
        <w:t>）</w:t>
      </w:r>
      <w:r w:rsidRPr="00F00B77">
        <w:rPr>
          <w:rFonts w:hint="eastAsia"/>
          <w:sz w:val="24"/>
        </w:rPr>
        <w:t>玩忽职守，不按照规定履行职责；</w:t>
      </w:r>
    </w:p>
    <w:p w14:paraId="23A8E16F" w14:textId="77777777" w:rsidR="00084DB4" w:rsidRPr="00F00B77" w:rsidRDefault="00084DB4" w:rsidP="002160E7">
      <w:pPr>
        <w:adjustRightInd w:val="0"/>
        <w:snapToGrid w:val="0"/>
        <w:spacing w:line="360" w:lineRule="auto"/>
        <w:ind w:firstLineChars="200" w:firstLine="480"/>
        <w:rPr>
          <w:sz w:val="24"/>
        </w:rPr>
      </w:pPr>
      <w:r w:rsidRPr="00F00B77">
        <w:rPr>
          <w:rFonts w:hint="eastAsia"/>
          <w:sz w:val="24"/>
        </w:rPr>
        <w:t>（</w:t>
      </w:r>
      <w:r w:rsidRPr="00F00B77">
        <w:rPr>
          <w:rFonts w:hint="eastAsia"/>
          <w:sz w:val="24"/>
        </w:rPr>
        <w:t>8</w:t>
      </w:r>
      <w:r w:rsidRPr="00F00B77">
        <w:rPr>
          <w:sz w:val="24"/>
        </w:rPr>
        <w:t>）法律</w:t>
      </w:r>
      <w:r w:rsidRPr="00F00B77">
        <w:rPr>
          <w:rFonts w:hint="eastAsia"/>
          <w:sz w:val="24"/>
          <w:szCs w:val="24"/>
        </w:rPr>
        <w:t>、行政</w:t>
      </w:r>
      <w:r w:rsidRPr="00F00B77">
        <w:rPr>
          <w:sz w:val="24"/>
        </w:rPr>
        <w:t>法规</w:t>
      </w:r>
      <w:r w:rsidRPr="00F00B77">
        <w:rPr>
          <w:rFonts w:hint="eastAsia"/>
          <w:sz w:val="24"/>
        </w:rPr>
        <w:t>和</w:t>
      </w:r>
      <w:r w:rsidRPr="00F00B77">
        <w:rPr>
          <w:sz w:val="24"/>
        </w:rPr>
        <w:t>中国证监会禁止的其他行为。</w:t>
      </w:r>
    </w:p>
    <w:p w14:paraId="20DD324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、基金管理人承诺严格遵守基金合同，并承诺建立健全内部控制制度，采取有效措施，防止违反基金合同行为的发生；</w:t>
      </w:r>
      <w:r w:rsidRPr="00F00B77">
        <w:rPr>
          <w:kern w:val="0"/>
          <w:sz w:val="24"/>
        </w:rPr>
        <w:t xml:space="preserve"> </w:t>
      </w:r>
    </w:p>
    <w:p w14:paraId="60DE5DD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、基金管理人承诺加强人员管理，强化职业操守，督促和约束员工遵守国家有关法律法规及行业规范，诚实信用、勤勉尽责</w:t>
      </w:r>
      <w:r w:rsidRPr="00F00B77">
        <w:rPr>
          <w:rFonts w:hint="eastAsia"/>
          <w:kern w:val="0"/>
          <w:sz w:val="24"/>
        </w:rPr>
        <w:t>；</w:t>
      </w:r>
    </w:p>
    <w:p w14:paraId="4DC262E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、基金管理人承诺不从事其他法规规定禁止从事的行为。</w:t>
      </w:r>
    </w:p>
    <w:p w14:paraId="355956C4"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（五）基金经理承诺</w:t>
      </w:r>
      <w:r w:rsidRPr="00F00B77">
        <w:rPr>
          <w:b/>
          <w:kern w:val="0"/>
          <w:sz w:val="24"/>
        </w:rPr>
        <w:t xml:space="preserve"> </w:t>
      </w:r>
    </w:p>
    <w:p w14:paraId="3F627A0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、依照有关法律法规和基金合同的规定，本着谨慎的原则为基金份额持有人谋取最大利益；</w:t>
      </w:r>
      <w:r w:rsidRPr="00F00B77">
        <w:rPr>
          <w:kern w:val="0"/>
          <w:sz w:val="24"/>
        </w:rPr>
        <w:t xml:space="preserve"> </w:t>
      </w:r>
    </w:p>
    <w:p w14:paraId="3FF0AD7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、不利用职务之便为自己、受雇人或任何第三者谋取利益；</w:t>
      </w:r>
    </w:p>
    <w:p w14:paraId="0F3CAF2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、不泄露在任职期间知悉的有关证券、基金的商业秘密，尚未依法公开的基金投资内容、基金投资计划等信息</w:t>
      </w:r>
      <w:r w:rsidRPr="00F00B77">
        <w:rPr>
          <w:sz w:val="24"/>
          <w:szCs w:val="24"/>
        </w:rPr>
        <w:t>，或利用该信息从事或者明示、暗示他人从事相关的交易活动</w:t>
      </w:r>
      <w:r w:rsidRPr="00F00B77">
        <w:rPr>
          <w:kern w:val="0"/>
          <w:sz w:val="24"/>
        </w:rPr>
        <w:t>；</w:t>
      </w:r>
      <w:r w:rsidRPr="00F00B77">
        <w:rPr>
          <w:kern w:val="0"/>
          <w:sz w:val="24"/>
        </w:rPr>
        <w:t xml:space="preserve"> </w:t>
      </w:r>
    </w:p>
    <w:p w14:paraId="2617AEE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、不以任何形式为其他组织或个人进行证券交易。</w:t>
      </w:r>
    </w:p>
    <w:p w14:paraId="759E926F"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（六）基金管理人的内部控制制度</w:t>
      </w:r>
      <w:r w:rsidRPr="00F00B77">
        <w:rPr>
          <w:b/>
          <w:kern w:val="0"/>
          <w:sz w:val="24"/>
        </w:rPr>
        <w:t xml:space="preserve"> </w:t>
      </w:r>
    </w:p>
    <w:p w14:paraId="5F64B27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、风险管理的原则</w:t>
      </w:r>
      <w:r w:rsidRPr="00F00B77">
        <w:rPr>
          <w:kern w:val="0"/>
          <w:sz w:val="24"/>
        </w:rPr>
        <w:t xml:space="preserve"> </w:t>
      </w:r>
    </w:p>
    <w:p w14:paraId="351E9EA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1</w:t>
      </w:r>
      <w:r w:rsidRPr="00F00B77">
        <w:rPr>
          <w:kern w:val="0"/>
          <w:sz w:val="24"/>
        </w:rPr>
        <w:t>）</w:t>
      </w:r>
      <w:r w:rsidRPr="00F00B77">
        <w:rPr>
          <w:kern w:val="0"/>
          <w:sz w:val="24"/>
        </w:rPr>
        <w:t xml:space="preserve"> </w:t>
      </w:r>
      <w:r w:rsidRPr="00F00B77">
        <w:rPr>
          <w:kern w:val="0"/>
          <w:sz w:val="24"/>
        </w:rPr>
        <w:t>全面性原则</w:t>
      </w:r>
      <w:r w:rsidRPr="00F00B77">
        <w:rPr>
          <w:kern w:val="0"/>
          <w:sz w:val="24"/>
        </w:rPr>
        <w:t xml:space="preserve"> </w:t>
      </w:r>
    </w:p>
    <w:p w14:paraId="72B91AF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公司风险管理必须覆盖公司的所有部门和岗位，渗透各项业务过程和业务环节。</w:t>
      </w:r>
      <w:r w:rsidRPr="00F00B77">
        <w:rPr>
          <w:kern w:val="0"/>
          <w:sz w:val="24"/>
        </w:rPr>
        <w:t xml:space="preserve"> </w:t>
      </w:r>
    </w:p>
    <w:p w14:paraId="424CA60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2</w:t>
      </w:r>
      <w:r w:rsidRPr="00F00B77">
        <w:rPr>
          <w:kern w:val="0"/>
          <w:sz w:val="24"/>
        </w:rPr>
        <w:t>）</w:t>
      </w:r>
      <w:r w:rsidRPr="00F00B77">
        <w:rPr>
          <w:kern w:val="0"/>
          <w:sz w:val="24"/>
        </w:rPr>
        <w:t xml:space="preserve"> </w:t>
      </w:r>
      <w:r w:rsidRPr="00F00B77">
        <w:rPr>
          <w:kern w:val="0"/>
          <w:sz w:val="24"/>
        </w:rPr>
        <w:t>独立性原则</w:t>
      </w:r>
      <w:r w:rsidRPr="00F00B77">
        <w:rPr>
          <w:kern w:val="0"/>
          <w:sz w:val="24"/>
        </w:rPr>
        <w:t xml:space="preserve"> </w:t>
      </w:r>
    </w:p>
    <w:p w14:paraId="118A908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公司设立独立的风险管理部，风险管理部保持高度的独立性和权威性，负责对公司各部门风险控制工作进行监督和检查。</w:t>
      </w:r>
      <w:r w:rsidRPr="00F00B77">
        <w:rPr>
          <w:kern w:val="0"/>
          <w:sz w:val="24"/>
        </w:rPr>
        <w:t xml:space="preserve"> </w:t>
      </w:r>
    </w:p>
    <w:p w14:paraId="0BD8063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3</w:t>
      </w:r>
      <w:r w:rsidRPr="00F00B77">
        <w:rPr>
          <w:kern w:val="0"/>
          <w:sz w:val="24"/>
        </w:rPr>
        <w:t>）</w:t>
      </w:r>
      <w:r w:rsidRPr="00F00B77">
        <w:rPr>
          <w:kern w:val="0"/>
          <w:sz w:val="24"/>
        </w:rPr>
        <w:t xml:space="preserve"> </w:t>
      </w:r>
      <w:r w:rsidRPr="00F00B77">
        <w:rPr>
          <w:kern w:val="0"/>
          <w:sz w:val="24"/>
        </w:rPr>
        <w:t>相互制约原则</w:t>
      </w:r>
      <w:r w:rsidRPr="00F00B77">
        <w:rPr>
          <w:kern w:val="0"/>
          <w:sz w:val="24"/>
        </w:rPr>
        <w:t xml:space="preserve"> </w:t>
      </w:r>
    </w:p>
    <w:p w14:paraId="7972CD5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公司及各部门在内部组织结构的设计上要形成一种相互制约的机制，建立不同岗位之间的制衡体系。</w:t>
      </w:r>
      <w:r w:rsidRPr="00F00B77">
        <w:rPr>
          <w:kern w:val="0"/>
          <w:sz w:val="24"/>
        </w:rPr>
        <w:t xml:space="preserve"> </w:t>
      </w:r>
    </w:p>
    <w:p w14:paraId="443C2AE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4</w:t>
      </w:r>
      <w:r w:rsidRPr="00F00B77">
        <w:rPr>
          <w:kern w:val="0"/>
          <w:sz w:val="24"/>
        </w:rPr>
        <w:t>）</w:t>
      </w:r>
      <w:r w:rsidRPr="00F00B77">
        <w:rPr>
          <w:kern w:val="0"/>
          <w:sz w:val="24"/>
        </w:rPr>
        <w:t xml:space="preserve"> </w:t>
      </w:r>
      <w:r w:rsidRPr="00F00B77">
        <w:rPr>
          <w:kern w:val="0"/>
          <w:sz w:val="24"/>
        </w:rPr>
        <w:t>定性和定量相结合原则</w:t>
      </w:r>
      <w:r w:rsidRPr="00F00B77">
        <w:rPr>
          <w:kern w:val="0"/>
          <w:sz w:val="24"/>
        </w:rPr>
        <w:t xml:space="preserve"> </w:t>
      </w:r>
    </w:p>
    <w:p w14:paraId="534748B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建立完备的风险管理指标体系，使风险管理更具客观性和操作性。</w:t>
      </w:r>
      <w:r w:rsidRPr="00F00B77">
        <w:rPr>
          <w:kern w:val="0"/>
          <w:sz w:val="24"/>
        </w:rPr>
        <w:t xml:space="preserve"> </w:t>
      </w:r>
    </w:p>
    <w:p w14:paraId="70BDA26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、风险管理和内部风险控制体系结构</w:t>
      </w:r>
      <w:r w:rsidRPr="00F00B77">
        <w:rPr>
          <w:kern w:val="0"/>
          <w:sz w:val="24"/>
        </w:rPr>
        <w:t xml:space="preserve"> </w:t>
      </w:r>
    </w:p>
    <w:p w14:paraId="360BD79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00B77">
        <w:rPr>
          <w:kern w:val="0"/>
          <w:sz w:val="24"/>
        </w:rPr>
        <w:t xml:space="preserve"> </w:t>
      </w:r>
    </w:p>
    <w:p w14:paraId="7F5A2F5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1</w:t>
      </w:r>
      <w:r w:rsidRPr="00F00B77">
        <w:rPr>
          <w:kern w:val="0"/>
          <w:sz w:val="24"/>
        </w:rPr>
        <w:t>）董事会</w:t>
      </w:r>
      <w:r w:rsidRPr="00F00B77">
        <w:rPr>
          <w:kern w:val="0"/>
          <w:sz w:val="24"/>
        </w:rPr>
        <w:t xml:space="preserve"> </w:t>
      </w:r>
    </w:p>
    <w:p w14:paraId="41D70FF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负责制定公司的风险管理政策，对风险管理负完全的和最终的责任。</w:t>
      </w:r>
      <w:r w:rsidRPr="00F00B77">
        <w:rPr>
          <w:kern w:val="0"/>
          <w:sz w:val="24"/>
        </w:rPr>
        <w:t xml:space="preserve"> </w:t>
      </w:r>
    </w:p>
    <w:p w14:paraId="728D78F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2</w:t>
      </w:r>
      <w:r w:rsidRPr="00F00B77">
        <w:rPr>
          <w:kern w:val="0"/>
          <w:sz w:val="24"/>
        </w:rPr>
        <w:t>）监事会</w:t>
      </w:r>
    </w:p>
    <w:p w14:paraId="3867431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是公司常设的监事机构，对股东会负责。监事会对公司财务、公司董事、总经理及其他高级管理人员进行监督。</w:t>
      </w:r>
    </w:p>
    <w:p w14:paraId="6C85F11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3</w:t>
      </w:r>
      <w:r w:rsidRPr="00F00B77">
        <w:rPr>
          <w:kern w:val="0"/>
          <w:sz w:val="24"/>
        </w:rPr>
        <w:t>）合规审核及风险管理委员会</w:t>
      </w:r>
    </w:p>
    <w:p w14:paraId="6980005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E99C79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4</w:t>
      </w:r>
      <w:r w:rsidRPr="00F00B77">
        <w:rPr>
          <w:kern w:val="0"/>
          <w:sz w:val="24"/>
        </w:rPr>
        <w:t>）风险控制委员会</w:t>
      </w:r>
    </w:p>
    <w:p w14:paraId="1C8A0E3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74F6C3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5</w:t>
      </w:r>
      <w:r w:rsidRPr="00F00B77">
        <w:rPr>
          <w:kern w:val="0"/>
          <w:sz w:val="24"/>
        </w:rPr>
        <w:t>）督察长</w:t>
      </w:r>
    </w:p>
    <w:p w14:paraId="3CF6F12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独立行使督察权利；直接对董事会负责；就内部控制制度和执行情况独立地履行检查、评价、报告、建议职能；定期和不定期地向董事会报告公司内部控制执行情况。</w:t>
      </w:r>
    </w:p>
    <w:p w14:paraId="688DBB6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6</w:t>
      </w:r>
      <w:r w:rsidRPr="00F00B77">
        <w:rPr>
          <w:kern w:val="0"/>
          <w:sz w:val="24"/>
        </w:rPr>
        <w:t>）风险管理部</w:t>
      </w:r>
    </w:p>
    <w:p w14:paraId="205C647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00B77">
        <w:rPr>
          <w:kern w:val="0"/>
          <w:sz w:val="24"/>
        </w:rPr>
        <w:t xml:space="preserve"> </w:t>
      </w:r>
    </w:p>
    <w:p w14:paraId="1388277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7</w:t>
      </w:r>
      <w:r w:rsidRPr="00F00B77">
        <w:rPr>
          <w:kern w:val="0"/>
          <w:sz w:val="24"/>
        </w:rPr>
        <w:t>）</w:t>
      </w:r>
      <w:r w:rsidR="006B0357" w:rsidRPr="00F00B77">
        <w:rPr>
          <w:rFonts w:hint="eastAsia"/>
          <w:kern w:val="0"/>
          <w:sz w:val="24"/>
        </w:rPr>
        <w:t>审计部</w:t>
      </w:r>
    </w:p>
    <w:p w14:paraId="695DE294"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1CA416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8</w:t>
      </w:r>
      <w:r w:rsidRPr="00F00B77">
        <w:rPr>
          <w:kern w:val="0"/>
          <w:sz w:val="24"/>
        </w:rPr>
        <w:t>）</w:t>
      </w:r>
      <w:r w:rsidR="006B0357" w:rsidRPr="00F00B77">
        <w:rPr>
          <w:rFonts w:hint="eastAsia"/>
          <w:kern w:val="0"/>
          <w:sz w:val="24"/>
          <w:szCs w:val="24"/>
        </w:rPr>
        <w:t>法律合规部</w:t>
      </w:r>
      <w:r w:rsidRPr="00F00B77">
        <w:rPr>
          <w:kern w:val="0"/>
          <w:sz w:val="24"/>
        </w:rPr>
        <w:t xml:space="preserve"> </w:t>
      </w:r>
    </w:p>
    <w:p w14:paraId="573AD225"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69CC03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9</w:t>
      </w:r>
      <w:r w:rsidRPr="00F00B77">
        <w:rPr>
          <w:kern w:val="0"/>
          <w:sz w:val="24"/>
        </w:rPr>
        <w:t>）业务部门</w:t>
      </w:r>
      <w:r w:rsidRPr="00F00B77">
        <w:rPr>
          <w:kern w:val="0"/>
          <w:sz w:val="24"/>
        </w:rPr>
        <w:t xml:space="preserve"> </w:t>
      </w:r>
    </w:p>
    <w:p w14:paraId="4686D19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F00B77">
        <w:rPr>
          <w:kern w:val="0"/>
          <w:sz w:val="24"/>
        </w:rPr>
        <w:t xml:space="preserve"> </w:t>
      </w:r>
    </w:p>
    <w:p w14:paraId="3D23CFB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rFonts w:hAnsi="宋体"/>
          <w:kern w:val="0"/>
          <w:sz w:val="24"/>
        </w:rPr>
        <w:t>、风险管理和内部风险控制的措施</w:t>
      </w:r>
    </w:p>
    <w:p w14:paraId="21E3B5D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1</w:t>
      </w:r>
      <w:r w:rsidRPr="00F00B77">
        <w:rPr>
          <w:rFonts w:hAnsi="宋体"/>
          <w:kern w:val="0"/>
          <w:sz w:val="24"/>
        </w:rPr>
        <w:t>）</w:t>
      </w:r>
      <w:r w:rsidRPr="00F00B77">
        <w:rPr>
          <w:kern w:val="0"/>
          <w:sz w:val="24"/>
        </w:rPr>
        <w:t xml:space="preserve"> </w:t>
      </w:r>
      <w:r w:rsidRPr="00F00B77">
        <w:rPr>
          <w:rFonts w:hAnsi="宋体"/>
          <w:kern w:val="0"/>
          <w:sz w:val="24"/>
        </w:rPr>
        <w:t>建立内控体系，完善内控制度</w:t>
      </w:r>
    </w:p>
    <w:p w14:paraId="37C381D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625A2B8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2</w:t>
      </w:r>
      <w:r w:rsidRPr="00F00B77">
        <w:rPr>
          <w:rFonts w:hAnsi="宋体"/>
          <w:kern w:val="0"/>
          <w:sz w:val="24"/>
        </w:rPr>
        <w:t>）</w:t>
      </w:r>
      <w:r w:rsidRPr="00F00B77">
        <w:rPr>
          <w:kern w:val="0"/>
          <w:sz w:val="24"/>
        </w:rPr>
        <w:t xml:space="preserve"> </w:t>
      </w:r>
      <w:r w:rsidRPr="00F00B77">
        <w:rPr>
          <w:rFonts w:hAnsi="宋体"/>
          <w:kern w:val="0"/>
          <w:sz w:val="24"/>
        </w:rPr>
        <w:t>建立相互分离、相互制衡的内控机制</w:t>
      </w:r>
    </w:p>
    <w:p w14:paraId="3844492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建立、健全了各项制度，做到基金经理分开，投资决策分开，基金交易集中，形成不同部门、不同岗位之间的制衡机制，从制度上减少和防范风险。</w:t>
      </w:r>
      <w:r w:rsidRPr="00F00B77">
        <w:rPr>
          <w:kern w:val="0"/>
          <w:sz w:val="24"/>
        </w:rPr>
        <w:t xml:space="preserve"> </w:t>
      </w:r>
    </w:p>
    <w:p w14:paraId="2EB86EE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3</w:t>
      </w:r>
      <w:r w:rsidRPr="00F00B77">
        <w:rPr>
          <w:rFonts w:hAnsi="宋体"/>
          <w:kern w:val="0"/>
          <w:sz w:val="24"/>
        </w:rPr>
        <w:t>）</w:t>
      </w:r>
      <w:r w:rsidRPr="00F00B77">
        <w:rPr>
          <w:kern w:val="0"/>
          <w:sz w:val="24"/>
        </w:rPr>
        <w:t xml:space="preserve"> </w:t>
      </w:r>
      <w:r w:rsidRPr="00F00B77">
        <w:rPr>
          <w:rFonts w:hAnsi="宋体"/>
          <w:kern w:val="0"/>
          <w:sz w:val="24"/>
        </w:rPr>
        <w:t>建立、健全岗位责任制</w:t>
      </w:r>
    </w:p>
    <w:p w14:paraId="74849F0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建立、健全了岗位责任制，使每个员工都明确自己的任务、职责，并及时将各自工作领域中的风险隐患上报，以防范和减少风险。</w:t>
      </w:r>
    </w:p>
    <w:p w14:paraId="1ED52E47"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4</w:t>
      </w:r>
      <w:r w:rsidRPr="00F00B77">
        <w:rPr>
          <w:rFonts w:hAnsi="宋体"/>
          <w:kern w:val="0"/>
          <w:sz w:val="24"/>
        </w:rPr>
        <w:t>）</w:t>
      </w:r>
      <w:r w:rsidRPr="00F00B77">
        <w:rPr>
          <w:kern w:val="0"/>
          <w:sz w:val="24"/>
        </w:rPr>
        <w:t xml:space="preserve"> </w:t>
      </w:r>
      <w:r w:rsidRPr="00F00B77">
        <w:rPr>
          <w:rFonts w:hAnsi="宋体"/>
          <w:kern w:val="0"/>
          <w:sz w:val="24"/>
        </w:rPr>
        <w:t>建立风险分类、识别、评估、报告、提示程序</w:t>
      </w:r>
    </w:p>
    <w:p w14:paraId="735D1AC1"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55D84A7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5</w:t>
      </w:r>
      <w:r w:rsidRPr="00F00B77">
        <w:rPr>
          <w:rFonts w:hAnsi="宋体"/>
          <w:kern w:val="0"/>
          <w:sz w:val="24"/>
        </w:rPr>
        <w:t>）</w:t>
      </w:r>
      <w:r w:rsidRPr="00F00B77">
        <w:rPr>
          <w:kern w:val="0"/>
          <w:sz w:val="24"/>
        </w:rPr>
        <w:t xml:space="preserve"> </w:t>
      </w:r>
      <w:r w:rsidRPr="00F00B77">
        <w:rPr>
          <w:rFonts w:hAnsi="宋体"/>
          <w:kern w:val="0"/>
          <w:sz w:val="24"/>
        </w:rPr>
        <w:t>建立有效的内部监控系统</w:t>
      </w:r>
    </w:p>
    <w:p w14:paraId="65AD5D8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建立了足够、有效的内部监控系统，如电脑预警系统、投资监控系统，对可能出现的各种风险进行全面和实时的监控。</w:t>
      </w:r>
    </w:p>
    <w:p w14:paraId="46E98A30"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6</w:t>
      </w:r>
      <w:r w:rsidRPr="00F00B77">
        <w:rPr>
          <w:rFonts w:hAnsi="宋体"/>
          <w:kern w:val="0"/>
          <w:sz w:val="24"/>
        </w:rPr>
        <w:t>）</w:t>
      </w:r>
      <w:r w:rsidRPr="00F00B77">
        <w:rPr>
          <w:kern w:val="0"/>
          <w:sz w:val="24"/>
        </w:rPr>
        <w:t xml:space="preserve"> </w:t>
      </w:r>
      <w:r w:rsidRPr="00F00B77">
        <w:rPr>
          <w:rFonts w:hAnsi="宋体"/>
          <w:kern w:val="0"/>
          <w:sz w:val="24"/>
        </w:rPr>
        <w:t>使用数量化的风险管理手段</w:t>
      </w:r>
    </w:p>
    <w:p w14:paraId="0867293C"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采取数量化、技术化的风险控制手段，建立数量化的风险管理模型，用以提示指数趋势、行业及个</w:t>
      </w:r>
      <w:r w:rsidR="006B0357" w:rsidRPr="00F00B77">
        <w:rPr>
          <w:rFonts w:hAnsi="宋体" w:hint="eastAsia"/>
          <w:kern w:val="0"/>
          <w:sz w:val="24"/>
        </w:rPr>
        <w:t>券</w:t>
      </w:r>
      <w:r w:rsidRPr="00F00B77">
        <w:rPr>
          <w:rFonts w:hAnsi="宋体"/>
          <w:kern w:val="0"/>
          <w:sz w:val="24"/>
        </w:rPr>
        <w:t>的风险，以便公司及时采取有效的措施，对风险进行分散、控制和规避，尽可能地减少损失。</w:t>
      </w:r>
    </w:p>
    <w:p w14:paraId="78A5957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7</w:t>
      </w:r>
      <w:r w:rsidRPr="00F00B77">
        <w:rPr>
          <w:rFonts w:hAnsi="宋体"/>
          <w:kern w:val="0"/>
          <w:sz w:val="24"/>
        </w:rPr>
        <w:t>）</w:t>
      </w:r>
      <w:r w:rsidRPr="00F00B77">
        <w:rPr>
          <w:kern w:val="0"/>
          <w:sz w:val="24"/>
        </w:rPr>
        <w:t xml:space="preserve"> </w:t>
      </w:r>
      <w:r w:rsidRPr="00F00B77">
        <w:rPr>
          <w:rFonts w:hAnsi="宋体"/>
          <w:kern w:val="0"/>
          <w:sz w:val="24"/>
        </w:rPr>
        <w:t>提供足够的培训</w:t>
      </w:r>
    </w:p>
    <w:p w14:paraId="03632E87" w14:textId="77777777" w:rsidR="00084DB4" w:rsidRPr="00F00B77" w:rsidRDefault="00084DB4">
      <w:pPr>
        <w:widowControl/>
        <w:adjustRightInd w:val="0"/>
        <w:snapToGrid w:val="0"/>
        <w:spacing w:line="360" w:lineRule="auto"/>
        <w:ind w:firstLineChars="200" w:firstLine="480"/>
        <w:rPr>
          <w:rFonts w:hAnsi="宋体"/>
          <w:kern w:val="0"/>
          <w:sz w:val="24"/>
        </w:rPr>
      </w:pPr>
      <w:r w:rsidRPr="00F00B77">
        <w:rPr>
          <w:rFonts w:hAnsi="宋体"/>
          <w:kern w:val="0"/>
          <w:sz w:val="24"/>
        </w:rPr>
        <w:t>制定了完整的培训计划，为所有员工提供足够和适当的培训，使员工明确其职责所在，控制风险。</w:t>
      </w:r>
    </w:p>
    <w:p w14:paraId="0EFCAB1E"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bookmarkStart w:id="11" w:name="_Toc109537382"/>
      <w:r w:rsidRPr="00F00B77">
        <w:rPr>
          <w:rFonts w:ascii="宋体" w:hAnsi="宋体"/>
          <w:b/>
          <w:kern w:val="0"/>
          <w:sz w:val="30"/>
        </w:rPr>
        <w:br w:type="page"/>
      </w:r>
      <w:bookmarkStart w:id="12" w:name="_Toc491431667"/>
      <w:r w:rsidRPr="00F00B77">
        <w:rPr>
          <w:rFonts w:ascii="宋体" w:hAnsi="宋体" w:hint="eastAsia"/>
          <w:b/>
          <w:kern w:val="0"/>
          <w:sz w:val="30"/>
        </w:rPr>
        <w:t>四、基金托管人</w:t>
      </w:r>
      <w:bookmarkEnd w:id="11"/>
      <w:bookmarkEnd w:id="12"/>
    </w:p>
    <w:p w14:paraId="0E3D489C" w14:textId="77777777" w:rsidR="00084DB4" w:rsidRPr="00F00B77" w:rsidRDefault="00084DB4">
      <w:pPr>
        <w:adjustRightInd w:val="0"/>
        <w:snapToGrid w:val="0"/>
        <w:spacing w:line="360" w:lineRule="auto"/>
        <w:ind w:firstLineChars="200" w:firstLine="482"/>
        <w:rPr>
          <w:b/>
          <w:sz w:val="24"/>
          <w:szCs w:val="24"/>
        </w:rPr>
      </w:pPr>
      <w:r w:rsidRPr="00F00B77">
        <w:rPr>
          <w:rFonts w:hint="eastAsia"/>
          <w:b/>
          <w:sz w:val="24"/>
          <w:szCs w:val="24"/>
        </w:rPr>
        <w:t>（</w:t>
      </w:r>
      <w:r w:rsidRPr="00F00B77">
        <w:rPr>
          <w:rFonts w:hAnsi="宋体"/>
          <w:b/>
          <w:sz w:val="24"/>
          <w:szCs w:val="24"/>
        </w:rPr>
        <w:t>一</w:t>
      </w:r>
      <w:r w:rsidRPr="00F00B77">
        <w:rPr>
          <w:rFonts w:hint="eastAsia"/>
          <w:b/>
          <w:sz w:val="24"/>
          <w:szCs w:val="24"/>
        </w:rPr>
        <w:t>）</w:t>
      </w:r>
      <w:r w:rsidRPr="00F00B77">
        <w:rPr>
          <w:rFonts w:hAnsi="宋体"/>
          <w:b/>
          <w:sz w:val="24"/>
          <w:szCs w:val="24"/>
        </w:rPr>
        <w:t>基金托管人情况</w:t>
      </w:r>
    </w:p>
    <w:p w14:paraId="601750AD"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名称：中信建投证券股份有限公司</w:t>
      </w:r>
    </w:p>
    <w:p w14:paraId="797EEC0A"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住所：北京市朝阳区安立路</w:t>
      </w:r>
      <w:r w:rsidRPr="00F00B77">
        <w:rPr>
          <w:rFonts w:hint="eastAsia"/>
          <w:sz w:val="24"/>
          <w:szCs w:val="24"/>
        </w:rPr>
        <w:t>66</w:t>
      </w:r>
      <w:r w:rsidRPr="00F00B77">
        <w:rPr>
          <w:rFonts w:hint="eastAsia"/>
          <w:sz w:val="24"/>
          <w:szCs w:val="24"/>
        </w:rPr>
        <w:t>号</w:t>
      </w:r>
      <w:r w:rsidRPr="00F00B77">
        <w:rPr>
          <w:rFonts w:hint="eastAsia"/>
          <w:sz w:val="24"/>
          <w:szCs w:val="24"/>
        </w:rPr>
        <w:t>4</w:t>
      </w:r>
      <w:r w:rsidRPr="00F00B77">
        <w:rPr>
          <w:rFonts w:hint="eastAsia"/>
          <w:sz w:val="24"/>
          <w:szCs w:val="24"/>
        </w:rPr>
        <w:t>号楼</w:t>
      </w:r>
    </w:p>
    <w:p w14:paraId="15322AC1"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法定代表人：王常青</w:t>
      </w:r>
    </w:p>
    <w:p w14:paraId="409EEFFA"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成立时间：</w:t>
      </w:r>
      <w:r w:rsidRPr="00F00B77">
        <w:rPr>
          <w:rFonts w:hint="eastAsia"/>
          <w:sz w:val="24"/>
          <w:szCs w:val="24"/>
        </w:rPr>
        <w:t>2005</w:t>
      </w:r>
      <w:r w:rsidRPr="00F00B77">
        <w:rPr>
          <w:rFonts w:hint="eastAsia"/>
          <w:sz w:val="24"/>
          <w:szCs w:val="24"/>
        </w:rPr>
        <w:t>年</w:t>
      </w:r>
      <w:r w:rsidRPr="00F00B77">
        <w:rPr>
          <w:rFonts w:hint="eastAsia"/>
          <w:sz w:val="24"/>
          <w:szCs w:val="24"/>
        </w:rPr>
        <w:t>11</w:t>
      </w:r>
      <w:r w:rsidRPr="00F00B77">
        <w:rPr>
          <w:rFonts w:hint="eastAsia"/>
          <w:sz w:val="24"/>
          <w:szCs w:val="24"/>
        </w:rPr>
        <w:t>月</w:t>
      </w:r>
      <w:r w:rsidRPr="00F00B77">
        <w:rPr>
          <w:rFonts w:hint="eastAsia"/>
          <w:sz w:val="24"/>
          <w:szCs w:val="24"/>
        </w:rPr>
        <w:t>2</w:t>
      </w:r>
      <w:r w:rsidRPr="00F00B77">
        <w:rPr>
          <w:rFonts w:hint="eastAsia"/>
          <w:sz w:val="24"/>
          <w:szCs w:val="24"/>
        </w:rPr>
        <w:t>日</w:t>
      </w:r>
    </w:p>
    <w:p w14:paraId="2C6916B3"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组织形式：股份有限公司</w:t>
      </w:r>
    </w:p>
    <w:p w14:paraId="56989270"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注册资本：人民币</w:t>
      </w:r>
      <w:r w:rsidR="00E96258">
        <w:rPr>
          <w:rFonts w:hint="eastAsia"/>
          <w:sz w:val="24"/>
          <w:szCs w:val="24"/>
        </w:rPr>
        <w:t>72.46</w:t>
      </w:r>
      <w:r w:rsidRPr="00F00B77">
        <w:rPr>
          <w:rFonts w:hint="eastAsia"/>
          <w:sz w:val="24"/>
          <w:szCs w:val="24"/>
        </w:rPr>
        <w:t>亿元</w:t>
      </w:r>
    </w:p>
    <w:p w14:paraId="3636C27B"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批准设立机关和批准设立文号：中国证监会证监机构字</w:t>
      </w:r>
      <w:r w:rsidRPr="00F00B77">
        <w:rPr>
          <w:rFonts w:hint="eastAsia"/>
          <w:sz w:val="24"/>
          <w:szCs w:val="24"/>
        </w:rPr>
        <w:t>[2005]112</w:t>
      </w:r>
      <w:r w:rsidRPr="00F00B77">
        <w:rPr>
          <w:rFonts w:hint="eastAsia"/>
          <w:sz w:val="24"/>
          <w:szCs w:val="24"/>
        </w:rPr>
        <w:t>号</w:t>
      </w:r>
    </w:p>
    <w:p w14:paraId="6DCFC2D2"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基金托管资格批文及文号：中国证监会证监许可</w:t>
      </w:r>
      <w:r w:rsidRPr="00F00B77">
        <w:rPr>
          <w:rFonts w:hint="eastAsia"/>
          <w:sz w:val="24"/>
          <w:szCs w:val="24"/>
        </w:rPr>
        <w:t>[2015]219</w:t>
      </w:r>
      <w:r w:rsidRPr="00F00B77">
        <w:rPr>
          <w:rFonts w:hint="eastAsia"/>
          <w:sz w:val="24"/>
          <w:szCs w:val="24"/>
        </w:rPr>
        <w:t>号</w:t>
      </w:r>
    </w:p>
    <w:p w14:paraId="5671DFD5"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联系人：谢小华</w:t>
      </w:r>
    </w:p>
    <w:p w14:paraId="69A4DDCC"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010</w:t>
      </w:r>
      <w:r w:rsidRPr="00F00B77">
        <w:rPr>
          <w:rFonts w:hint="eastAsia"/>
          <w:sz w:val="24"/>
          <w:szCs w:val="24"/>
        </w:rPr>
        <w:t>）</w:t>
      </w:r>
      <w:r w:rsidRPr="00F00B77">
        <w:rPr>
          <w:rFonts w:hint="eastAsia"/>
          <w:sz w:val="24"/>
          <w:szCs w:val="24"/>
        </w:rPr>
        <w:t>85159352</w:t>
      </w:r>
    </w:p>
    <w:p w14:paraId="74DDB8C4"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中信建投证券成立于</w:t>
      </w:r>
      <w:r w:rsidRPr="00F00B77">
        <w:rPr>
          <w:rFonts w:hint="eastAsia"/>
          <w:sz w:val="24"/>
          <w:szCs w:val="24"/>
        </w:rPr>
        <w:t>2005</w:t>
      </w:r>
      <w:r w:rsidRPr="00F00B77">
        <w:rPr>
          <w:rFonts w:hint="eastAsia"/>
          <w:sz w:val="24"/>
          <w:szCs w:val="24"/>
        </w:rPr>
        <w:t>年</w:t>
      </w:r>
      <w:r w:rsidRPr="00F00B77">
        <w:rPr>
          <w:rFonts w:hint="eastAsia"/>
          <w:sz w:val="24"/>
          <w:szCs w:val="24"/>
        </w:rPr>
        <w:t>11</w:t>
      </w:r>
      <w:r w:rsidRPr="00F00B77">
        <w:rPr>
          <w:rFonts w:hint="eastAsia"/>
          <w:sz w:val="24"/>
          <w:szCs w:val="24"/>
        </w:rPr>
        <w:t>月</w:t>
      </w:r>
      <w:r w:rsidRPr="00F00B77">
        <w:rPr>
          <w:rFonts w:hint="eastAsia"/>
          <w:sz w:val="24"/>
          <w:szCs w:val="24"/>
        </w:rPr>
        <w:t>2</w:t>
      </w:r>
      <w:r w:rsidRPr="00F00B77">
        <w:rPr>
          <w:rFonts w:hint="eastAsia"/>
          <w:sz w:val="24"/>
          <w:szCs w:val="24"/>
        </w:rPr>
        <w:t>日，是经中国证监会批准设立的全国性大型综合证券公司。公司注册于北京，注册资本</w:t>
      </w:r>
      <w:r w:rsidR="00E96258">
        <w:rPr>
          <w:rFonts w:hint="eastAsia"/>
          <w:sz w:val="24"/>
          <w:szCs w:val="24"/>
        </w:rPr>
        <w:t>72.46</w:t>
      </w:r>
      <w:r w:rsidRPr="00F00B77">
        <w:rPr>
          <w:rFonts w:hint="eastAsia"/>
          <w:sz w:val="24"/>
          <w:szCs w:val="24"/>
        </w:rPr>
        <w:t>亿元，在全国</w:t>
      </w:r>
      <w:r w:rsidRPr="00F00B77">
        <w:rPr>
          <w:rFonts w:hint="eastAsia"/>
          <w:sz w:val="24"/>
          <w:szCs w:val="24"/>
        </w:rPr>
        <w:t>30</w:t>
      </w:r>
      <w:r w:rsidRPr="00F00B77">
        <w:rPr>
          <w:rFonts w:hint="eastAsia"/>
          <w:sz w:val="24"/>
          <w:szCs w:val="24"/>
        </w:rPr>
        <w:t>个省、市、自治区设有</w:t>
      </w:r>
      <w:r w:rsidR="00E96258">
        <w:rPr>
          <w:rFonts w:hint="eastAsia"/>
          <w:sz w:val="24"/>
          <w:szCs w:val="24"/>
        </w:rPr>
        <w:t>超过</w:t>
      </w:r>
      <w:r w:rsidR="00E96258">
        <w:rPr>
          <w:rFonts w:hint="eastAsia"/>
          <w:sz w:val="24"/>
          <w:szCs w:val="24"/>
        </w:rPr>
        <w:t>260</w:t>
      </w:r>
      <w:r w:rsidRPr="00F00B77">
        <w:rPr>
          <w:rFonts w:hint="eastAsia"/>
          <w:sz w:val="24"/>
          <w:szCs w:val="24"/>
        </w:rPr>
        <w:t>家营业网点，并设有中信建投期货有限公司、中信建投资本管理有限公司、中信建投（国际）金融控股有限公司、中信建投基金管理有限公司等</w:t>
      </w:r>
      <w:r w:rsidRPr="00F00B77">
        <w:rPr>
          <w:rFonts w:hint="eastAsia"/>
          <w:sz w:val="24"/>
          <w:szCs w:val="24"/>
        </w:rPr>
        <w:t>4</w:t>
      </w:r>
      <w:r w:rsidRPr="00F00B77">
        <w:rPr>
          <w:rFonts w:hint="eastAsia"/>
          <w:sz w:val="24"/>
          <w:szCs w:val="24"/>
        </w:rPr>
        <w:t>家子公司。自成立以来，中信建投证券各项业务快速发展，在企业融资、收购兼并、证券经纪、证券金融、固定收益、资产管理、股票及衍生品交易等领域形成了自身特色和核心业务优势，并搭建了研究咨询、信息技术、运营管理、风险管理、合规管理等专业高效的业务支持体系。凭借高度的敬业精神与突出的专业能力，中信建投证券主要业务指标及盈利能力目前均位居行业前列。</w:t>
      </w:r>
    </w:p>
    <w:p w14:paraId="7906395A"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（二）主要人员情况</w:t>
      </w:r>
    </w:p>
    <w:p w14:paraId="7ED31F29"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中信建投证券托管部管理团队和业务骨干具有</w:t>
      </w:r>
      <w:r w:rsidRPr="00F00B77">
        <w:rPr>
          <w:rFonts w:hint="eastAsia"/>
          <w:sz w:val="24"/>
          <w:szCs w:val="24"/>
        </w:rPr>
        <w:t>7</w:t>
      </w:r>
      <w:r w:rsidRPr="00F00B77">
        <w:rPr>
          <w:rFonts w:hint="eastAsia"/>
          <w:sz w:val="24"/>
          <w:szCs w:val="24"/>
        </w:rPr>
        <w:t>年以上的证券基金后台运营或结算托管工作经验，其中多人具备丰富的证券投资基金业务运作经验，人员专业背景覆盖了金融、会计、经济、计算机等各领域，可为托管客户提供个性化产品处理能力。</w:t>
      </w:r>
    </w:p>
    <w:p w14:paraId="045F76A3"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（三）基金托管业务经营情况</w:t>
      </w:r>
    </w:p>
    <w:p w14:paraId="5D56FFBD"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中信建投证券于</w:t>
      </w:r>
      <w:r w:rsidRPr="00F00B77">
        <w:rPr>
          <w:rFonts w:hint="eastAsia"/>
          <w:sz w:val="24"/>
          <w:szCs w:val="24"/>
        </w:rPr>
        <w:t>2015</w:t>
      </w:r>
      <w:r w:rsidRPr="00F00B77">
        <w:rPr>
          <w:rFonts w:hint="eastAsia"/>
          <w:sz w:val="24"/>
          <w:szCs w:val="24"/>
        </w:rPr>
        <w:t>年</w:t>
      </w:r>
      <w:r w:rsidRPr="00F00B77">
        <w:rPr>
          <w:rFonts w:hint="eastAsia"/>
          <w:sz w:val="24"/>
          <w:szCs w:val="24"/>
        </w:rPr>
        <w:t>2</w:t>
      </w:r>
      <w:r w:rsidRPr="00F00B77">
        <w:rPr>
          <w:rFonts w:hint="eastAsia"/>
          <w:sz w:val="24"/>
          <w:szCs w:val="24"/>
        </w:rPr>
        <w:t>月取得中国证监会核准证券投资基金托管资格，中信建投证券始终遵循“诚信、专注、成长、共赢”的经营理念，不断加强风险管理和内部控制，严格履行托管人的各项职责，切实维护基金份额持有人的合法权益，为基金份额持有人提供高质量的托管服务。</w:t>
      </w:r>
    </w:p>
    <w:p w14:paraId="6D9DDC29"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（四）托管业务的内部控制制度</w:t>
      </w:r>
    </w:p>
    <w:p w14:paraId="5C13FD50"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．内部控制目标</w:t>
      </w:r>
    </w:p>
    <w:p w14:paraId="05E9DFFA"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14:paraId="78421B3C"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．内部控制原则</w:t>
      </w:r>
    </w:p>
    <w:p w14:paraId="1B1BCD74"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1</w:t>
      </w:r>
      <w:r w:rsidRPr="00F00B77">
        <w:rPr>
          <w:rFonts w:hint="eastAsia"/>
          <w:sz w:val="24"/>
          <w:szCs w:val="24"/>
        </w:rPr>
        <w:t>）全面性原则。内部控制应当渗透到基金托管业务的决策、执行、监督的全过程和各个操作环节，覆盖所有的部门和岗位，并由全体人员参与，任何决策或操作均应当有案可查；</w:t>
      </w:r>
    </w:p>
    <w:p w14:paraId="14A589F9"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）重要性原则。基金托管业务的内部控制应当在全面控制的基础上，关注基金托管业务运作的重要业务事项和高风险领域；</w:t>
      </w:r>
    </w:p>
    <w:p w14:paraId="2DAADD17"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）制衡性原则。岗位设置应权责分明、相对独立、相互制衡，通过切实可行的措施来消除内部控制的盲点。</w:t>
      </w:r>
    </w:p>
    <w:p w14:paraId="0EF087B6"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适应性原则。内部控制体系应同基金托管业务规模、业务范围、竞争状况和风险水平及业务其他环境相适应，内部控制制度的制订应当具有前瞻性，并应当根据国家政策、法律及经营管理的需要，适时进行相应修改和完善；内部控制应当具有高度的权威性，任何人不得拥有超出内部控制约束的权力，内部控制存在的问题应当得到及时反馈和纠正；</w:t>
      </w:r>
    </w:p>
    <w:p w14:paraId="3C93081D"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）审慎性原则。内控与风险管理必须以防范风险、审慎经营、保证托管资产的安全与完整为出发点；托管业务经营管理必须按照“内控优先”的原则，在新增业务时，先做好相关制度建设；</w:t>
      </w:r>
    </w:p>
    <w:p w14:paraId="6FAB26CF"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）责任追究原则。各业务环节都应有明确的责任人，并按规定对违反制度的直接责任人以及对负有领导责任的负责人进行问责。</w:t>
      </w:r>
    </w:p>
    <w:p w14:paraId="13FCD115"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．内部控制制度及措施</w:t>
      </w:r>
    </w:p>
    <w:p w14:paraId="64EDCC19" w14:textId="77777777" w:rsidR="00141E6F" w:rsidRPr="00F00B77" w:rsidRDefault="00141E6F" w:rsidP="00141E6F">
      <w:pPr>
        <w:adjustRightInd w:val="0"/>
        <w:snapToGrid w:val="0"/>
        <w:spacing w:line="360" w:lineRule="auto"/>
        <w:ind w:firstLineChars="200" w:firstLine="480"/>
        <w:rPr>
          <w:sz w:val="24"/>
          <w:szCs w:val="24"/>
        </w:rPr>
      </w:pPr>
      <w:r w:rsidRPr="00F00B77">
        <w:rPr>
          <w:rFonts w:hint="eastAsia"/>
          <w:sz w:val="24"/>
          <w:szCs w:val="24"/>
        </w:rPr>
        <w:t>根据《基金法》、《证券投资基金托管业务管理办法》第</w:t>
      </w:r>
      <w:r w:rsidRPr="00F00B77">
        <w:rPr>
          <w:rFonts w:hint="eastAsia"/>
          <w:sz w:val="24"/>
          <w:szCs w:val="24"/>
        </w:rPr>
        <w:t>92</w:t>
      </w:r>
      <w:r w:rsidRPr="00F00B77">
        <w:rPr>
          <w:rFonts w:hint="eastAsia"/>
          <w:sz w:val="24"/>
          <w:szCs w:val="24"/>
        </w:rPr>
        <w:t>号令、《非银行金融机构开展证券投资基金托管业务暂行规定》等法律法规，基金托管人制定了一整套严密、高效的证券投资基金托管管理规章制度，确保基金托管业务运行的规范、安全、高效，包括《中信建投证券股份有限公司基金托管业务内部控制管理办法》、《中信建投证券股份有限公司基金托管业务信息披露管理办法》、《中信建投证券股份有限公司基金托管业务保密管理规定》、《中信建投证券股份有限公司基金托管业务印章及加密设备管理规定》、《中信建投证券股份有限公司基金托管业务从业人员管理规定》、《中信建投证券股份有限公司基金托管业务档案管理规定》等，并根据市场变化和基金业务的发展不断加以完善。做到业务分工合理，技术系统完整独立，业务管理制度化，核心作业区实行封闭管理，有关信息披露由专人负责。</w:t>
      </w:r>
    </w:p>
    <w:p w14:paraId="11BBC123" w14:textId="77777777" w:rsidR="00084DB4" w:rsidRPr="00F00B77" w:rsidRDefault="00141E6F">
      <w:pPr>
        <w:adjustRightInd w:val="0"/>
        <w:snapToGrid w:val="0"/>
        <w:spacing w:line="360" w:lineRule="auto"/>
        <w:ind w:firstLineChars="200" w:firstLine="480"/>
        <w:rPr>
          <w:sz w:val="24"/>
          <w:szCs w:val="24"/>
        </w:rPr>
      </w:pPr>
      <w:r w:rsidRPr="00F00B77">
        <w:rPr>
          <w:rFonts w:hint="eastAsia"/>
          <w:sz w:val="24"/>
          <w:szCs w:val="24"/>
        </w:rPr>
        <w:t>基金托管人通过基金托管业务各环节风险的事前揭示、事中控制和事后稽核的动态管理过程来实施内部风险控制</w:t>
      </w:r>
      <w:r w:rsidR="00084DB4" w:rsidRPr="00F00B77">
        <w:rPr>
          <w:rFonts w:hint="eastAsia"/>
          <w:sz w:val="24"/>
          <w:szCs w:val="24"/>
        </w:rPr>
        <w:t>。</w:t>
      </w:r>
    </w:p>
    <w:p w14:paraId="6AED1E53"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（五）基金托管人对基金管理人运作基金进行监督的方法和程序</w:t>
      </w:r>
    </w:p>
    <w:p w14:paraId="25B1425A"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hint="eastAsia"/>
          <w:sz w:val="24"/>
          <w:szCs w:val="24"/>
        </w:rPr>
        <w:t>根据《基金法》、《运作办法》的相关规定，基金托管人发现基金管理人的投资指令违反法律、行政法规和其他有关规定，或者违反基金合同约定的，应当拒绝执行，立即通知基金管理人，并及时向中国证监会报告。基金托管人如发现基金管理人依据交易程序已经生效的投资指令违反法律、行政法规和其他有关规定，或者违反基金合同约定的</w:t>
      </w:r>
      <w:r w:rsidRPr="00F00B77">
        <w:rPr>
          <w:rFonts w:hint="eastAsia"/>
          <w:sz w:val="24"/>
          <w:szCs w:val="24"/>
        </w:rPr>
        <w:t>,</w:t>
      </w:r>
      <w:r w:rsidRPr="00F00B77">
        <w:rPr>
          <w:rFonts w:hint="eastAsia"/>
          <w:sz w:val="24"/>
          <w:szCs w:val="24"/>
        </w:rPr>
        <w:t>应当立即通知基金管理人，并及时向中国证监会报告。</w:t>
      </w:r>
    </w:p>
    <w:p w14:paraId="1C4B3543" w14:textId="77777777" w:rsidR="00084DB4" w:rsidRPr="00F00B77" w:rsidRDefault="00084DB4" w:rsidP="004A3EE5">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r w:rsidRPr="00F00B77">
        <w:rPr>
          <w:rFonts w:ascii="宋体" w:hAnsi="宋体"/>
          <w:b/>
          <w:kern w:val="0"/>
          <w:sz w:val="30"/>
        </w:rPr>
        <w:br w:type="page"/>
      </w:r>
      <w:bookmarkStart w:id="14" w:name="_Toc491431668"/>
      <w:r w:rsidRPr="00F00B77">
        <w:rPr>
          <w:rFonts w:ascii="宋体" w:hAnsi="宋体" w:hint="eastAsia"/>
          <w:b/>
          <w:kern w:val="0"/>
          <w:sz w:val="30"/>
        </w:rPr>
        <w:t>五、相关服务机构</w:t>
      </w:r>
      <w:bookmarkEnd w:id="13"/>
      <w:bookmarkEnd w:id="14"/>
    </w:p>
    <w:p w14:paraId="0C471885"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（一）基金份额销售机构</w:t>
      </w:r>
      <w:r w:rsidRPr="00F00B77">
        <w:rPr>
          <w:b/>
          <w:kern w:val="0"/>
          <w:sz w:val="24"/>
        </w:rPr>
        <w:t xml:space="preserve"> </w:t>
      </w:r>
    </w:p>
    <w:p w14:paraId="1E845D3E"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、直销机构</w:t>
      </w:r>
      <w:r w:rsidRPr="00F00B77">
        <w:rPr>
          <w:sz w:val="24"/>
        </w:rPr>
        <w:t xml:space="preserve"> </w:t>
      </w:r>
    </w:p>
    <w:p w14:paraId="56F9CC7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本基金直销机构</w:t>
      </w:r>
      <w:r w:rsidR="00CD5AB1" w:rsidRPr="00F00B77">
        <w:rPr>
          <w:rFonts w:hAnsi="宋体" w:hint="eastAsia"/>
          <w:kern w:val="0"/>
          <w:sz w:val="24"/>
        </w:rPr>
        <w:t>仅</w:t>
      </w:r>
      <w:r w:rsidR="0028542D" w:rsidRPr="00F00B77">
        <w:rPr>
          <w:rFonts w:hAnsi="宋体" w:hint="eastAsia"/>
          <w:kern w:val="0"/>
          <w:sz w:val="24"/>
        </w:rPr>
        <w:t>为</w:t>
      </w:r>
      <w:r w:rsidRPr="00F00B77">
        <w:rPr>
          <w:rFonts w:hAnsi="宋体"/>
          <w:kern w:val="0"/>
          <w:sz w:val="24"/>
        </w:rPr>
        <w:t>本</w:t>
      </w:r>
      <w:r w:rsidRPr="00F00B77">
        <w:rPr>
          <w:rFonts w:hAnsi="宋体" w:hint="eastAsia"/>
          <w:kern w:val="0"/>
          <w:sz w:val="24"/>
        </w:rPr>
        <w:t>基金管理人</w:t>
      </w:r>
      <w:r w:rsidR="00AC0B5D" w:rsidRPr="00F00B77">
        <w:rPr>
          <w:rFonts w:hAnsi="宋体" w:hint="eastAsia"/>
          <w:kern w:val="0"/>
          <w:sz w:val="24"/>
        </w:rPr>
        <w:t>直销</w:t>
      </w:r>
      <w:r w:rsidR="00AC0B5D" w:rsidRPr="00F00B77">
        <w:rPr>
          <w:rFonts w:hAnsi="宋体"/>
          <w:kern w:val="0"/>
          <w:sz w:val="24"/>
        </w:rPr>
        <w:t>柜台</w:t>
      </w:r>
      <w:r w:rsidRPr="00F00B77">
        <w:rPr>
          <w:rFonts w:hAnsi="宋体"/>
          <w:kern w:val="0"/>
          <w:sz w:val="24"/>
        </w:rPr>
        <w:t>。</w:t>
      </w:r>
    </w:p>
    <w:p w14:paraId="4825F33B" w14:textId="77777777" w:rsidR="00084DB4" w:rsidRPr="00F00B77" w:rsidRDefault="00084DB4">
      <w:pPr>
        <w:adjustRightInd w:val="0"/>
        <w:snapToGrid w:val="0"/>
        <w:spacing w:line="360" w:lineRule="auto"/>
        <w:ind w:firstLineChars="200" w:firstLine="480"/>
        <w:rPr>
          <w:sz w:val="24"/>
        </w:rPr>
      </w:pPr>
      <w:r w:rsidRPr="00F00B77">
        <w:rPr>
          <w:rFonts w:hAnsi="宋体"/>
          <w:sz w:val="24"/>
        </w:rPr>
        <w:t>机构名称：交银施罗德基金管理有限公司</w:t>
      </w:r>
    </w:p>
    <w:p w14:paraId="72F0FDE4" w14:textId="77777777" w:rsidR="00084DB4" w:rsidRPr="00F00B77" w:rsidRDefault="00084DB4">
      <w:pPr>
        <w:adjustRightInd w:val="0"/>
        <w:snapToGrid w:val="0"/>
        <w:spacing w:line="360" w:lineRule="auto"/>
        <w:ind w:firstLineChars="200" w:firstLine="480"/>
        <w:rPr>
          <w:sz w:val="24"/>
        </w:rPr>
      </w:pPr>
      <w:r w:rsidRPr="00F00B77">
        <w:rPr>
          <w:rFonts w:hAnsi="宋体"/>
          <w:sz w:val="24"/>
        </w:rPr>
        <w:t>住所：上海市</w:t>
      </w:r>
      <w:r w:rsidRPr="00F00B77">
        <w:rPr>
          <w:rFonts w:hAnsi="宋体"/>
          <w:kern w:val="0"/>
          <w:sz w:val="24"/>
        </w:rPr>
        <w:t>浦东新区银城中路</w:t>
      </w:r>
      <w:r w:rsidRPr="00F00B77">
        <w:rPr>
          <w:kern w:val="0"/>
          <w:sz w:val="24"/>
        </w:rPr>
        <w:t>188</w:t>
      </w:r>
      <w:r w:rsidRPr="00F00B77">
        <w:rPr>
          <w:rFonts w:hAnsi="宋体"/>
          <w:kern w:val="0"/>
          <w:sz w:val="24"/>
        </w:rPr>
        <w:t>号</w:t>
      </w:r>
      <w:r w:rsidRPr="00F00B77">
        <w:rPr>
          <w:rFonts w:hAnsi="宋体"/>
          <w:sz w:val="24"/>
        </w:rPr>
        <w:t>交通银行大楼二层（裙）</w:t>
      </w:r>
    </w:p>
    <w:p w14:paraId="2248FD67" w14:textId="77777777" w:rsidR="00084DB4" w:rsidRPr="00F00B77" w:rsidRDefault="00084DB4">
      <w:pPr>
        <w:adjustRightInd w:val="0"/>
        <w:snapToGrid w:val="0"/>
        <w:spacing w:line="360" w:lineRule="auto"/>
        <w:ind w:firstLineChars="200" w:firstLine="480"/>
        <w:rPr>
          <w:sz w:val="24"/>
        </w:rPr>
      </w:pPr>
      <w:r w:rsidRPr="00F00B77">
        <w:rPr>
          <w:rFonts w:hAnsi="宋体"/>
          <w:sz w:val="24"/>
        </w:rPr>
        <w:t>办公地址：</w:t>
      </w:r>
      <w:r w:rsidRPr="00F00B77">
        <w:rPr>
          <w:rFonts w:hAnsi="宋体" w:hint="eastAsia"/>
          <w:sz w:val="24"/>
        </w:rPr>
        <w:t>上海</w:t>
      </w:r>
      <w:r w:rsidR="009374CC" w:rsidRPr="00F00B77">
        <w:rPr>
          <w:rFonts w:hAnsi="宋体" w:hint="eastAsia"/>
          <w:sz w:val="24"/>
        </w:rPr>
        <w:t>市</w:t>
      </w:r>
      <w:r w:rsidRPr="00F00B77">
        <w:rPr>
          <w:rFonts w:hAnsi="宋体" w:hint="eastAsia"/>
          <w:sz w:val="24"/>
        </w:rPr>
        <w:t>浦东新区世纪大道</w:t>
      </w:r>
      <w:r w:rsidRPr="00F00B77">
        <w:rPr>
          <w:rFonts w:hAnsi="宋体" w:hint="eastAsia"/>
          <w:sz w:val="24"/>
        </w:rPr>
        <w:t>8</w:t>
      </w:r>
      <w:r w:rsidRPr="00F00B77">
        <w:rPr>
          <w:rFonts w:hAnsi="宋体" w:hint="eastAsia"/>
          <w:sz w:val="24"/>
        </w:rPr>
        <w:t>号国金中心二期</w:t>
      </w:r>
      <w:r w:rsidRPr="00F00B77">
        <w:rPr>
          <w:rFonts w:hAnsi="宋体" w:hint="eastAsia"/>
          <w:sz w:val="24"/>
        </w:rPr>
        <w:t>21-22</w:t>
      </w:r>
      <w:r w:rsidRPr="00F00B77">
        <w:rPr>
          <w:rFonts w:hAnsi="宋体" w:hint="eastAsia"/>
          <w:sz w:val="24"/>
        </w:rPr>
        <w:t>楼</w:t>
      </w:r>
    </w:p>
    <w:p w14:paraId="652E2FB5" w14:textId="77777777" w:rsidR="00084DB4" w:rsidRPr="00F00B77" w:rsidRDefault="00084DB4">
      <w:pPr>
        <w:adjustRightInd w:val="0"/>
        <w:snapToGrid w:val="0"/>
        <w:spacing w:line="360" w:lineRule="auto"/>
        <w:ind w:firstLineChars="200" w:firstLine="480"/>
        <w:rPr>
          <w:sz w:val="24"/>
        </w:rPr>
      </w:pPr>
      <w:r w:rsidRPr="00F00B77">
        <w:rPr>
          <w:rFonts w:hAnsi="宋体"/>
          <w:sz w:val="24"/>
        </w:rPr>
        <w:t>法定代表人：</w:t>
      </w:r>
      <w:r w:rsidRPr="00F00B77">
        <w:rPr>
          <w:rFonts w:ascii="宋体" w:hAnsi="宋体" w:hint="eastAsia"/>
          <w:sz w:val="24"/>
          <w:szCs w:val="21"/>
        </w:rPr>
        <w:t>于亚利</w:t>
      </w:r>
    </w:p>
    <w:p w14:paraId="37E9240C" w14:textId="77777777" w:rsidR="00084DB4" w:rsidRPr="00F00B77" w:rsidRDefault="00084DB4">
      <w:pPr>
        <w:adjustRightInd w:val="0"/>
        <w:snapToGrid w:val="0"/>
        <w:spacing w:line="360" w:lineRule="auto"/>
        <w:ind w:firstLineChars="200" w:firstLine="480"/>
        <w:rPr>
          <w:sz w:val="24"/>
        </w:rPr>
      </w:pPr>
      <w:r w:rsidRPr="00F00B77">
        <w:rPr>
          <w:rFonts w:hAnsi="宋体"/>
          <w:sz w:val="24"/>
        </w:rPr>
        <w:t>成立时间：</w:t>
      </w:r>
      <w:r w:rsidRPr="00F00B77">
        <w:rPr>
          <w:sz w:val="24"/>
        </w:rPr>
        <w:t>2005</w:t>
      </w:r>
      <w:r w:rsidRPr="00F00B77">
        <w:rPr>
          <w:rFonts w:hAnsi="宋体"/>
          <w:sz w:val="24"/>
        </w:rPr>
        <w:t>年</w:t>
      </w:r>
      <w:r w:rsidRPr="00F00B77">
        <w:rPr>
          <w:sz w:val="24"/>
        </w:rPr>
        <w:t>8</w:t>
      </w:r>
      <w:r w:rsidRPr="00F00B77">
        <w:rPr>
          <w:rFonts w:hAnsi="宋体"/>
          <w:sz w:val="24"/>
        </w:rPr>
        <w:t>月</w:t>
      </w:r>
      <w:r w:rsidRPr="00F00B77">
        <w:rPr>
          <w:sz w:val="24"/>
        </w:rPr>
        <w:t>4</w:t>
      </w:r>
      <w:r w:rsidRPr="00F00B77">
        <w:rPr>
          <w:rFonts w:hAnsi="宋体"/>
          <w:sz w:val="24"/>
        </w:rPr>
        <w:t>日</w:t>
      </w:r>
      <w:r w:rsidRPr="00F00B77">
        <w:rPr>
          <w:sz w:val="24"/>
        </w:rPr>
        <w:t xml:space="preserve"> </w:t>
      </w:r>
    </w:p>
    <w:p w14:paraId="0618AC6A" w14:textId="77777777" w:rsidR="00084DB4" w:rsidRPr="00F00B77" w:rsidRDefault="00084DB4">
      <w:pPr>
        <w:adjustRightInd w:val="0"/>
        <w:snapToGrid w:val="0"/>
        <w:spacing w:line="360" w:lineRule="auto"/>
        <w:ind w:firstLineChars="200" w:firstLine="480"/>
        <w:rPr>
          <w:sz w:val="24"/>
        </w:rPr>
      </w:pPr>
      <w:r w:rsidRPr="00F00B77">
        <w:rPr>
          <w:rFonts w:hAnsi="宋体"/>
          <w:sz w:val="24"/>
        </w:rPr>
        <w:t>电话：（</w:t>
      </w:r>
      <w:r w:rsidRPr="00F00B77">
        <w:rPr>
          <w:sz w:val="24"/>
        </w:rPr>
        <w:t>021</w:t>
      </w:r>
      <w:r w:rsidRPr="00F00B77">
        <w:rPr>
          <w:rFonts w:hAnsi="宋体"/>
          <w:sz w:val="24"/>
        </w:rPr>
        <w:t>）</w:t>
      </w:r>
      <w:r w:rsidRPr="00F00B77">
        <w:rPr>
          <w:sz w:val="24"/>
        </w:rPr>
        <w:t>6105</w:t>
      </w:r>
      <w:r w:rsidRPr="00F00B77">
        <w:rPr>
          <w:rFonts w:hint="eastAsia"/>
          <w:sz w:val="24"/>
        </w:rPr>
        <w:t>5724</w:t>
      </w:r>
    </w:p>
    <w:p w14:paraId="7B9B1FFE" w14:textId="77777777" w:rsidR="00084DB4" w:rsidRPr="00F00B77" w:rsidRDefault="00084DB4">
      <w:pPr>
        <w:adjustRightInd w:val="0"/>
        <w:snapToGrid w:val="0"/>
        <w:spacing w:line="360" w:lineRule="auto"/>
        <w:ind w:firstLineChars="200" w:firstLine="480"/>
        <w:rPr>
          <w:sz w:val="24"/>
        </w:rPr>
      </w:pPr>
      <w:r w:rsidRPr="00F00B77">
        <w:rPr>
          <w:rFonts w:hAnsi="宋体"/>
          <w:sz w:val="24"/>
        </w:rPr>
        <w:t>传真：（</w:t>
      </w:r>
      <w:r w:rsidRPr="00F00B77">
        <w:rPr>
          <w:sz w:val="24"/>
        </w:rPr>
        <w:t>021</w:t>
      </w:r>
      <w:r w:rsidRPr="00F00B77">
        <w:rPr>
          <w:rFonts w:hAnsi="宋体"/>
          <w:sz w:val="24"/>
        </w:rPr>
        <w:t>）</w:t>
      </w:r>
      <w:r w:rsidRPr="00F00B77">
        <w:rPr>
          <w:sz w:val="24"/>
        </w:rPr>
        <w:t>61055054</w:t>
      </w:r>
    </w:p>
    <w:p w14:paraId="09274A0A" w14:textId="77777777" w:rsidR="00084DB4" w:rsidRPr="00F00B77" w:rsidRDefault="00084DB4">
      <w:pPr>
        <w:adjustRightInd w:val="0"/>
        <w:snapToGrid w:val="0"/>
        <w:spacing w:line="360" w:lineRule="auto"/>
        <w:ind w:firstLineChars="200" w:firstLine="480"/>
        <w:rPr>
          <w:sz w:val="24"/>
        </w:rPr>
      </w:pPr>
      <w:r w:rsidRPr="00F00B77">
        <w:rPr>
          <w:rFonts w:hAnsi="宋体"/>
          <w:sz w:val="24"/>
        </w:rPr>
        <w:t>联系人：</w:t>
      </w:r>
      <w:r w:rsidRPr="00F00B77">
        <w:rPr>
          <w:rFonts w:ascii="宋体" w:hAnsi="宋体" w:hint="eastAsia"/>
          <w:sz w:val="24"/>
        </w:rPr>
        <w:t>傅</w:t>
      </w:r>
      <w:r w:rsidRPr="00F00B77">
        <w:rPr>
          <w:rFonts w:ascii="宋体" w:hAnsi="宋体"/>
          <w:sz w:val="24"/>
        </w:rPr>
        <w:t>鲸</w:t>
      </w:r>
    </w:p>
    <w:p w14:paraId="4350115D" w14:textId="77777777" w:rsidR="00084DB4" w:rsidRPr="00F00B77" w:rsidRDefault="00084DB4">
      <w:pPr>
        <w:adjustRightInd w:val="0"/>
        <w:snapToGrid w:val="0"/>
        <w:spacing w:line="360" w:lineRule="auto"/>
        <w:ind w:firstLineChars="200" w:firstLine="480"/>
        <w:rPr>
          <w:sz w:val="24"/>
        </w:rPr>
      </w:pPr>
      <w:r w:rsidRPr="00F00B77">
        <w:rPr>
          <w:rFonts w:hAnsi="宋体"/>
          <w:sz w:val="24"/>
        </w:rPr>
        <w:t>客户服务电话：</w:t>
      </w:r>
      <w:r w:rsidRPr="00F00B77">
        <w:rPr>
          <w:sz w:val="24"/>
        </w:rPr>
        <w:t>400-700-5000</w:t>
      </w:r>
      <w:r w:rsidRPr="00F00B77">
        <w:rPr>
          <w:rFonts w:hAnsi="宋体"/>
          <w:sz w:val="24"/>
        </w:rPr>
        <w:t>（免长途话费），（</w:t>
      </w:r>
      <w:r w:rsidRPr="00F00B77">
        <w:rPr>
          <w:sz w:val="24"/>
        </w:rPr>
        <w:t>021</w:t>
      </w:r>
      <w:r w:rsidRPr="00F00B77">
        <w:rPr>
          <w:rFonts w:hAnsi="宋体"/>
          <w:sz w:val="24"/>
        </w:rPr>
        <w:t>）</w:t>
      </w:r>
      <w:r w:rsidRPr="00F00B77">
        <w:rPr>
          <w:sz w:val="24"/>
        </w:rPr>
        <w:t>61055000</w:t>
      </w:r>
    </w:p>
    <w:p w14:paraId="71B6EB4F" w14:textId="77777777" w:rsidR="00084DB4" w:rsidRPr="00F00B77" w:rsidRDefault="00084DB4">
      <w:pPr>
        <w:adjustRightInd w:val="0"/>
        <w:snapToGrid w:val="0"/>
        <w:spacing w:line="360" w:lineRule="auto"/>
        <w:ind w:firstLineChars="200" w:firstLine="480"/>
        <w:rPr>
          <w:rStyle w:val="a4"/>
          <w:color w:val="auto"/>
          <w:sz w:val="24"/>
          <w:u w:val="none"/>
        </w:rPr>
      </w:pPr>
      <w:r w:rsidRPr="00F00B77">
        <w:rPr>
          <w:rFonts w:hAnsi="宋体"/>
          <w:sz w:val="24"/>
        </w:rPr>
        <w:t>网址：</w:t>
      </w:r>
      <w:hyperlink r:id="rId9" w:history="1">
        <w:r w:rsidR="00AC0B5D" w:rsidRPr="00F00B77">
          <w:rPr>
            <w:rStyle w:val="a4"/>
            <w:rFonts w:hint="eastAsia"/>
            <w:sz w:val="24"/>
          </w:rPr>
          <w:t>www.fund001.com</w:t>
        </w:r>
        <w:r w:rsidR="00AC0B5D" w:rsidRPr="00F00B77">
          <w:rPr>
            <w:rStyle w:val="a4"/>
            <w:rFonts w:hint="eastAsia"/>
            <w:sz w:val="24"/>
          </w:rPr>
          <w:t>，</w:t>
        </w:r>
        <w:r w:rsidR="00AC0B5D" w:rsidRPr="00F00B77">
          <w:rPr>
            <w:rStyle w:val="a4"/>
            <w:rFonts w:hint="eastAsia"/>
            <w:sz w:val="24"/>
          </w:rPr>
          <w:t>www.bocomschroder.com</w:t>
        </w:r>
      </w:hyperlink>
    </w:p>
    <w:p w14:paraId="116E1D54" w14:textId="6B0AC002" w:rsidR="00577E5F" w:rsidRPr="00F00B77" w:rsidRDefault="00084DB4" w:rsidP="0062705A">
      <w:pPr>
        <w:adjustRightInd w:val="0"/>
        <w:snapToGrid w:val="0"/>
        <w:spacing w:line="360" w:lineRule="auto"/>
        <w:ind w:firstLineChars="200" w:firstLine="480"/>
        <w:rPr>
          <w:rFonts w:hAnsi="宋体"/>
          <w:kern w:val="0"/>
          <w:sz w:val="24"/>
        </w:rPr>
      </w:pPr>
      <w:r w:rsidRPr="00F00B77">
        <w:rPr>
          <w:rFonts w:hAnsi="宋体"/>
          <w:kern w:val="0"/>
          <w:sz w:val="24"/>
        </w:rPr>
        <w:t>投资者可通过本</w:t>
      </w:r>
      <w:r w:rsidRPr="00F00B77">
        <w:rPr>
          <w:rFonts w:hAnsi="宋体" w:hint="eastAsia"/>
          <w:kern w:val="0"/>
          <w:sz w:val="24"/>
        </w:rPr>
        <w:t>基金管理人</w:t>
      </w:r>
      <w:r w:rsidR="00AC0B5D" w:rsidRPr="00F00B77">
        <w:rPr>
          <w:rFonts w:hAnsi="宋体" w:hint="eastAsia"/>
          <w:kern w:val="0"/>
          <w:sz w:val="24"/>
        </w:rPr>
        <w:t>直销柜台办理开户、本基金</w:t>
      </w:r>
      <w:r w:rsidR="00AC0B5D" w:rsidRPr="00F00B77">
        <w:rPr>
          <w:rFonts w:hAnsi="宋体" w:hint="eastAsia"/>
          <w:kern w:val="0"/>
          <w:sz w:val="24"/>
        </w:rPr>
        <w:t>A</w:t>
      </w:r>
      <w:r w:rsidR="00AC0B5D" w:rsidRPr="00F00B77">
        <w:rPr>
          <w:rFonts w:hAnsi="宋体" w:hint="eastAsia"/>
          <w:kern w:val="0"/>
          <w:sz w:val="24"/>
        </w:rPr>
        <w:t>类</w:t>
      </w:r>
      <w:r w:rsidR="00876FBB" w:rsidRPr="00F00B77">
        <w:rPr>
          <w:rFonts w:hAnsi="宋体" w:hint="eastAsia"/>
          <w:kern w:val="0"/>
          <w:sz w:val="24"/>
        </w:rPr>
        <w:t>基金</w:t>
      </w:r>
      <w:r w:rsidR="00876FBB" w:rsidRPr="00F00B77">
        <w:rPr>
          <w:rFonts w:hAnsi="宋体"/>
          <w:kern w:val="0"/>
          <w:sz w:val="24"/>
        </w:rPr>
        <w:t>份额</w:t>
      </w:r>
      <w:r w:rsidR="00577E5F" w:rsidRPr="00F00B77">
        <w:rPr>
          <w:rFonts w:hAnsi="宋体" w:hint="eastAsia"/>
          <w:kern w:val="0"/>
          <w:sz w:val="24"/>
        </w:rPr>
        <w:t>及</w:t>
      </w:r>
      <w:r w:rsidR="00577E5F" w:rsidRPr="00F00B77">
        <w:rPr>
          <w:rFonts w:hAnsi="宋体" w:hint="eastAsia"/>
          <w:kern w:val="0"/>
          <w:sz w:val="24"/>
        </w:rPr>
        <w:t>E</w:t>
      </w:r>
      <w:r w:rsidR="00577E5F" w:rsidRPr="00F00B77">
        <w:rPr>
          <w:rFonts w:hAnsi="宋体" w:hint="eastAsia"/>
          <w:kern w:val="0"/>
          <w:sz w:val="24"/>
        </w:rPr>
        <w:t>类</w:t>
      </w:r>
      <w:r w:rsidR="00AC0B5D" w:rsidRPr="00F00B77">
        <w:rPr>
          <w:rFonts w:hAnsi="宋体" w:hint="eastAsia"/>
          <w:kern w:val="0"/>
          <w:sz w:val="24"/>
        </w:rPr>
        <w:t>基金份额的</w:t>
      </w:r>
      <w:r w:rsidR="00AC0B5D" w:rsidRPr="00F00B77">
        <w:rPr>
          <w:rFonts w:hAnsi="宋体"/>
          <w:kern w:val="0"/>
          <w:sz w:val="24"/>
        </w:rPr>
        <w:t>申购</w:t>
      </w:r>
      <w:r w:rsidR="00865D96" w:rsidRPr="00F00B77">
        <w:rPr>
          <w:rFonts w:hAnsi="宋体" w:hint="eastAsia"/>
          <w:kern w:val="0"/>
          <w:sz w:val="24"/>
        </w:rPr>
        <w:t>、</w:t>
      </w:r>
      <w:r w:rsidR="00AC0B5D" w:rsidRPr="00F00B77">
        <w:rPr>
          <w:rFonts w:hAnsi="宋体" w:hint="eastAsia"/>
          <w:kern w:val="0"/>
          <w:sz w:val="24"/>
        </w:rPr>
        <w:t>赎回等业务</w:t>
      </w:r>
      <w:r w:rsidR="0062705A" w:rsidRPr="00F00B77">
        <w:rPr>
          <w:rFonts w:hAnsi="宋体" w:hint="eastAsia"/>
          <w:kern w:val="0"/>
          <w:sz w:val="24"/>
        </w:rPr>
        <w:t>。</w:t>
      </w:r>
      <w:r w:rsidR="0062705A" w:rsidRPr="00F00B77">
        <w:rPr>
          <w:rFonts w:hAnsi="宋体"/>
          <w:kern w:val="0"/>
          <w:sz w:val="24"/>
        </w:rPr>
        <w:t xml:space="preserve"> </w:t>
      </w:r>
    </w:p>
    <w:p w14:paraId="4867DB15" w14:textId="77777777" w:rsidR="00084DB4" w:rsidRPr="00F00B77" w:rsidRDefault="00084DB4">
      <w:pPr>
        <w:adjustRightInd w:val="0"/>
        <w:snapToGrid w:val="0"/>
        <w:spacing w:line="360" w:lineRule="auto"/>
        <w:ind w:firstLineChars="200" w:firstLine="480"/>
        <w:rPr>
          <w:rFonts w:hAnsi="宋体"/>
          <w:sz w:val="24"/>
        </w:rPr>
      </w:pPr>
      <w:r w:rsidRPr="00F00B77">
        <w:rPr>
          <w:rFonts w:hint="eastAsia"/>
          <w:sz w:val="24"/>
        </w:rPr>
        <w:t>2</w:t>
      </w:r>
      <w:r w:rsidRPr="00F00B77">
        <w:rPr>
          <w:rFonts w:hAnsi="宋体"/>
          <w:sz w:val="24"/>
        </w:rPr>
        <w:t>、</w:t>
      </w:r>
      <w:r w:rsidRPr="00F00B77">
        <w:rPr>
          <w:rFonts w:hint="eastAsia"/>
          <w:kern w:val="0"/>
          <w:sz w:val="24"/>
          <w:szCs w:val="24"/>
        </w:rPr>
        <w:t>除基金管理人之外</w:t>
      </w:r>
      <w:r w:rsidRPr="00F00B77">
        <w:rPr>
          <w:rFonts w:hAnsi="宋体" w:hint="eastAsia"/>
          <w:sz w:val="24"/>
        </w:rPr>
        <w:t>的其他</w:t>
      </w:r>
      <w:r w:rsidR="00D81E2D">
        <w:rPr>
          <w:rFonts w:hAnsi="宋体" w:hint="eastAsia"/>
          <w:sz w:val="24"/>
        </w:rPr>
        <w:t>A</w:t>
      </w:r>
      <w:r w:rsidR="00D81E2D">
        <w:rPr>
          <w:rFonts w:hAnsi="宋体" w:hint="eastAsia"/>
          <w:sz w:val="24"/>
        </w:rPr>
        <w:t>类基金份额</w:t>
      </w:r>
      <w:r w:rsidRPr="00F00B77">
        <w:rPr>
          <w:rFonts w:hAnsi="宋体" w:hint="eastAsia"/>
          <w:sz w:val="24"/>
        </w:rPr>
        <w:t>销售</w:t>
      </w:r>
      <w:r w:rsidRPr="00F00B77">
        <w:rPr>
          <w:rFonts w:hAnsi="宋体"/>
          <w:sz w:val="24"/>
        </w:rPr>
        <w:t>机构</w:t>
      </w:r>
    </w:p>
    <w:p w14:paraId="534C9DFA" w14:textId="77777777" w:rsidR="00084DB4" w:rsidRPr="00F00B77" w:rsidRDefault="006023BB">
      <w:pPr>
        <w:adjustRightInd w:val="0"/>
        <w:snapToGrid w:val="0"/>
        <w:spacing w:line="360" w:lineRule="auto"/>
        <w:ind w:firstLineChars="200" w:firstLine="480"/>
        <w:rPr>
          <w:sz w:val="24"/>
          <w:szCs w:val="24"/>
        </w:rPr>
      </w:pPr>
      <w:r w:rsidRPr="00F00B77">
        <w:rPr>
          <w:rFonts w:hint="eastAsia"/>
          <w:sz w:val="24"/>
          <w:szCs w:val="24"/>
        </w:rPr>
        <w:t>名称：</w:t>
      </w:r>
      <w:r w:rsidR="00084DB4" w:rsidRPr="00F00B77">
        <w:rPr>
          <w:rFonts w:hint="eastAsia"/>
          <w:sz w:val="24"/>
          <w:szCs w:val="24"/>
        </w:rPr>
        <w:t>交通银行股份有限公司</w:t>
      </w:r>
      <w:r w:rsidR="00084DB4" w:rsidRPr="00F00B77">
        <w:rPr>
          <w:rFonts w:hint="eastAsia"/>
          <w:sz w:val="24"/>
          <w:szCs w:val="24"/>
        </w:rPr>
        <w:t xml:space="preserve">  </w:t>
      </w:r>
    </w:p>
    <w:p w14:paraId="3D55687F"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住所：上海市浦东新区银城中路</w:t>
      </w:r>
      <w:r w:rsidRPr="00F00B77">
        <w:rPr>
          <w:rFonts w:hint="eastAsia"/>
          <w:sz w:val="24"/>
          <w:szCs w:val="24"/>
        </w:rPr>
        <w:t>188</w:t>
      </w:r>
      <w:r w:rsidRPr="00F00B77">
        <w:rPr>
          <w:rFonts w:hint="eastAsia"/>
          <w:sz w:val="24"/>
          <w:szCs w:val="24"/>
        </w:rPr>
        <w:t>号</w:t>
      </w:r>
      <w:r w:rsidRPr="00F00B77">
        <w:rPr>
          <w:rFonts w:hint="eastAsia"/>
          <w:sz w:val="24"/>
          <w:szCs w:val="24"/>
        </w:rPr>
        <w:t xml:space="preserve"> </w:t>
      </w:r>
    </w:p>
    <w:p w14:paraId="1096A077"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办公地址：上海市浦东新区银城中路</w:t>
      </w:r>
      <w:r w:rsidRPr="00F00B77">
        <w:rPr>
          <w:rFonts w:hint="eastAsia"/>
          <w:sz w:val="24"/>
          <w:szCs w:val="24"/>
        </w:rPr>
        <w:t>188</w:t>
      </w:r>
      <w:r w:rsidRPr="00F00B77">
        <w:rPr>
          <w:rFonts w:hint="eastAsia"/>
          <w:sz w:val="24"/>
          <w:szCs w:val="24"/>
        </w:rPr>
        <w:t>号</w:t>
      </w:r>
    </w:p>
    <w:p w14:paraId="7D969DEA"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法定代表人：牛锡明</w:t>
      </w:r>
    </w:p>
    <w:p w14:paraId="16350C0D"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021</w:t>
      </w:r>
      <w:r w:rsidRPr="00F00B77">
        <w:rPr>
          <w:rFonts w:hint="eastAsia"/>
          <w:sz w:val="24"/>
          <w:szCs w:val="24"/>
        </w:rPr>
        <w:t>）</w:t>
      </w:r>
      <w:r w:rsidRPr="00F00B77">
        <w:rPr>
          <w:rFonts w:hint="eastAsia"/>
          <w:sz w:val="24"/>
          <w:szCs w:val="24"/>
        </w:rPr>
        <w:t xml:space="preserve">58781234 </w:t>
      </w:r>
    </w:p>
    <w:p w14:paraId="0C1C13E3"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传真：（</w:t>
      </w:r>
      <w:r w:rsidRPr="00F00B77">
        <w:rPr>
          <w:rFonts w:hint="eastAsia"/>
          <w:sz w:val="24"/>
          <w:szCs w:val="24"/>
        </w:rPr>
        <w:t>021</w:t>
      </w:r>
      <w:r w:rsidRPr="00F00B77">
        <w:rPr>
          <w:rFonts w:hint="eastAsia"/>
          <w:sz w:val="24"/>
          <w:szCs w:val="24"/>
        </w:rPr>
        <w:t>）</w:t>
      </w:r>
      <w:r w:rsidRPr="00F00B77">
        <w:rPr>
          <w:rFonts w:hint="eastAsia"/>
          <w:sz w:val="24"/>
          <w:szCs w:val="24"/>
        </w:rPr>
        <w:t xml:space="preserve">58408483 </w:t>
      </w:r>
    </w:p>
    <w:p w14:paraId="2C3391AE"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联系人：曹榕</w:t>
      </w:r>
    </w:p>
    <w:p w14:paraId="51688C1D"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客户服务电话：</w:t>
      </w:r>
      <w:r w:rsidRPr="00F00B77">
        <w:rPr>
          <w:rFonts w:hint="eastAsia"/>
          <w:sz w:val="24"/>
          <w:szCs w:val="24"/>
        </w:rPr>
        <w:t>95559</w:t>
      </w:r>
    </w:p>
    <w:p w14:paraId="32D40E73"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网址：</w:t>
      </w:r>
      <w:r w:rsidRPr="00F00B77">
        <w:rPr>
          <w:rFonts w:hint="eastAsia"/>
          <w:sz w:val="24"/>
          <w:szCs w:val="24"/>
        </w:rPr>
        <w:t>www.bankcomm.com</w:t>
      </w:r>
    </w:p>
    <w:p w14:paraId="0C3B2A6C" w14:textId="77777777" w:rsidR="00577E5F" w:rsidRPr="00F00B77" w:rsidRDefault="00577E5F">
      <w:pPr>
        <w:adjustRightInd w:val="0"/>
        <w:snapToGrid w:val="0"/>
        <w:spacing w:line="360" w:lineRule="auto"/>
        <w:ind w:firstLineChars="200" w:firstLine="480"/>
        <w:rPr>
          <w:sz w:val="24"/>
          <w:szCs w:val="24"/>
        </w:rPr>
      </w:pPr>
      <w:r w:rsidRPr="00F00B77">
        <w:rPr>
          <w:rFonts w:hint="eastAsia"/>
          <w:sz w:val="24"/>
          <w:szCs w:val="24"/>
        </w:rPr>
        <w:t>投资者通过</w:t>
      </w:r>
      <w:r w:rsidRPr="00F00B77">
        <w:rPr>
          <w:sz w:val="24"/>
          <w:szCs w:val="24"/>
        </w:rPr>
        <w:t>上述</w:t>
      </w:r>
      <w:r w:rsidRPr="00F00B77">
        <w:rPr>
          <w:rFonts w:hint="eastAsia"/>
          <w:kern w:val="0"/>
          <w:sz w:val="24"/>
          <w:szCs w:val="24"/>
        </w:rPr>
        <w:t>除基金管理人之外</w:t>
      </w:r>
      <w:r w:rsidRPr="00F00B77">
        <w:rPr>
          <w:rFonts w:hAnsi="宋体" w:hint="eastAsia"/>
          <w:sz w:val="24"/>
        </w:rPr>
        <w:t>的其他销售</w:t>
      </w:r>
      <w:r w:rsidRPr="00F00B77">
        <w:rPr>
          <w:rFonts w:hAnsi="宋体"/>
          <w:sz w:val="24"/>
        </w:rPr>
        <w:t>机构</w:t>
      </w:r>
      <w:r w:rsidRPr="00F00B77">
        <w:rPr>
          <w:rFonts w:hAnsi="宋体" w:hint="eastAsia"/>
          <w:sz w:val="24"/>
        </w:rPr>
        <w:t>仅可</w:t>
      </w:r>
      <w:r w:rsidRPr="00F00B77">
        <w:rPr>
          <w:rFonts w:hAnsi="宋体"/>
          <w:sz w:val="24"/>
        </w:rPr>
        <w:t>办理开户、本基金</w:t>
      </w:r>
      <w:r w:rsidRPr="00F00B77">
        <w:rPr>
          <w:rFonts w:hAnsi="宋体" w:hint="eastAsia"/>
          <w:sz w:val="24"/>
        </w:rPr>
        <w:t>A</w:t>
      </w:r>
      <w:r w:rsidRPr="00F00B77">
        <w:rPr>
          <w:rFonts w:hAnsi="宋体" w:hint="eastAsia"/>
          <w:sz w:val="24"/>
        </w:rPr>
        <w:t>类</w:t>
      </w:r>
      <w:r w:rsidRPr="00F00B77">
        <w:rPr>
          <w:rFonts w:hAnsi="宋体"/>
          <w:sz w:val="24"/>
        </w:rPr>
        <w:t>基金份额的申购及赎回</w:t>
      </w:r>
      <w:r w:rsidR="00876FBB" w:rsidRPr="00F00B77">
        <w:rPr>
          <w:rFonts w:hAnsi="宋体" w:hint="eastAsia"/>
          <w:sz w:val="24"/>
        </w:rPr>
        <w:t>等</w:t>
      </w:r>
      <w:r w:rsidRPr="00F00B77">
        <w:rPr>
          <w:rFonts w:hAnsi="宋体"/>
          <w:sz w:val="24"/>
        </w:rPr>
        <w:t>业务。</w:t>
      </w:r>
    </w:p>
    <w:p w14:paraId="54D72023" w14:textId="77777777" w:rsidR="00D81E2D" w:rsidRDefault="00D81E2D" w:rsidP="00D81E2D">
      <w:pPr>
        <w:adjustRightInd w:val="0"/>
        <w:snapToGrid w:val="0"/>
        <w:spacing w:line="360" w:lineRule="auto"/>
        <w:ind w:firstLineChars="200" w:firstLine="480"/>
        <w:rPr>
          <w:rFonts w:hAnsi="宋体"/>
          <w:sz w:val="24"/>
        </w:rPr>
      </w:pPr>
      <w:r>
        <w:rPr>
          <w:rFonts w:hint="eastAsia"/>
          <w:sz w:val="24"/>
        </w:rPr>
        <w:t>3</w:t>
      </w:r>
      <w:r w:rsidRPr="00F00B77">
        <w:rPr>
          <w:rFonts w:hAnsi="宋体"/>
          <w:sz w:val="24"/>
        </w:rPr>
        <w:t>、</w:t>
      </w:r>
      <w:r w:rsidRPr="00F00B77">
        <w:rPr>
          <w:rFonts w:hint="eastAsia"/>
          <w:kern w:val="0"/>
          <w:sz w:val="24"/>
          <w:szCs w:val="24"/>
        </w:rPr>
        <w:t>除基金管理人之外</w:t>
      </w:r>
      <w:r w:rsidRPr="00F00B77">
        <w:rPr>
          <w:rFonts w:hAnsi="宋体" w:hint="eastAsia"/>
          <w:sz w:val="24"/>
        </w:rPr>
        <w:t>的其他</w:t>
      </w:r>
      <w:r>
        <w:rPr>
          <w:rFonts w:hAnsi="宋体" w:hint="eastAsia"/>
          <w:sz w:val="24"/>
        </w:rPr>
        <w:t>E</w:t>
      </w:r>
      <w:r>
        <w:rPr>
          <w:rFonts w:hAnsi="宋体" w:hint="eastAsia"/>
          <w:sz w:val="24"/>
        </w:rPr>
        <w:t>类基金份额</w:t>
      </w:r>
      <w:r w:rsidRPr="00F00B77">
        <w:rPr>
          <w:rFonts w:hAnsi="宋体" w:hint="eastAsia"/>
          <w:sz w:val="24"/>
        </w:rPr>
        <w:t>销售</w:t>
      </w:r>
      <w:r w:rsidRPr="00F00B77">
        <w:rPr>
          <w:rFonts w:hAnsi="宋体"/>
          <w:sz w:val="24"/>
        </w:rPr>
        <w:t>机构</w:t>
      </w:r>
    </w:p>
    <w:p w14:paraId="5BF8D3AD" w14:textId="77777777" w:rsidR="0075098C" w:rsidRPr="0075098C" w:rsidRDefault="00572E86" w:rsidP="0075098C">
      <w:pPr>
        <w:adjustRightInd w:val="0"/>
        <w:snapToGrid w:val="0"/>
        <w:spacing w:line="360" w:lineRule="auto"/>
        <w:ind w:firstLineChars="200" w:firstLine="480"/>
        <w:rPr>
          <w:rFonts w:hAnsi="宋体"/>
          <w:sz w:val="24"/>
        </w:rPr>
      </w:pPr>
      <w:r>
        <w:rPr>
          <w:rFonts w:hAnsi="宋体" w:hint="eastAsia"/>
          <w:sz w:val="24"/>
        </w:rPr>
        <w:t>名称：</w:t>
      </w:r>
      <w:r w:rsidR="0075098C" w:rsidRPr="0075098C">
        <w:rPr>
          <w:rFonts w:hAnsi="宋体" w:hint="eastAsia"/>
          <w:sz w:val="24"/>
        </w:rPr>
        <w:t>上海基煜基金销售有限公司</w:t>
      </w:r>
    </w:p>
    <w:p w14:paraId="73DD8270" w14:textId="77777777" w:rsidR="0075098C" w:rsidRPr="0075098C" w:rsidRDefault="0075098C" w:rsidP="0075098C">
      <w:pPr>
        <w:adjustRightInd w:val="0"/>
        <w:snapToGrid w:val="0"/>
        <w:spacing w:line="360" w:lineRule="auto"/>
        <w:ind w:firstLineChars="200" w:firstLine="480"/>
        <w:rPr>
          <w:rFonts w:hAnsi="宋体"/>
          <w:sz w:val="24"/>
        </w:rPr>
      </w:pPr>
      <w:r w:rsidRPr="0075098C">
        <w:rPr>
          <w:rFonts w:hAnsi="宋体" w:hint="eastAsia"/>
          <w:sz w:val="24"/>
        </w:rPr>
        <w:t>住所：</w:t>
      </w:r>
      <w:r w:rsidRPr="0075098C">
        <w:rPr>
          <w:rFonts w:hAnsi="宋体" w:hint="eastAsia"/>
          <w:sz w:val="24"/>
        </w:rPr>
        <w:t xml:space="preserve"> </w:t>
      </w:r>
      <w:r w:rsidRPr="0075098C">
        <w:rPr>
          <w:rFonts w:hAnsi="宋体" w:hint="eastAsia"/>
          <w:sz w:val="24"/>
        </w:rPr>
        <w:t>上海市崇明县长兴镇路潘园公路</w:t>
      </w:r>
      <w:r w:rsidRPr="0075098C">
        <w:rPr>
          <w:rFonts w:hAnsi="宋体" w:hint="eastAsia"/>
          <w:sz w:val="24"/>
        </w:rPr>
        <w:t>1800</w:t>
      </w:r>
      <w:r w:rsidRPr="0075098C">
        <w:rPr>
          <w:rFonts w:hAnsi="宋体" w:hint="eastAsia"/>
          <w:sz w:val="24"/>
        </w:rPr>
        <w:t>号</w:t>
      </w:r>
      <w:r w:rsidRPr="0075098C">
        <w:rPr>
          <w:rFonts w:hAnsi="宋体" w:hint="eastAsia"/>
          <w:sz w:val="24"/>
        </w:rPr>
        <w:t>2</w:t>
      </w:r>
      <w:r w:rsidRPr="0075098C">
        <w:rPr>
          <w:rFonts w:hAnsi="宋体" w:hint="eastAsia"/>
          <w:sz w:val="24"/>
        </w:rPr>
        <w:t>号楼</w:t>
      </w:r>
      <w:r w:rsidRPr="0075098C">
        <w:rPr>
          <w:rFonts w:hAnsi="宋体" w:hint="eastAsia"/>
          <w:sz w:val="24"/>
        </w:rPr>
        <w:t>6153</w:t>
      </w:r>
      <w:r w:rsidRPr="0075098C">
        <w:rPr>
          <w:rFonts w:hAnsi="宋体" w:hint="eastAsia"/>
          <w:sz w:val="24"/>
        </w:rPr>
        <w:t>室（上海泰和经济发展区）</w:t>
      </w:r>
    </w:p>
    <w:p w14:paraId="13E206CA" w14:textId="77777777" w:rsidR="0075098C" w:rsidRPr="0075098C" w:rsidRDefault="0075098C" w:rsidP="0075098C">
      <w:pPr>
        <w:adjustRightInd w:val="0"/>
        <w:snapToGrid w:val="0"/>
        <w:spacing w:line="360" w:lineRule="auto"/>
        <w:ind w:firstLineChars="200" w:firstLine="480"/>
        <w:rPr>
          <w:rFonts w:hAnsi="宋体"/>
          <w:sz w:val="24"/>
        </w:rPr>
      </w:pPr>
      <w:r w:rsidRPr="0075098C">
        <w:rPr>
          <w:rFonts w:hAnsi="宋体" w:hint="eastAsia"/>
          <w:sz w:val="24"/>
        </w:rPr>
        <w:t>办公地址：</w:t>
      </w:r>
      <w:r w:rsidRPr="0075098C">
        <w:rPr>
          <w:rFonts w:hAnsi="宋体" w:hint="eastAsia"/>
          <w:sz w:val="24"/>
        </w:rPr>
        <w:t xml:space="preserve"> </w:t>
      </w:r>
      <w:r w:rsidRPr="0075098C">
        <w:rPr>
          <w:rFonts w:hAnsi="宋体" w:hint="eastAsia"/>
          <w:sz w:val="24"/>
        </w:rPr>
        <w:t>上海市浦东新区银城中路</w:t>
      </w:r>
      <w:r w:rsidRPr="0075098C">
        <w:rPr>
          <w:rFonts w:hAnsi="宋体" w:hint="eastAsia"/>
          <w:sz w:val="24"/>
        </w:rPr>
        <w:t>488</w:t>
      </w:r>
      <w:r w:rsidRPr="0075098C">
        <w:rPr>
          <w:rFonts w:hAnsi="宋体" w:hint="eastAsia"/>
          <w:sz w:val="24"/>
        </w:rPr>
        <w:t>号太平金融大厦</w:t>
      </w:r>
      <w:r w:rsidRPr="0075098C">
        <w:rPr>
          <w:rFonts w:hAnsi="宋体" w:hint="eastAsia"/>
          <w:sz w:val="24"/>
        </w:rPr>
        <w:t>1503</w:t>
      </w:r>
      <w:r w:rsidRPr="0075098C">
        <w:rPr>
          <w:rFonts w:hAnsi="宋体" w:hint="eastAsia"/>
          <w:sz w:val="24"/>
        </w:rPr>
        <w:t>室</w:t>
      </w:r>
    </w:p>
    <w:p w14:paraId="612B2FD9" w14:textId="77777777" w:rsidR="0075098C" w:rsidRPr="0075098C" w:rsidRDefault="0075098C" w:rsidP="0075098C">
      <w:pPr>
        <w:adjustRightInd w:val="0"/>
        <w:snapToGrid w:val="0"/>
        <w:spacing w:line="360" w:lineRule="auto"/>
        <w:ind w:firstLineChars="200" w:firstLine="480"/>
        <w:rPr>
          <w:rFonts w:hAnsi="宋体"/>
          <w:sz w:val="24"/>
        </w:rPr>
      </w:pPr>
      <w:r w:rsidRPr="0075098C">
        <w:rPr>
          <w:rFonts w:hAnsi="宋体" w:hint="eastAsia"/>
          <w:sz w:val="24"/>
        </w:rPr>
        <w:t>法定代表人：</w:t>
      </w:r>
      <w:r w:rsidRPr="0075098C">
        <w:rPr>
          <w:rFonts w:hAnsi="宋体" w:hint="eastAsia"/>
          <w:sz w:val="24"/>
        </w:rPr>
        <w:t xml:space="preserve"> </w:t>
      </w:r>
      <w:r w:rsidRPr="0075098C">
        <w:rPr>
          <w:rFonts w:hAnsi="宋体" w:hint="eastAsia"/>
          <w:sz w:val="24"/>
        </w:rPr>
        <w:t>王翔</w:t>
      </w:r>
      <w:r w:rsidRPr="0075098C">
        <w:rPr>
          <w:rFonts w:hAnsi="宋体" w:hint="eastAsia"/>
          <w:sz w:val="24"/>
        </w:rPr>
        <w:t xml:space="preserve"> </w:t>
      </w:r>
    </w:p>
    <w:p w14:paraId="50D78813" w14:textId="77777777" w:rsidR="0075098C" w:rsidRPr="0075098C" w:rsidRDefault="0075098C" w:rsidP="0075098C">
      <w:pPr>
        <w:adjustRightInd w:val="0"/>
        <w:snapToGrid w:val="0"/>
        <w:spacing w:line="360" w:lineRule="auto"/>
        <w:ind w:firstLineChars="200" w:firstLine="480"/>
        <w:rPr>
          <w:rFonts w:hAnsi="宋体"/>
          <w:sz w:val="24"/>
        </w:rPr>
      </w:pPr>
      <w:r w:rsidRPr="0075098C">
        <w:rPr>
          <w:rFonts w:hAnsi="宋体" w:hint="eastAsia"/>
          <w:sz w:val="24"/>
        </w:rPr>
        <w:t>电话：（</w:t>
      </w:r>
      <w:r w:rsidRPr="0075098C">
        <w:rPr>
          <w:rFonts w:hAnsi="宋体" w:hint="eastAsia"/>
          <w:sz w:val="24"/>
        </w:rPr>
        <w:t>021</w:t>
      </w:r>
      <w:r w:rsidRPr="0075098C">
        <w:rPr>
          <w:rFonts w:hAnsi="宋体" w:hint="eastAsia"/>
          <w:sz w:val="24"/>
        </w:rPr>
        <w:t>）</w:t>
      </w:r>
      <w:r w:rsidRPr="0075098C">
        <w:rPr>
          <w:rFonts w:hAnsi="宋体" w:hint="eastAsia"/>
          <w:sz w:val="24"/>
        </w:rPr>
        <w:t>65370077</w:t>
      </w:r>
    </w:p>
    <w:p w14:paraId="778C1E7C" w14:textId="77777777" w:rsidR="0075098C" w:rsidRPr="0075098C" w:rsidRDefault="0075098C" w:rsidP="0075098C">
      <w:pPr>
        <w:adjustRightInd w:val="0"/>
        <w:snapToGrid w:val="0"/>
        <w:spacing w:line="360" w:lineRule="auto"/>
        <w:ind w:firstLineChars="200" w:firstLine="480"/>
        <w:rPr>
          <w:rFonts w:hAnsi="宋体"/>
          <w:sz w:val="24"/>
        </w:rPr>
      </w:pPr>
      <w:r w:rsidRPr="0075098C">
        <w:rPr>
          <w:rFonts w:hAnsi="宋体" w:hint="eastAsia"/>
          <w:sz w:val="24"/>
        </w:rPr>
        <w:t>传真：（</w:t>
      </w:r>
      <w:r w:rsidRPr="0075098C">
        <w:rPr>
          <w:rFonts w:hAnsi="宋体" w:hint="eastAsia"/>
          <w:sz w:val="24"/>
        </w:rPr>
        <w:t>021</w:t>
      </w:r>
      <w:r w:rsidRPr="0075098C">
        <w:rPr>
          <w:rFonts w:hAnsi="宋体" w:hint="eastAsia"/>
          <w:sz w:val="24"/>
        </w:rPr>
        <w:t>）</w:t>
      </w:r>
      <w:r w:rsidRPr="0075098C">
        <w:rPr>
          <w:rFonts w:hAnsi="宋体" w:hint="eastAsia"/>
          <w:sz w:val="24"/>
        </w:rPr>
        <w:t>55085991</w:t>
      </w:r>
    </w:p>
    <w:p w14:paraId="557A763A" w14:textId="77777777" w:rsidR="0075098C" w:rsidRPr="0075098C" w:rsidRDefault="0075098C" w:rsidP="0075098C">
      <w:pPr>
        <w:adjustRightInd w:val="0"/>
        <w:snapToGrid w:val="0"/>
        <w:spacing w:line="360" w:lineRule="auto"/>
        <w:ind w:firstLineChars="200" w:firstLine="480"/>
        <w:rPr>
          <w:rFonts w:hAnsi="宋体"/>
          <w:sz w:val="24"/>
        </w:rPr>
      </w:pPr>
      <w:r w:rsidRPr="0075098C">
        <w:rPr>
          <w:rFonts w:hAnsi="宋体" w:hint="eastAsia"/>
          <w:sz w:val="24"/>
        </w:rPr>
        <w:t>联系人：</w:t>
      </w:r>
      <w:r w:rsidRPr="0075098C">
        <w:rPr>
          <w:rFonts w:hAnsi="宋体" w:hint="eastAsia"/>
          <w:sz w:val="24"/>
        </w:rPr>
        <w:t xml:space="preserve"> </w:t>
      </w:r>
      <w:r w:rsidRPr="0075098C">
        <w:rPr>
          <w:rFonts w:hAnsi="宋体" w:hint="eastAsia"/>
          <w:sz w:val="24"/>
        </w:rPr>
        <w:t>蓝杰</w:t>
      </w:r>
    </w:p>
    <w:p w14:paraId="56168096" w14:textId="77777777" w:rsidR="0075098C" w:rsidRPr="0075098C" w:rsidRDefault="0075098C" w:rsidP="0075098C">
      <w:pPr>
        <w:adjustRightInd w:val="0"/>
        <w:snapToGrid w:val="0"/>
        <w:spacing w:line="360" w:lineRule="auto"/>
        <w:ind w:firstLineChars="200" w:firstLine="480"/>
        <w:rPr>
          <w:rFonts w:hAnsi="宋体"/>
          <w:sz w:val="24"/>
        </w:rPr>
      </w:pPr>
      <w:r w:rsidRPr="0075098C">
        <w:rPr>
          <w:rFonts w:hAnsi="宋体" w:hint="eastAsia"/>
          <w:sz w:val="24"/>
        </w:rPr>
        <w:t>客户服务电话：</w:t>
      </w:r>
      <w:r w:rsidRPr="0075098C">
        <w:rPr>
          <w:rFonts w:hAnsi="宋体" w:hint="eastAsia"/>
          <w:sz w:val="24"/>
        </w:rPr>
        <w:t xml:space="preserve"> 400-820-5369</w:t>
      </w:r>
    </w:p>
    <w:p w14:paraId="384FDB73" w14:textId="77777777" w:rsidR="00D81E2D" w:rsidRPr="00D81E2D" w:rsidRDefault="0075098C" w:rsidP="0075098C">
      <w:pPr>
        <w:adjustRightInd w:val="0"/>
        <w:snapToGrid w:val="0"/>
        <w:spacing w:line="360" w:lineRule="auto"/>
        <w:ind w:firstLineChars="200" w:firstLine="480"/>
        <w:rPr>
          <w:rFonts w:hAnsi="宋体"/>
          <w:sz w:val="24"/>
        </w:rPr>
      </w:pPr>
      <w:r w:rsidRPr="0075098C">
        <w:rPr>
          <w:rFonts w:hAnsi="宋体" w:hint="eastAsia"/>
          <w:sz w:val="24"/>
        </w:rPr>
        <w:t>网址：</w:t>
      </w:r>
      <w:r w:rsidRPr="0075098C">
        <w:rPr>
          <w:rFonts w:hAnsi="宋体" w:hint="eastAsia"/>
          <w:sz w:val="24"/>
        </w:rPr>
        <w:t>www.jiyufund.com.cn</w:t>
      </w:r>
    </w:p>
    <w:p w14:paraId="6AA2A643" w14:textId="77777777" w:rsidR="00D81E2D" w:rsidRPr="00F00B77" w:rsidRDefault="00D81E2D" w:rsidP="00D81E2D">
      <w:pPr>
        <w:adjustRightInd w:val="0"/>
        <w:snapToGrid w:val="0"/>
        <w:spacing w:line="360" w:lineRule="auto"/>
        <w:ind w:firstLineChars="200" w:firstLine="480"/>
        <w:rPr>
          <w:sz w:val="24"/>
          <w:szCs w:val="24"/>
        </w:rPr>
      </w:pPr>
      <w:r w:rsidRPr="00F00B77">
        <w:rPr>
          <w:rFonts w:hint="eastAsia"/>
          <w:sz w:val="24"/>
          <w:szCs w:val="24"/>
        </w:rPr>
        <w:t>投资者通过</w:t>
      </w:r>
      <w:r w:rsidRPr="00F00B77">
        <w:rPr>
          <w:sz w:val="24"/>
          <w:szCs w:val="24"/>
        </w:rPr>
        <w:t>上述</w:t>
      </w:r>
      <w:r w:rsidRPr="00F00B77">
        <w:rPr>
          <w:rFonts w:hint="eastAsia"/>
          <w:kern w:val="0"/>
          <w:sz w:val="24"/>
          <w:szCs w:val="24"/>
        </w:rPr>
        <w:t>除基金管理人之外</w:t>
      </w:r>
      <w:r w:rsidRPr="00F00B77">
        <w:rPr>
          <w:rFonts w:hAnsi="宋体" w:hint="eastAsia"/>
          <w:sz w:val="24"/>
        </w:rPr>
        <w:t>的其他销售</w:t>
      </w:r>
      <w:r w:rsidRPr="00F00B77">
        <w:rPr>
          <w:rFonts w:hAnsi="宋体"/>
          <w:sz w:val="24"/>
        </w:rPr>
        <w:t>机构</w:t>
      </w:r>
      <w:r w:rsidRPr="00F00B77">
        <w:rPr>
          <w:rFonts w:hAnsi="宋体" w:hint="eastAsia"/>
          <w:sz w:val="24"/>
        </w:rPr>
        <w:t>仅可</w:t>
      </w:r>
      <w:r w:rsidRPr="00F00B77">
        <w:rPr>
          <w:rFonts w:hAnsi="宋体"/>
          <w:sz w:val="24"/>
        </w:rPr>
        <w:t>办理开户、本基金</w:t>
      </w:r>
      <w:r>
        <w:rPr>
          <w:rFonts w:hAnsi="宋体" w:hint="eastAsia"/>
          <w:sz w:val="24"/>
        </w:rPr>
        <w:t>E</w:t>
      </w:r>
      <w:r w:rsidRPr="00F00B77">
        <w:rPr>
          <w:rFonts w:hAnsi="宋体" w:hint="eastAsia"/>
          <w:sz w:val="24"/>
        </w:rPr>
        <w:t>类</w:t>
      </w:r>
      <w:r w:rsidRPr="00F00B77">
        <w:rPr>
          <w:rFonts w:hAnsi="宋体"/>
          <w:sz w:val="24"/>
        </w:rPr>
        <w:t>基金份额的申购及赎回</w:t>
      </w:r>
      <w:r w:rsidRPr="00F00B77">
        <w:rPr>
          <w:rFonts w:hAnsi="宋体" w:hint="eastAsia"/>
          <w:sz w:val="24"/>
        </w:rPr>
        <w:t>等</w:t>
      </w:r>
      <w:r w:rsidRPr="00F00B77">
        <w:rPr>
          <w:rFonts w:hAnsi="宋体"/>
          <w:sz w:val="24"/>
        </w:rPr>
        <w:t>业务。</w:t>
      </w:r>
    </w:p>
    <w:p w14:paraId="7CD15039" w14:textId="77777777" w:rsidR="00084DB4" w:rsidRPr="00F00B77" w:rsidRDefault="00084DB4" w:rsidP="0075098C">
      <w:pPr>
        <w:adjustRightInd w:val="0"/>
        <w:snapToGrid w:val="0"/>
        <w:spacing w:line="360" w:lineRule="auto"/>
        <w:ind w:firstLineChars="200" w:firstLine="480"/>
        <w:rPr>
          <w:kern w:val="0"/>
          <w:sz w:val="24"/>
        </w:rPr>
      </w:pPr>
      <w:r w:rsidRPr="00F00B77">
        <w:rPr>
          <w:rFonts w:hAnsi="宋体"/>
          <w:kern w:val="0"/>
          <w:sz w:val="24"/>
        </w:rPr>
        <w:t>基金管理人可根据有关法律法规的要求，选择其它符合要求的机构销售本基金，并及时公告。</w:t>
      </w:r>
    </w:p>
    <w:p w14:paraId="04FF8C87"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（二）登记机构</w:t>
      </w:r>
    </w:p>
    <w:p w14:paraId="5ABEC738"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名称：</w:t>
      </w:r>
      <w:r w:rsidRPr="00F00B77">
        <w:rPr>
          <w:rFonts w:hAnsi="宋体" w:hint="eastAsia"/>
          <w:kern w:val="0"/>
          <w:sz w:val="24"/>
        </w:rPr>
        <w:t>交银施罗德基金管理有限公司</w:t>
      </w:r>
      <w:r w:rsidRPr="00F00B77">
        <w:rPr>
          <w:kern w:val="0"/>
          <w:sz w:val="24"/>
        </w:rPr>
        <w:t xml:space="preserve"> </w:t>
      </w:r>
    </w:p>
    <w:p w14:paraId="63EDA7AD" w14:textId="77777777" w:rsidR="00084DB4" w:rsidRPr="00F00B77" w:rsidRDefault="00084DB4">
      <w:pPr>
        <w:adjustRightInd w:val="0"/>
        <w:snapToGrid w:val="0"/>
        <w:spacing w:line="360" w:lineRule="auto"/>
        <w:ind w:firstLineChars="200" w:firstLine="480"/>
        <w:rPr>
          <w:sz w:val="24"/>
        </w:rPr>
      </w:pPr>
      <w:r w:rsidRPr="00F00B77">
        <w:rPr>
          <w:rFonts w:hAnsi="宋体"/>
          <w:sz w:val="24"/>
        </w:rPr>
        <w:t>住所：上海市</w:t>
      </w:r>
      <w:r w:rsidRPr="00F00B77">
        <w:rPr>
          <w:rFonts w:hAnsi="宋体"/>
          <w:kern w:val="0"/>
          <w:sz w:val="24"/>
        </w:rPr>
        <w:t>浦东新区银城中路</w:t>
      </w:r>
      <w:r w:rsidRPr="00F00B77">
        <w:rPr>
          <w:kern w:val="0"/>
          <w:sz w:val="24"/>
        </w:rPr>
        <w:t>188</w:t>
      </w:r>
      <w:r w:rsidRPr="00F00B77">
        <w:rPr>
          <w:rFonts w:hAnsi="宋体"/>
          <w:kern w:val="0"/>
          <w:sz w:val="24"/>
        </w:rPr>
        <w:t>号</w:t>
      </w:r>
      <w:r w:rsidRPr="00F00B77">
        <w:rPr>
          <w:rFonts w:hAnsi="宋体"/>
          <w:sz w:val="24"/>
        </w:rPr>
        <w:t>交通银行大楼二层（裙）</w:t>
      </w:r>
    </w:p>
    <w:p w14:paraId="2F468D1D" w14:textId="77777777" w:rsidR="00084DB4" w:rsidRPr="00F00B77" w:rsidRDefault="00084DB4">
      <w:pPr>
        <w:adjustRightInd w:val="0"/>
        <w:snapToGrid w:val="0"/>
        <w:spacing w:line="360" w:lineRule="auto"/>
        <w:ind w:firstLineChars="200" w:firstLine="480"/>
        <w:rPr>
          <w:sz w:val="24"/>
        </w:rPr>
      </w:pPr>
      <w:r w:rsidRPr="00F00B77">
        <w:rPr>
          <w:rFonts w:hAnsi="宋体"/>
          <w:sz w:val="24"/>
        </w:rPr>
        <w:t>办公地址：</w:t>
      </w:r>
      <w:r w:rsidRPr="00F00B77">
        <w:rPr>
          <w:rFonts w:hAnsi="宋体" w:hint="eastAsia"/>
          <w:sz w:val="24"/>
        </w:rPr>
        <w:t>上海</w:t>
      </w:r>
      <w:r w:rsidR="00DA6E3F" w:rsidRPr="00F00B77">
        <w:rPr>
          <w:rFonts w:hAnsi="宋体" w:hint="eastAsia"/>
          <w:sz w:val="24"/>
        </w:rPr>
        <w:t>市</w:t>
      </w:r>
      <w:r w:rsidRPr="00F00B77">
        <w:rPr>
          <w:rFonts w:hAnsi="宋体" w:hint="eastAsia"/>
          <w:sz w:val="24"/>
        </w:rPr>
        <w:t>浦东新区世纪大道</w:t>
      </w:r>
      <w:r w:rsidRPr="00F00B77">
        <w:rPr>
          <w:rFonts w:hAnsi="宋体" w:hint="eastAsia"/>
          <w:sz w:val="24"/>
        </w:rPr>
        <w:t>8</w:t>
      </w:r>
      <w:r w:rsidRPr="00F00B77">
        <w:rPr>
          <w:rFonts w:hAnsi="宋体" w:hint="eastAsia"/>
          <w:sz w:val="24"/>
        </w:rPr>
        <w:t>号国金中心二期</w:t>
      </w:r>
      <w:r w:rsidRPr="00F00B77">
        <w:rPr>
          <w:rFonts w:hAnsi="宋体" w:hint="eastAsia"/>
          <w:sz w:val="24"/>
        </w:rPr>
        <w:t>21-22</w:t>
      </w:r>
      <w:r w:rsidRPr="00F00B77">
        <w:rPr>
          <w:rFonts w:hAnsi="宋体" w:hint="eastAsia"/>
          <w:sz w:val="24"/>
        </w:rPr>
        <w:t>楼</w:t>
      </w:r>
    </w:p>
    <w:p w14:paraId="40A04F47"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sz w:val="24"/>
        </w:rPr>
        <w:t>法定代表人：</w:t>
      </w:r>
      <w:r w:rsidRPr="00F00B77">
        <w:rPr>
          <w:rFonts w:ascii="宋体" w:hAnsi="宋体" w:hint="eastAsia"/>
          <w:sz w:val="24"/>
          <w:szCs w:val="21"/>
        </w:rPr>
        <w:t>于亚利</w:t>
      </w:r>
    </w:p>
    <w:p w14:paraId="610E240B"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电话：（</w:t>
      </w:r>
      <w:r w:rsidRPr="00F00B77">
        <w:rPr>
          <w:rFonts w:hAnsi="宋体" w:hint="eastAsia"/>
          <w:sz w:val="24"/>
        </w:rPr>
        <w:t>021</w:t>
      </w:r>
      <w:r w:rsidRPr="00F00B77">
        <w:rPr>
          <w:rFonts w:hAnsi="宋体" w:hint="eastAsia"/>
          <w:sz w:val="24"/>
        </w:rPr>
        <w:t>）</w:t>
      </w:r>
      <w:r w:rsidRPr="00F00B77">
        <w:rPr>
          <w:rFonts w:hAnsi="宋体" w:hint="eastAsia"/>
          <w:sz w:val="24"/>
        </w:rPr>
        <w:t>6105</w:t>
      </w:r>
      <w:r w:rsidR="009D5DEA" w:rsidRPr="00F00B77">
        <w:rPr>
          <w:rFonts w:hAnsi="宋体"/>
          <w:sz w:val="24"/>
        </w:rPr>
        <w:t>5097</w:t>
      </w:r>
    </w:p>
    <w:p w14:paraId="76899E3F"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传真：（</w:t>
      </w:r>
      <w:r w:rsidRPr="00F00B77">
        <w:rPr>
          <w:rFonts w:hAnsi="宋体" w:hint="eastAsia"/>
          <w:sz w:val="24"/>
        </w:rPr>
        <w:t>021</w:t>
      </w:r>
      <w:r w:rsidRPr="00F00B77">
        <w:rPr>
          <w:rFonts w:hAnsi="宋体" w:hint="eastAsia"/>
          <w:sz w:val="24"/>
        </w:rPr>
        <w:t>）</w:t>
      </w:r>
      <w:r w:rsidRPr="00F00B77">
        <w:rPr>
          <w:rFonts w:hAnsi="宋体" w:hint="eastAsia"/>
          <w:sz w:val="24"/>
        </w:rPr>
        <w:t>61055064</w:t>
      </w:r>
    </w:p>
    <w:p w14:paraId="1888D871"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联系人：</w:t>
      </w:r>
      <w:r w:rsidR="009D5DEA" w:rsidRPr="00F00B77">
        <w:rPr>
          <w:rFonts w:hAnsi="宋体" w:hint="eastAsia"/>
          <w:sz w:val="24"/>
        </w:rPr>
        <w:t>单江</w:t>
      </w:r>
    </w:p>
    <w:p w14:paraId="54E41CC6"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（三）出具法律意见书的律师事务所</w:t>
      </w:r>
    </w:p>
    <w:p w14:paraId="4E30BAD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名称：上海市通力律师事务所</w:t>
      </w:r>
      <w:r w:rsidRPr="00F00B77">
        <w:rPr>
          <w:kern w:val="0"/>
          <w:sz w:val="24"/>
        </w:rPr>
        <w:t xml:space="preserve"> </w:t>
      </w:r>
    </w:p>
    <w:p w14:paraId="3E7C7497"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住所：上海市银城中路</w:t>
      </w:r>
      <w:r w:rsidRPr="00F00B77">
        <w:rPr>
          <w:kern w:val="0"/>
          <w:sz w:val="24"/>
        </w:rPr>
        <w:t>68</w:t>
      </w:r>
      <w:r w:rsidRPr="00F00B77">
        <w:rPr>
          <w:rFonts w:hAnsi="宋体"/>
          <w:kern w:val="0"/>
          <w:sz w:val="24"/>
        </w:rPr>
        <w:t>号时代金融中心</w:t>
      </w:r>
      <w:r w:rsidRPr="00F00B77">
        <w:rPr>
          <w:kern w:val="0"/>
          <w:sz w:val="24"/>
        </w:rPr>
        <w:t>19</w:t>
      </w:r>
      <w:r w:rsidRPr="00F00B77">
        <w:rPr>
          <w:rFonts w:hAnsi="宋体"/>
          <w:kern w:val="0"/>
          <w:sz w:val="24"/>
        </w:rPr>
        <w:t>楼</w:t>
      </w:r>
    </w:p>
    <w:p w14:paraId="47919E5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办公地址：上海市银城中路</w:t>
      </w:r>
      <w:r w:rsidRPr="00F00B77">
        <w:rPr>
          <w:kern w:val="0"/>
          <w:sz w:val="24"/>
        </w:rPr>
        <w:t>68</w:t>
      </w:r>
      <w:r w:rsidRPr="00F00B77">
        <w:rPr>
          <w:rFonts w:hAnsi="宋体"/>
          <w:kern w:val="0"/>
          <w:sz w:val="24"/>
        </w:rPr>
        <w:t>号时代金融中心</w:t>
      </w:r>
      <w:r w:rsidRPr="00F00B77">
        <w:rPr>
          <w:kern w:val="0"/>
          <w:sz w:val="24"/>
        </w:rPr>
        <w:t>19</w:t>
      </w:r>
      <w:r w:rsidRPr="00F00B77">
        <w:rPr>
          <w:rFonts w:hAnsi="宋体"/>
          <w:kern w:val="0"/>
          <w:sz w:val="24"/>
        </w:rPr>
        <w:t>楼</w:t>
      </w:r>
    </w:p>
    <w:p w14:paraId="387384FC"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负责人：</w:t>
      </w:r>
      <w:r w:rsidRPr="00F00B77">
        <w:rPr>
          <w:rFonts w:hAnsi="宋体" w:hint="eastAsia"/>
          <w:kern w:val="0"/>
          <w:sz w:val="24"/>
        </w:rPr>
        <w:t>俞卫锋</w:t>
      </w:r>
    </w:p>
    <w:p w14:paraId="42C17F2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Pr="00F00B77">
        <w:rPr>
          <w:kern w:val="0"/>
          <w:sz w:val="24"/>
        </w:rPr>
        <w:t xml:space="preserve">31358666  </w:t>
      </w:r>
    </w:p>
    <w:p w14:paraId="1438D411"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kern w:val="0"/>
          <w:sz w:val="24"/>
        </w:rPr>
        <w:t xml:space="preserve">31358600  </w:t>
      </w:r>
    </w:p>
    <w:p w14:paraId="632C472C"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联系人：</w:t>
      </w:r>
      <w:r w:rsidRPr="00F00B77">
        <w:rPr>
          <w:rFonts w:hAnsi="宋体" w:hint="eastAsia"/>
          <w:kern w:val="0"/>
          <w:sz w:val="24"/>
        </w:rPr>
        <w:t>丁媛</w:t>
      </w:r>
    </w:p>
    <w:p w14:paraId="34B34943"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经办律师：黎明</w:t>
      </w:r>
      <w:r w:rsidRPr="00F00B77">
        <w:rPr>
          <w:rFonts w:hAnsi="宋体" w:hint="eastAsia"/>
          <w:kern w:val="0"/>
          <w:sz w:val="24"/>
        </w:rPr>
        <w:t>、丁媛</w:t>
      </w:r>
    </w:p>
    <w:p w14:paraId="5D0E66DB" w14:textId="77777777" w:rsidR="00084DB4" w:rsidRPr="00F00B77" w:rsidRDefault="00084DB4">
      <w:pPr>
        <w:adjustRightInd w:val="0"/>
        <w:snapToGrid w:val="0"/>
        <w:spacing w:line="360" w:lineRule="auto"/>
        <w:ind w:firstLineChars="200" w:firstLine="482"/>
        <w:rPr>
          <w:b/>
          <w:kern w:val="0"/>
          <w:sz w:val="24"/>
        </w:rPr>
      </w:pPr>
      <w:r w:rsidRPr="00F00B77">
        <w:rPr>
          <w:rFonts w:hAnsi="宋体"/>
          <w:b/>
          <w:kern w:val="0"/>
          <w:sz w:val="24"/>
        </w:rPr>
        <w:t>（四）审计基金财产的会计师事务所</w:t>
      </w:r>
      <w:r w:rsidRPr="00F00B77">
        <w:rPr>
          <w:b/>
          <w:kern w:val="0"/>
          <w:sz w:val="24"/>
        </w:rPr>
        <w:t xml:space="preserve"> </w:t>
      </w:r>
    </w:p>
    <w:p w14:paraId="0C8CBF6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名称：</w:t>
      </w:r>
      <w:r w:rsidRPr="00F00B77">
        <w:rPr>
          <w:rFonts w:hAnsi="宋体" w:hint="eastAsia"/>
          <w:kern w:val="0"/>
          <w:sz w:val="24"/>
        </w:rPr>
        <w:t>普华永道中天会计师事务所（特殊普通合伙）</w:t>
      </w:r>
    </w:p>
    <w:p w14:paraId="0E97456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住所：上海市浦东新区陆家嘴环路</w:t>
      </w:r>
      <w:r w:rsidRPr="00F00B77">
        <w:rPr>
          <w:kern w:val="0"/>
          <w:sz w:val="24"/>
        </w:rPr>
        <w:t>1318</w:t>
      </w:r>
      <w:r w:rsidRPr="00F00B77">
        <w:rPr>
          <w:rFonts w:hAnsi="宋体"/>
          <w:kern w:val="0"/>
          <w:sz w:val="24"/>
        </w:rPr>
        <w:t>号星展银行大厦</w:t>
      </w:r>
      <w:r w:rsidRPr="00F00B77">
        <w:rPr>
          <w:kern w:val="0"/>
          <w:sz w:val="24"/>
        </w:rPr>
        <w:t>6</w:t>
      </w:r>
      <w:r w:rsidRPr="00F00B77">
        <w:rPr>
          <w:rFonts w:hAnsi="宋体"/>
          <w:kern w:val="0"/>
          <w:sz w:val="24"/>
        </w:rPr>
        <w:t>楼</w:t>
      </w:r>
    </w:p>
    <w:p w14:paraId="5C4D833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办公地址：上海市湖滨路</w:t>
      </w:r>
      <w:r w:rsidRPr="00F00B77">
        <w:rPr>
          <w:kern w:val="0"/>
          <w:sz w:val="24"/>
        </w:rPr>
        <w:t>202</w:t>
      </w:r>
      <w:r w:rsidRPr="00F00B77">
        <w:rPr>
          <w:rFonts w:hAnsi="宋体"/>
          <w:kern w:val="0"/>
          <w:sz w:val="24"/>
        </w:rPr>
        <w:t>号普华永道中心</w:t>
      </w:r>
      <w:r w:rsidRPr="00F00B77">
        <w:rPr>
          <w:kern w:val="0"/>
          <w:sz w:val="24"/>
        </w:rPr>
        <w:t>11</w:t>
      </w:r>
      <w:r w:rsidRPr="00F00B77">
        <w:rPr>
          <w:rFonts w:hAnsi="宋体"/>
          <w:kern w:val="0"/>
          <w:sz w:val="24"/>
        </w:rPr>
        <w:t>楼</w:t>
      </w:r>
    </w:p>
    <w:p w14:paraId="24AF9AD1" w14:textId="77777777" w:rsidR="00084DB4" w:rsidRPr="00F00B77" w:rsidRDefault="00084DB4">
      <w:pPr>
        <w:adjustRightInd w:val="0"/>
        <w:snapToGrid w:val="0"/>
        <w:spacing w:line="360" w:lineRule="auto"/>
        <w:ind w:firstLineChars="200" w:firstLine="480"/>
        <w:rPr>
          <w:kern w:val="0"/>
          <w:sz w:val="24"/>
        </w:rPr>
      </w:pPr>
      <w:r w:rsidRPr="00F00B77">
        <w:rPr>
          <w:rFonts w:ascii="宋体" w:hAnsi="宋体" w:hint="eastAsia"/>
          <w:sz w:val="24"/>
          <w:szCs w:val="24"/>
        </w:rPr>
        <w:t>执行事务合伙人</w:t>
      </w:r>
      <w:r w:rsidRPr="00F00B77">
        <w:rPr>
          <w:rFonts w:hAnsi="宋体"/>
          <w:kern w:val="0"/>
          <w:sz w:val="24"/>
        </w:rPr>
        <w:t>：</w:t>
      </w:r>
      <w:r w:rsidRPr="00F00B77">
        <w:rPr>
          <w:rFonts w:hAnsi="宋体" w:hint="eastAsia"/>
          <w:kern w:val="0"/>
          <w:sz w:val="24"/>
        </w:rPr>
        <w:t>李丹</w:t>
      </w:r>
    </w:p>
    <w:p w14:paraId="7FD3027D"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Pr="00F00B77">
        <w:rPr>
          <w:kern w:val="0"/>
          <w:sz w:val="24"/>
        </w:rPr>
        <w:t>23238888</w:t>
      </w:r>
    </w:p>
    <w:p w14:paraId="5D1368F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rFonts w:hint="eastAsia"/>
          <w:kern w:val="0"/>
          <w:sz w:val="24"/>
        </w:rPr>
        <w:t>23</w:t>
      </w:r>
      <w:r w:rsidRPr="00F00B77">
        <w:rPr>
          <w:kern w:val="0"/>
          <w:sz w:val="24"/>
        </w:rPr>
        <w:t>238800</w:t>
      </w:r>
    </w:p>
    <w:p w14:paraId="4CAE0FB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联系人：</w:t>
      </w:r>
      <w:r w:rsidR="0021563C" w:rsidRPr="00F00B77">
        <w:rPr>
          <w:rFonts w:hAnsi="宋体" w:hint="eastAsia"/>
          <w:kern w:val="0"/>
          <w:sz w:val="24"/>
        </w:rPr>
        <w:t>朱宏宇</w:t>
      </w:r>
    </w:p>
    <w:p w14:paraId="4C9DA65D" w14:textId="77777777" w:rsidR="00084DB4" w:rsidRPr="00F00B77" w:rsidRDefault="00084DB4">
      <w:pPr>
        <w:adjustRightInd w:val="0"/>
        <w:snapToGrid w:val="0"/>
        <w:spacing w:line="360" w:lineRule="auto"/>
        <w:ind w:firstLineChars="200" w:firstLine="480"/>
        <w:rPr>
          <w:rFonts w:ascii="宋体" w:hAnsi="宋体"/>
          <w:kern w:val="0"/>
          <w:sz w:val="24"/>
        </w:rPr>
      </w:pPr>
      <w:r w:rsidRPr="00F00B77">
        <w:rPr>
          <w:rFonts w:hAnsi="宋体"/>
          <w:kern w:val="0"/>
          <w:sz w:val="24"/>
        </w:rPr>
        <w:t>经办注册会计师：</w:t>
      </w:r>
      <w:r w:rsidRPr="00F00B77">
        <w:rPr>
          <w:rFonts w:hAnsi="宋体" w:hint="eastAsia"/>
          <w:kern w:val="0"/>
          <w:sz w:val="24"/>
        </w:rPr>
        <w:t>薛竞</w:t>
      </w:r>
      <w:r w:rsidRPr="00F00B77">
        <w:rPr>
          <w:rFonts w:hAnsi="宋体"/>
          <w:kern w:val="0"/>
          <w:sz w:val="24"/>
        </w:rPr>
        <w:t>、</w:t>
      </w:r>
      <w:r w:rsidR="0021563C" w:rsidRPr="00F00B77">
        <w:rPr>
          <w:rFonts w:hAnsi="宋体" w:hint="eastAsia"/>
          <w:kern w:val="0"/>
          <w:sz w:val="24"/>
        </w:rPr>
        <w:t>朱宏宇</w:t>
      </w:r>
    </w:p>
    <w:p w14:paraId="5704112E"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15" w:name="_Toc491431669"/>
      <w:r w:rsidRPr="00F00B77">
        <w:rPr>
          <w:rFonts w:ascii="宋体" w:hAnsi="宋体" w:hint="eastAsia"/>
          <w:b/>
          <w:kern w:val="0"/>
          <w:sz w:val="30"/>
        </w:rPr>
        <w:t>六、基金的募集</w:t>
      </w:r>
      <w:bookmarkEnd w:id="15"/>
    </w:p>
    <w:p w14:paraId="5213F1E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本基金由基金管理人依照《基金法》、《运作办法》、</w:t>
      </w:r>
      <w:r w:rsidRPr="00F00B77">
        <w:rPr>
          <w:rFonts w:hint="eastAsia"/>
          <w:kern w:val="0"/>
          <w:sz w:val="24"/>
        </w:rPr>
        <w:t>《销售办法》、</w:t>
      </w:r>
      <w:r w:rsidRPr="00F00B77">
        <w:rPr>
          <w:kern w:val="0"/>
          <w:sz w:val="24"/>
        </w:rPr>
        <w:t>基金合同及其他有关规定，</w:t>
      </w:r>
      <w:r w:rsidRPr="00F00B77">
        <w:rPr>
          <w:color w:val="000000"/>
          <w:kern w:val="0"/>
          <w:sz w:val="24"/>
        </w:rPr>
        <w:t>并经中国证监</w:t>
      </w:r>
      <w:r w:rsidRPr="00F00B77">
        <w:rPr>
          <w:kern w:val="0"/>
          <w:sz w:val="24"/>
        </w:rPr>
        <w:t>会</w:t>
      </w:r>
      <w:r w:rsidR="00CD5AB1" w:rsidRPr="00F00B77">
        <w:rPr>
          <w:rFonts w:hint="eastAsia"/>
          <w:kern w:val="0"/>
          <w:sz w:val="24"/>
        </w:rPr>
        <w:t>2016</w:t>
      </w:r>
      <w:r w:rsidR="00CD5AB1" w:rsidRPr="00F00B77">
        <w:rPr>
          <w:rFonts w:hint="eastAsia"/>
          <w:kern w:val="0"/>
          <w:sz w:val="24"/>
        </w:rPr>
        <w:t>年</w:t>
      </w:r>
      <w:r w:rsidR="00CD5AB1" w:rsidRPr="00F00B77">
        <w:rPr>
          <w:rFonts w:hint="eastAsia"/>
          <w:kern w:val="0"/>
          <w:sz w:val="24"/>
        </w:rPr>
        <w:t>7</w:t>
      </w:r>
      <w:r w:rsidR="00CD5AB1" w:rsidRPr="00F00B77">
        <w:rPr>
          <w:rFonts w:hint="eastAsia"/>
          <w:kern w:val="0"/>
          <w:sz w:val="24"/>
        </w:rPr>
        <w:t>月</w:t>
      </w:r>
      <w:r w:rsidR="00CD5AB1" w:rsidRPr="00F00B77">
        <w:rPr>
          <w:rFonts w:hint="eastAsia"/>
          <w:kern w:val="0"/>
          <w:sz w:val="24"/>
        </w:rPr>
        <w:t>12</w:t>
      </w:r>
      <w:r w:rsidRPr="00F00B77">
        <w:rPr>
          <w:rFonts w:hint="eastAsia"/>
          <w:kern w:val="0"/>
          <w:sz w:val="24"/>
        </w:rPr>
        <w:t>日</w:t>
      </w:r>
      <w:r w:rsidRPr="00F00B77">
        <w:rPr>
          <w:kern w:val="0"/>
          <w:sz w:val="24"/>
        </w:rPr>
        <w:t>证监许可</w:t>
      </w:r>
      <w:r w:rsidR="00CD5AB1" w:rsidRPr="00F00B77">
        <w:rPr>
          <w:kern w:val="0"/>
          <w:sz w:val="24"/>
        </w:rPr>
        <w:t>[201</w:t>
      </w:r>
      <w:r w:rsidR="00CD5AB1" w:rsidRPr="00F00B77">
        <w:rPr>
          <w:rFonts w:hint="eastAsia"/>
          <w:kern w:val="0"/>
          <w:sz w:val="24"/>
        </w:rPr>
        <w:t>6</w:t>
      </w:r>
      <w:r w:rsidR="00CD5AB1" w:rsidRPr="00F00B77">
        <w:rPr>
          <w:kern w:val="0"/>
          <w:sz w:val="24"/>
        </w:rPr>
        <w:t xml:space="preserve">] </w:t>
      </w:r>
      <w:r w:rsidR="00CD5AB1" w:rsidRPr="00F00B77">
        <w:rPr>
          <w:rFonts w:hint="eastAsia"/>
          <w:kern w:val="0"/>
          <w:sz w:val="24"/>
        </w:rPr>
        <w:t>1570</w:t>
      </w:r>
      <w:r w:rsidRPr="00F00B77">
        <w:rPr>
          <w:kern w:val="0"/>
          <w:sz w:val="24"/>
        </w:rPr>
        <w:t>号</w:t>
      </w:r>
      <w:r w:rsidRPr="00F00B77">
        <w:rPr>
          <w:rFonts w:hint="eastAsia"/>
          <w:kern w:val="0"/>
          <w:sz w:val="24"/>
        </w:rPr>
        <w:t>文准予</w:t>
      </w:r>
      <w:r w:rsidRPr="00F00B77">
        <w:rPr>
          <w:kern w:val="0"/>
          <w:sz w:val="24"/>
        </w:rPr>
        <w:t>募</w:t>
      </w:r>
      <w:r w:rsidRPr="00F00B77">
        <w:rPr>
          <w:color w:val="000000"/>
          <w:kern w:val="0"/>
          <w:sz w:val="24"/>
        </w:rPr>
        <w:t>集</w:t>
      </w:r>
      <w:r w:rsidRPr="00F00B77">
        <w:rPr>
          <w:rFonts w:hint="eastAsia"/>
          <w:color w:val="000000"/>
          <w:kern w:val="0"/>
          <w:sz w:val="24"/>
        </w:rPr>
        <w:t>注册</w:t>
      </w:r>
      <w:r w:rsidRPr="00F00B77">
        <w:rPr>
          <w:color w:val="000000"/>
          <w:kern w:val="0"/>
          <w:sz w:val="24"/>
        </w:rPr>
        <w:t>。</w:t>
      </w:r>
    </w:p>
    <w:p w14:paraId="6234A6E6" w14:textId="77777777" w:rsidR="0028542D" w:rsidRPr="00F00B77" w:rsidRDefault="0028542D" w:rsidP="0028542D">
      <w:pPr>
        <w:widowControl/>
        <w:adjustRightInd w:val="0"/>
        <w:snapToGrid w:val="0"/>
        <w:spacing w:line="360" w:lineRule="auto"/>
        <w:ind w:firstLineChars="200" w:firstLine="480"/>
        <w:rPr>
          <w:kern w:val="0"/>
          <w:sz w:val="24"/>
        </w:rPr>
      </w:pPr>
      <w:r w:rsidRPr="00F00B77">
        <w:rPr>
          <w:rFonts w:hint="eastAsia"/>
          <w:kern w:val="0"/>
          <w:sz w:val="24"/>
        </w:rPr>
        <w:t>本基金为契约性开放式货币市场基金。基金存续期间为不定期。</w:t>
      </w:r>
    </w:p>
    <w:p w14:paraId="18F3C04A" w14:textId="77777777" w:rsidR="0028542D" w:rsidRPr="00F00B77" w:rsidRDefault="0028542D" w:rsidP="0028542D">
      <w:pPr>
        <w:adjustRightInd w:val="0"/>
        <w:snapToGrid w:val="0"/>
        <w:spacing w:line="360" w:lineRule="auto"/>
        <w:ind w:firstLineChars="200" w:firstLine="480"/>
        <w:rPr>
          <w:rFonts w:ascii="宋体" w:hAnsi="宋体"/>
          <w:sz w:val="24"/>
        </w:rPr>
      </w:pPr>
      <w:r w:rsidRPr="00F00B77">
        <w:rPr>
          <w:rFonts w:hint="eastAsia"/>
          <w:color w:val="000000"/>
          <w:kern w:val="0"/>
          <w:sz w:val="24"/>
        </w:rPr>
        <w:t>本基金募集期间基金份额净值为人民币</w:t>
      </w:r>
      <w:r w:rsidRPr="00F00B77">
        <w:rPr>
          <w:rFonts w:hint="eastAsia"/>
          <w:color w:val="000000"/>
          <w:kern w:val="0"/>
          <w:sz w:val="24"/>
        </w:rPr>
        <w:t>1.00</w:t>
      </w:r>
      <w:r w:rsidRPr="00F00B77">
        <w:rPr>
          <w:rFonts w:hint="eastAsia"/>
          <w:color w:val="000000"/>
          <w:kern w:val="0"/>
          <w:sz w:val="24"/>
        </w:rPr>
        <w:t>元，按初始面值发售。</w:t>
      </w:r>
    </w:p>
    <w:p w14:paraId="5A249E97" w14:textId="77777777" w:rsidR="00084DB4" w:rsidRPr="00F00B77" w:rsidRDefault="0028542D" w:rsidP="00676714">
      <w:pPr>
        <w:adjustRightInd w:val="0"/>
        <w:snapToGrid w:val="0"/>
        <w:spacing w:line="360" w:lineRule="auto"/>
        <w:ind w:firstLineChars="200" w:firstLine="480"/>
        <w:rPr>
          <w:rFonts w:ascii="宋体" w:hAnsi="宋体"/>
          <w:sz w:val="24"/>
        </w:rPr>
      </w:pPr>
      <w:r w:rsidRPr="00F00B77">
        <w:rPr>
          <w:rFonts w:hint="eastAsia"/>
          <w:color w:val="000000"/>
          <w:kern w:val="0"/>
          <w:sz w:val="24"/>
        </w:rPr>
        <w:t>本基金</w:t>
      </w:r>
      <w:r w:rsidR="004C15FD" w:rsidRPr="00F00B77">
        <w:rPr>
          <w:rFonts w:hint="eastAsia"/>
          <w:color w:val="000000"/>
          <w:kern w:val="0"/>
          <w:sz w:val="24"/>
        </w:rPr>
        <w:t>于</w:t>
      </w:r>
      <w:r w:rsidRPr="00F00B77">
        <w:rPr>
          <w:rFonts w:hint="eastAsia"/>
          <w:color w:val="000000"/>
          <w:kern w:val="0"/>
          <w:sz w:val="24"/>
        </w:rPr>
        <w:t>2016</w:t>
      </w:r>
      <w:r w:rsidRPr="00F00B77">
        <w:rPr>
          <w:rFonts w:hint="eastAsia"/>
          <w:color w:val="000000"/>
          <w:kern w:val="0"/>
          <w:sz w:val="24"/>
        </w:rPr>
        <w:t>年</w:t>
      </w:r>
      <w:r w:rsidRPr="00F00B77">
        <w:rPr>
          <w:rFonts w:hint="eastAsia"/>
          <w:color w:val="000000"/>
          <w:kern w:val="0"/>
          <w:sz w:val="24"/>
        </w:rPr>
        <w:t>7</w:t>
      </w:r>
      <w:r w:rsidRPr="00F00B77">
        <w:rPr>
          <w:rFonts w:hint="eastAsia"/>
          <w:color w:val="000000"/>
          <w:kern w:val="0"/>
          <w:sz w:val="24"/>
        </w:rPr>
        <w:t>月</w:t>
      </w:r>
      <w:r w:rsidRPr="00F00B77">
        <w:rPr>
          <w:rFonts w:hint="eastAsia"/>
          <w:color w:val="000000"/>
          <w:kern w:val="0"/>
          <w:sz w:val="24"/>
        </w:rPr>
        <w:t>21</w:t>
      </w:r>
      <w:r w:rsidRPr="00F00B77">
        <w:rPr>
          <w:rFonts w:hint="eastAsia"/>
          <w:color w:val="000000"/>
          <w:kern w:val="0"/>
          <w:sz w:val="24"/>
        </w:rPr>
        <w:t>日</w:t>
      </w:r>
      <w:r w:rsidR="004C15FD" w:rsidRPr="00F00B77">
        <w:rPr>
          <w:rFonts w:hint="eastAsia"/>
          <w:color w:val="000000"/>
          <w:kern w:val="0"/>
          <w:sz w:val="24"/>
        </w:rPr>
        <w:t>当日</w:t>
      </w:r>
      <w:r w:rsidRPr="00F00B77">
        <w:rPr>
          <w:rFonts w:hint="eastAsia"/>
          <w:color w:val="000000"/>
          <w:kern w:val="0"/>
          <w:sz w:val="24"/>
        </w:rPr>
        <w:t>进行发售，本基金设立募集期共募集</w:t>
      </w:r>
      <w:r w:rsidRPr="00F00B77">
        <w:rPr>
          <w:color w:val="000000"/>
          <w:kern w:val="0"/>
          <w:sz w:val="24"/>
        </w:rPr>
        <w:t>210,080,375.35</w:t>
      </w:r>
      <w:r w:rsidRPr="00F00B77">
        <w:rPr>
          <w:rFonts w:hint="eastAsia"/>
          <w:color w:val="000000"/>
          <w:kern w:val="0"/>
          <w:sz w:val="24"/>
        </w:rPr>
        <w:t>份基金份额，有效认购户数为</w:t>
      </w:r>
      <w:r w:rsidRPr="00F00B77">
        <w:rPr>
          <w:rFonts w:hint="eastAsia"/>
          <w:color w:val="000000"/>
          <w:kern w:val="0"/>
          <w:sz w:val="24"/>
        </w:rPr>
        <w:t>229</w:t>
      </w:r>
      <w:r w:rsidRPr="00F00B77">
        <w:rPr>
          <w:rFonts w:hint="eastAsia"/>
          <w:color w:val="000000"/>
          <w:kern w:val="0"/>
          <w:sz w:val="24"/>
        </w:rPr>
        <w:t>户。</w:t>
      </w:r>
      <w:bookmarkStart w:id="16" w:name="_Toc109537384"/>
    </w:p>
    <w:p w14:paraId="49E4DA2D"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17" w:name="_Toc491431670"/>
      <w:r w:rsidRPr="00F00B77">
        <w:rPr>
          <w:rFonts w:ascii="宋体" w:hAnsi="宋体" w:hint="eastAsia"/>
          <w:b/>
          <w:kern w:val="0"/>
          <w:sz w:val="30"/>
        </w:rPr>
        <w:t>七、基金合同的生效</w:t>
      </w:r>
      <w:bookmarkEnd w:id="17"/>
    </w:p>
    <w:p w14:paraId="6B92C996" w14:textId="77777777" w:rsidR="00084DB4" w:rsidRPr="00F00B77" w:rsidRDefault="004C15FD">
      <w:pPr>
        <w:adjustRightInd w:val="0"/>
        <w:snapToGrid w:val="0"/>
        <w:spacing w:line="360" w:lineRule="auto"/>
        <w:ind w:firstLineChars="200" w:firstLine="480"/>
        <w:rPr>
          <w:rFonts w:hAnsi="宋体"/>
          <w:sz w:val="24"/>
          <w:szCs w:val="21"/>
        </w:rPr>
      </w:pPr>
      <w:bookmarkStart w:id="18" w:name="_Hlt88901074"/>
      <w:bookmarkStart w:id="19" w:name="_Toc109537386"/>
      <w:bookmarkEnd w:id="16"/>
      <w:bookmarkEnd w:id="18"/>
      <w:r w:rsidRPr="00F00B77">
        <w:rPr>
          <w:rFonts w:hAnsi="宋体" w:hint="eastAsia"/>
          <w:sz w:val="24"/>
          <w:szCs w:val="21"/>
        </w:rPr>
        <w:t>本基金</w:t>
      </w:r>
      <w:r w:rsidR="00084DB4" w:rsidRPr="00F00B77">
        <w:rPr>
          <w:rFonts w:hAnsi="宋体" w:hint="eastAsia"/>
          <w:sz w:val="24"/>
          <w:szCs w:val="21"/>
        </w:rPr>
        <w:t>连续二十个工作日基金份额持有人数量不满</w:t>
      </w:r>
      <w:r w:rsidR="00084DB4" w:rsidRPr="00F00B77">
        <w:rPr>
          <w:rFonts w:hAnsi="宋体" w:hint="eastAsia"/>
          <w:sz w:val="24"/>
          <w:szCs w:val="21"/>
        </w:rPr>
        <w:t>200</w:t>
      </w:r>
      <w:r w:rsidR="00084DB4" w:rsidRPr="00F00B77">
        <w:rPr>
          <w:rFonts w:hAnsi="宋体" w:hint="eastAsia"/>
          <w:sz w:val="24"/>
          <w:szCs w:val="21"/>
        </w:rPr>
        <w:t>人或者基金资产净值低于</w:t>
      </w:r>
      <w:r w:rsidR="00084DB4" w:rsidRPr="00F00B77">
        <w:rPr>
          <w:rFonts w:hAnsi="宋体" w:hint="eastAsia"/>
          <w:sz w:val="24"/>
          <w:szCs w:val="21"/>
        </w:rPr>
        <w:t>5000</w:t>
      </w:r>
      <w:r w:rsidR="00084DB4" w:rsidRPr="00F00B77">
        <w:rPr>
          <w:rFonts w:hAnsi="宋体" w:hint="eastAsia"/>
          <w:sz w:val="24"/>
          <w:szCs w:val="21"/>
        </w:rPr>
        <w:t>万元的，基金管理人应当在定期报告中予以披露。连续六十个工作日出现基金份额持有人数量不满</w:t>
      </w:r>
      <w:r w:rsidR="00084DB4" w:rsidRPr="00F00B77">
        <w:rPr>
          <w:rFonts w:hAnsi="宋体" w:hint="eastAsia"/>
          <w:sz w:val="24"/>
          <w:szCs w:val="21"/>
        </w:rPr>
        <w:t>200</w:t>
      </w:r>
      <w:r w:rsidR="00084DB4" w:rsidRPr="00F00B77">
        <w:rPr>
          <w:rFonts w:hAnsi="宋体" w:hint="eastAsia"/>
          <w:sz w:val="24"/>
          <w:szCs w:val="21"/>
        </w:rPr>
        <w:t>人或者基金资产净值低于</w:t>
      </w:r>
      <w:r w:rsidR="00084DB4" w:rsidRPr="00F00B77">
        <w:rPr>
          <w:rFonts w:hAnsi="宋体" w:hint="eastAsia"/>
          <w:sz w:val="24"/>
          <w:szCs w:val="21"/>
        </w:rPr>
        <w:t>5000</w:t>
      </w:r>
      <w:r w:rsidR="00084DB4" w:rsidRPr="00F00B77">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794C6624" w14:textId="77777777" w:rsidR="00FA5A2C" w:rsidRPr="00F00B77" w:rsidRDefault="00084DB4">
      <w:pPr>
        <w:widowControl/>
        <w:adjustRightInd w:val="0"/>
        <w:snapToGrid w:val="0"/>
        <w:spacing w:line="360" w:lineRule="auto"/>
        <w:ind w:firstLine="420"/>
        <w:rPr>
          <w:rFonts w:hAnsi="宋体"/>
          <w:sz w:val="24"/>
          <w:szCs w:val="21"/>
        </w:rPr>
      </w:pPr>
      <w:r w:rsidRPr="00F00B77">
        <w:rPr>
          <w:rFonts w:hAnsi="宋体" w:hint="eastAsia"/>
          <w:sz w:val="24"/>
          <w:szCs w:val="21"/>
        </w:rPr>
        <w:t>法律法规另有规定时，从其规定。</w:t>
      </w:r>
    </w:p>
    <w:p w14:paraId="02F76D97" w14:textId="77777777" w:rsidR="00084DB4" w:rsidRPr="00F00B77" w:rsidRDefault="00FA5A2C"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hAnsi="宋体"/>
          <w:sz w:val="24"/>
          <w:szCs w:val="21"/>
        </w:rPr>
        <w:br w:type="page"/>
      </w:r>
      <w:bookmarkStart w:id="20" w:name="_Toc491431671"/>
      <w:r w:rsidR="00084DB4" w:rsidRPr="00F00B77">
        <w:rPr>
          <w:rFonts w:ascii="宋体" w:hAnsi="宋体" w:hint="eastAsia"/>
          <w:b/>
          <w:kern w:val="0"/>
          <w:sz w:val="30"/>
        </w:rPr>
        <w:t>八、基金份额的申购与赎回</w:t>
      </w:r>
      <w:bookmarkEnd w:id="19"/>
      <w:bookmarkEnd w:id="20"/>
    </w:p>
    <w:p w14:paraId="6933ECBB"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（一）申购和赎回的场所</w:t>
      </w:r>
      <w:r w:rsidRPr="00F00B77">
        <w:rPr>
          <w:b/>
          <w:kern w:val="0"/>
          <w:sz w:val="24"/>
          <w:szCs w:val="24"/>
        </w:rPr>
        <w:t xml:space="preserve"> </w:t>
      </w:r>
    </w:p>
    <w:p w14:paraId="080DA897"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投资人可通过下述场所按照规定的方式进行申购或赎回：</w:t>
      </w:r>
    </w:p>
    <w:p w14:paraId="0F096D7E"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1</w:t>
      </w:r>
      <w:r w:rsidRPr="00F00B77">
        <w:rPr>
          <w:rFonts w:hAnsi="宋体" w:hint="eastAsia"/>
          <w:sz w:val="24"/>
          <w:szCs w:val="24"/>
        </w:rPr>
        <w:t>、直销机构</w:t>
      </w:r>
    </w:p>
    <w:p w14:paraId="77BA3CEF"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本基金直销机构</w:t>
      </w:r>
      <w:r w:rsidR="00CD5AB1" w:rsidRPr="00F00B77">
        <w:rPr>
          <w:rFonts w:hAnsi="宋体" w:hint="eastAsia"/>
          <w:sz w:val="24"/>
          <w:szCs w:val="24"/>
        </w:rPr>
        <w:t>仅</w:t>
      </w:r>
      <w:r w:rsidR="006B0357" w:rsidRPr="00F00B77">
        <w:rPr>
          <w:rFonts w:hAnsi="宋体" w:hint="eastAsia"/>
          <w:sz w:val="24"/>
          <w:szCs w:val="24"/>
        </w:rPr>
        <w:t>为</w:t>
      </w:r>
      <w:r w:rsidRPr="00F00B77">
        <w:rPr>
          <w:rFonts w:hAnsi="宋体" w:hint="eastAsia"/>
          <w:sz w:val="24"/>
          <w:szCs w:val="24"/>
        </w:rPr>
        <w:t>基金管理人</w:t>
      </w:r>
      <w:r w:rsidR="00CD5AB1" w:rsidRPr="00F00B77">
        <w:rPr>
          <w:rFonts w:hAnsi="宋体" w:hint="eastAsia"/>
          <w:sz w:val="24"/>
          <w:szCs w:val="24"/>
        </w:rPr>
        <w:t>直销柜台</w:t>
      </w:r>
      <w:r w:rsidRPr="00F00B77">
        <w:rPr>
          <w:rFonts w:hAnsi="宋体" w:hint="eastAsia"/>
          <w:sz w:val="24"/>
          <w:szCs w:val="24"/>
        </w:rPr>
        <w:t>。</w:t>
      </w:r>
    </w:p>
    <w:p w14:paraId="3EC08593"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名称：交银施罗德基金管理有限公司</w:t>
      </w:r>
    </w:p>
    <w:p w14:paraId="7AD12FD7"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住所：上海市浦东新区银城中路</w:t>
      </w:r>
      <w:r w:rsidRPr="00F00B77">
        <w:rPr>
          <w:rFonts w:hAnsi="宋体" w:hint="eastAsia"/>
          <w:sz w:val="24"/>
          <w:szCs w:val="24"/>
        </w:rPr>
        <w:t>188</w:t>
      </w:r>
      <w:r w:rsidRPr="00F00B77">
        <w:rPr>
          <w:rFonts w:hAnsi="宋体" w:hint="eastAsia"/>
          <w:sz w:val="24"/>
          <w:szCs w:val="24"/>
        </w:rPr>
        <w:t>号交通银行大楼二层（裙）</w:t>
      </w:r>
    </w:p>
    <w:p w14:paraId="46254A55"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办公地址：上海</w:t>
      </w:r>
      <w:r w:rsidR="009E570B" w:rsidRPr="00F00B77">
        <w:rPr>
          <w:rFonts w:hAnsi="宋体" w:hint="eastAsia"/>
          <w:sz w:val="24"/>
          <w:szCs w:val="24"/>
        </w:rPr>
        <w:t>市</w:t>
      </w:r>
      <w:r w:rsidRPr="00F00B77">
        <w:rPr>
          <w:rFonts w:hAnsi="宋体" w:hint="eastAsia"/>
          <w:sz w:val="24"/>
          <w:szCs w:val="24"/>
        </w:rPr>
        <w:t>浦东新区世纪大道</w:t>
      </w:r>
      <w:r w:rsidRPr="00F00B77">
        <w:rPr>
          <w:rFonts w:hAnsi="宋体" w:hint="eastAsia"/>
          <w:sz w:val="24"/>
          <w:szCs w:val="24"/>
        </w:rPr>
        <w:t>8</w:t>
      </w:r>
      <w:r w:rsidRPr="00F00B77">
        <w:rPr>
          <w:rFonts w:hAnsi="宋体" w:hint="eastAsia"/>
          <w:sz w:val="24"/>
          <w:szCs w:val="24"/>
        </w:rPr>
        <w:t>号国金中心二期</w:t>
      </w:r>
      <w:r w:rsidRPr="00F00B77">
        <w:rPr>
          <w:rFonts w:hAnsi="宋体" w:hint="eastAsia"/>
          <w:sz w:val="24"/>
          <w:szCs w:val="24"/>
        </w:rPr>
        <w:t>21-22</w:t>
      </w:r>
      <w:r w:rsidRPr="00F00B77">
        <w:rPr>
          <w:rFonts w:hAnsi="宋体" w:hint="eastAsia"/>
          <w:sz w:val="24"/>
          <w:szCs w:val="24"/>
        </w:rPr>
        <w:t>楼</w:t>
      </w:r>
    </w:p>
    <w:p w14:paraId="1FA18934"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电话：（</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w:t>
      </w:r>
      <w:r w:rsidRPr="00F00B77">
        <w:rPr>
          <w:rFonts w:hint="eastAsia"/>
          <w:sz w:val="24"/>
        </w:rPr>
        <w:t>5724</w:t>
      </w:r>
    </w:p>
    <w:p w14:paraId="13196011"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传真：（</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61055054</w:t>
      </w:r>
    </w:p>
    <w:p w14:paraId="4F872D4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联系人：</w:t>
      </w:r>
      <w:r w:rsidRPr="00F00B77">
        <w:rPr>
          <w:rFonts w:ascii="宋体" w:hAnsi="宋体" w:hint="eastAsia"/>
          <w:sz w:val="24"/>
        </w:rPr>
        <w:t>傅</w:t>
      </w:r>
      <w:r w:rsidRPr="00F00B77">
        <w:rPr>
          <w:rFonts w:ascii="宋体" w:hAnsi="宋体"/>
          <w:sz w:val="24"/>
        </w:rPr>
        <w:t>鲸</w:t>
      </w:r>
    </w:p>
    <w:p w14:paraId="0FE143CE"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客户服务电话：</w:t>
      </w:r>
      <w:r w:rsidRPr="00F00B77">
        <w:rPr>
          <w:rFonts w:hAnsi="宋体" w:hint="eastAsia"/>
          <w:sz w:val="24"/>
          <w:szCs w:val="24"/>
        </w:rPr>
        <w:t>400-700-5000</w:t>
      </w:r>
      <w:r w:rsidRPr="00F00B77">
        <w:rPr>
          <w:rFonts w:hAnsi="宋体" w:hint="eastAsia"/>
          <w:sz w:val="24"/>
          <w:szCs w:val="24"/>
        </w:rPr>
        <w:t>（免长途话费），（</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61055000</w:t>
      </w:r>
    </w:p>
    <w:p w14:paraId="4FF2FA18" w14:textId="77777777" w:rsidR="008D3784" w:rsidRPr="00F00B77" w:rsidRDefault="00084DB4" w:rsidP="008D3784">
      <w:pPr>
        <w:adjustRightInd w:val="0"/>
        <w:snapToGrid w:val="0"/>
        <w:spacing w:line="360" w:lineRule="auto"/>
        <w:ind w:firstLineChars="200" w:firstLine="480"/>
        <w:rPr>
          <w:sz w:val="24"/>
          <w:szCs w:val="24"/>
        </w:rPr>
      </w:pPr>
      <w:r w:rsidRPr="00F00B77">
        <w:rPr>
          <w:rFonts w:hAnsi="宋体" w:hint="eastAsia"/>
          <w:sz w:val="24"/>
          <w:szCs w:val="24"/>
        </w:rPr>
        <w:t>网址：</w:t>
      </w:r>
      <w:hyperlink r:id="rId10" w:history="1">
        <w:r w:rsidRPr="00F00B77">
          <w:rPr>
            <w:rStyle w:val="a4"/>
            <w:color w:val="auto"/>
            <w:sz w:val="24"/>
            <w:szCs w:val="24"/>
            <w:u w:val="none"/>
          </w:rPr>
          <w:t>www.fund001.com</w:t>
        </w:r>
        <w:r w:rsidRPr="00F00B77">
          <w:rPr>
            <w:rStyle w:val="a4"/>
            <w:rFonts w:ascii="宋体" w:hAnsi="宋体" w:hint="eastAsia"/>
            <w:color w:val="auto"/>
            <w:sz w:val="24"/>
            <w:szCs w:val="24"/>
            <w:u w:val="none"/>
          </w:rPr>
          <w:t>，</w:t>
        </w:r>
        <w:r w:rsidRPr="00F00B77">
          <w:rPr>
            <w:rStyle w:val="a4"/>
            <w:color w:val="auto"/>
            <w:sz w:val="24"/>
            <w:szCs w:val="24"/>
            <w:u w:val="none"/>
          </w:rPr>
          <w:t>www.bocomschroder.com</w:t>
        </w:r>
      </w:hyperlink>
    </w:p>
    <w:p w14:paraId="377156C4" w14:textId="2020EEE8" w:rsidR="008D3784" w:rsidRPr="00F00B77" w:rsidRDefault="008D3784" w:rsidP="00022285">
      <w:pPr>
        <w:adjustRightInd w:val="0"/>
        <w:snapToGrid w:val="0"/>
        <w:spacing w:line="360" w:lineRule="auto"/>
        <w:ind w:firstLineChars="200" w:firstLine="480"/>
        <w:rPr>
          <w:rFonts w:hAnsi="宋体"/>
          <w:kern w:val="0"/>
          <w:sz w:val="24"/>
        </w:rPr>
      </w:pPr>
      <w:r w:rsidRPr="00F00B77">
        <w:rPr>
          <w:rFonts w:hAnsi="宋体"/>
          <w:kern w:val="0"/>
          <w:sz w:val="24"/>
        </w:rPr>
        <w:t>投资者可通过本</w:t>
      </w:r>
      <w:r w:rsidRPr="00F00B77">
        <w:rPr>
          <w:rFonts w:hAnsi="宋体" w:hint="eastAsia"/>
          <w:kern w:val="0"/>
          <w:sz w:val="24"/>
        </w:rPr>
        <w:t>基金管理人直销柜台办理开户、本基金</w:t>
      </w:r>
      <w:r w:rsidRPr="00F00B77">
        <w:rPr>
          <w:rFonts w:hAnsi="宋体" w:hint="eastAsia"/>
          <w:kern w:val="0"/>
          <w:sz w:val="24"/>
        </w:rPr>
        <w:t>A</w:t>
      </w:r>
      <w:r w:rsidRPr="00F00B77">
        <w:rPr>
          <w:rFonts w:hAnsi="宋体" w:hint="eastAsia"/>
          <w:kern w:val="0"/>
          <w:sz w:val="24"/>
        </w:rPr>
        <w:t>类及</w:t>
      </w:r>
      <w:r w:rsidRPr="00F00B77">
        <w:rPr>
          <w:rFonts w:hAnsi="宋体" w:hint="eastAsia"/>
          <w:kern w:val="0"/>
          <w:sz w:val="24"/>
        </w:rPr>
        <w:t>E</w:t>
      </w:r>
      <w:r w:rsidRPr="00F00B77">
        <w:rPr>
          <w:rFonts w:hAnsi="宋体" w:hint="eastAsia"/>
          <w:kern w:val="0"/>
          <w:sz w:val="24"/>
        </w:rPr>
        <w:t>类基金份额的</w:t>
      </w:r>
      <w:r w:rsidRPr="00F00B77">
        <w:rPr>
          <w:rFonts w:hAnsi="宋体"/>
          <w:kern w:val="0"/>
          <w:sz w:val="24"/>
        </w:rPr>
        <w:t>申购</w:t>
      </w:r>
      <w:r w:rsidR="006B0357" w:rsidRPr="00F00B77">
        <w:rPr>
          <w:rFonts w:hAnsi="宋体" w:hint="eastAsia"/>
          <w:kern w:val="0"/>
          <w:sz w:val="24"/>
        </w:rPr>
        <w:t>、</w:t>
      </w:r>
      <w:r w:rsidRPr="00F00B77">
        <w:rPr>
          <w:rFonts w:hAnsi="宋体" w:hint="eastAsia"/>
          <w:kern w:val="0"/>
          <w:sz w:val="24"/>
        </w:rPr>
        <w:t>赎回等业务</w:t>
      </w:r>
      <w:r w:rsidRPr="00F00B77">
        <w:rPr>
          <w:rFonts w:hAnsi="宋体"/>
          <w:kern w:val="0"/>
          <w:sz w:val="24"/>
        </w:rPr>
        <w:t>。</w:t>
      </w:r>
    </w:p>
    <w:p w14:paraId="121A7433" w14:textId="77777777" w:rsidR="00084DB4" w:rsidRPr="00F00B77" w:rsidRDefault="00084DB4">
      <w:pPr>
        <w:pStyle w:val="a0"/>
        <w:autoSpaceDE w:val="0"/>
        <w:autoSpaceDN w:val="0"/>
        <w:adjustRightInd w:val="0"/>
        <w:snapToGrid w:val="0"/>
        <w:spacing w:line="360" w:lineRule="auto"/>
        <w:ind w:firstLine="480"/>
        <w:rPr>
          <w:kern w:val="0"/>
          <w:sz w:val="24"/>
          <w:szCs w:val="24"/>
        </w:rPr>
      </w:pPr>
      <w:r w:rsidRPr="00F00B77">
        <w:rPr>
          <w:rFonts w:hint="eastAsia"/>
          <w:kern w:val="0"/>
          <w:sz w:val="24"/>
        </w:rPr>
        <w:t>2</w:t>
      </w:r>
      <w:r w:rsidRPr="00F00B77">
        <w:rPr>
          <w:rFonts w:hint="eastAsia"/>
          <w:kern w:val="0"/>
          <w:sz w:val="24"/>
        </w:rPr>
        <w:t>、</w:t>
      </w:r>
      <w:r w:rsidRPr="00F00B77">
        <w:rPr>
          <w:rFonts w:hint="eastAsia"/>
          <w:kern w:val="0"/>
          <w:sz w:val="24"/>
          <w:szCs w:val="24"/>
        </w:rPr>
        <w:t>除基金管理人之外</w:t>
      </w:r>
      <w:r w:rsidRPr="00F00B77">
        <w:rPr>
          <w:rFonts w:hint="eastAsia"/>
          <w:kern w:val="0"/>
          <w:sz w:val="24"/>
        </w:rPr>
        <w:t>其他销售</w:t>
      </w:r>
      <w:r w:rsidRPr="00F00B77">
        <w:rPr>
          <w:kern w:val="0"/>
          <w:sz w:val="24"/>
          <w:szCs w:val="24"/>
        </w:rPr>
        <w:t>机构</w:t>
      </w:r>
    </w:p>
    <w:p w14:paraId="1BE87796" w14:textId="77777777" w:rsidR="00084DB4" w:rsidRPr="00F00B77" w:rsidRDefault="00084DB4">
      <w:pPr>
        <w:adjustRightInd w:val="0"/>
        <w:snapToGrid w:val="0"/>
        <w:spacing w:line="360" w:lineRule="auto"/>
        <w:ind w:firstLineChars="200" w:firstLine="480"/>
        <w:rPr>
          <w:kern w:val="0"/>
          <w:sz w:val="24"/>
          <w:szCs w:val="24"/>
        </w:rPr>
      </w:pPr>
      <w:r w:rsidRPr="00F00B77">
        <w:rPr>
          <w:kern w:val="0"/>
          <w:sz w:val="24"/>
          <w:szCs w:val="24"/>
        </w:rPr>
        <w:t>本基金</w:t>
      </w:r>
      <w:r w:rsidRPr="00F00B77">
        <w:rPr>
          <w:rFonts w:hint="eastAsia"/>
          <w:kern w:val="0"/>
          <w:sz w:val="24"/>
          <w:szCs w:val="24"/>
        </w:rPr>
        <w:t>除基金管理人之外</w:t>
      </w:r>
      <w:r w:rsidRPr="00F00B77">
        <w:rPr>
          <w:kern w:val="0"/>
          <w:sz w:val="24"/>
          <w:szCs w:val="24"/>
        </w:rPr>
        <w:t>的</w:t>
      </w:r>
      <w:r w:rsidRPr="00F00B77">
        <w:rPr>
          <w:rFonts w:hint="eastAsia"/>
          <w:kern w:val="0"/>
          <w:sz w:val="24"/>
          <w:szCs w:val="24"/>
        </w:rPr>
        <w:t>其他销售</w:t>
      </w:r>
      <w:r w:rsidRPr="00F00B77">
        <w:rPr>
          <w:kern w:val="0"/>
          <w:sz w:val="24"/>
          <w:szCs w:val="24"/>
        </w:rPr>
        <w:t>机构参见本招募说明书</w:t>
      </w:r>
      <w:r w:rsidRPr="00F00B77">
        <w:rPr>
          <w:rFonts w:hint="eastAsia"/>
          <w:kern w:val="0"/>
          <w:sz w:val="24"/>
          <w:szCs w:val="24"/>
        </w:rPr>
        <w:t>“</w:t>
      </w:r>
      <w:r w:rsidRPr="00F00B77">
        <w:rPr>
          <w:kern w:val="0"/>
          <w:sz w:val="24"/>
          <w:szCs w:val="24"/>
        </w:rPr>
        <w:t>五、相关服务机构</w:t>
      </w:r>
      <w:r w:rsidRPr="00F00B77">
        <w:rPr>
          <w:rFonts w:hint="eastAsia"/>
          <w:kern w:val="0"/>
          <w:sz w:val="24"/>
          <w:szCs w:val="24"/>
        </w:rPr>
        <w:t>”</w:t>
      </w:r>
      <w:r w:rsidRPr="00F00B77">
        <w:rPr>
          <w:kern w:val="0"/>
          <w:sz w:val="24"/>
          <w:szCs w:val="24"/>
        </w:rPr>
        <w:t>章节或拨打</w:t>
      </w:r>
      <w:r w:rsidRPr="00F00B77">
        <w:rPr>
          <w:rFonts w:hint="eastAsia"/>
          <w:kern w:val="0"/>
          <w:sz w:val="24"/>
          <w:szCs w:val="24"/>
        </w:rPr>
        <w:t>基金管理人</w:t>
      </w:r>
      <w:r w:rsidRPr="00F00B77">
        <w:rPr>
          <w:kern w:val="0"/>
          <w:sz w:val="24"/>
          <w:szCs w:val="24"/>
        </w:rPr>
        <w:t>客户服务电话进行咨询。</w:t>
      </w:r>
    </w:p>
    <w:p w14:paraId="40406BAA"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投资人可通过上述销售机构办理基金申购、赎回业务的营业场所或按上述销售机构提供的其他方式进行申购或赎回。本基金管理人可根据情况变更或增减基金</w:t>
      </w:r>
      <w:r w:rsidRPr="00F00B77">
        <w:rPr>
          <w:rFonts w:hint="eastAsia"/>
          <w:sz w:val="24"/>
        </w:rPr>
        <w:t>销售</w:t>
      </w:r>
      <w:r w:rsidRPr="00F00B77">
        <w:rPr>
          <w:sz w:val="24"/>
          <w:szCs w:val="24"/>
        </w:rPr>
        <w:t>机构，并予以公告。</w:t>
      </w:r>
    </w:p>
    <w:p w14:paraId="026F3F1D"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若</w:t>
      </w:r>
      <w:r w:rsidRPr="00F00B77">
        <w:rPr>
          <w:rFonts w:hint="eastAsia"/>
          <w:sz w:val="24"/>
          <w:szCs w:val="24"/>
        </w:rPr>
        <w:t>销售</w:t>
      </w:r>
      <w:r w:rsidRPr="00F00B77">
        <w:rPr>
          <w:sz w:val="24"/>
          <w:szCs w:val="24"/>
        </w:rPr>
        <w:t>机构开通电话、传真或网上等交易方式，投资人可以通过上述方式进行申购与赎回。</w:t>
      </w:r>
    </w:p>
    <w:p w14:paraId="00D4F3A9"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（二）申购和赎回的开放日及时间</w:t>
      </w:r>
    </w:p>
    <w:p w14:paraId="04944FC0" w14:textId="77777777" w:rsidR="00084DB4" w:rsidRPr="00F00B77" w:rsidRDefault="00084DB4">
      <w:pPr>
        <w:adjustRightInd w:val="0"/>
        <w:snapToGrid w:val="0"/>
        <w:spacing w:line="360" w:lineRule="auto"/>
        <w:ind w:firstLineChars="200" w:firstLine="480"/>
        <w:rPr>
          <w:bCs/>
          <w:sz w:val="24"/>
          <w:szCs w:val="24"/>
        </w:rPr>
      </w:pPr>
      <w:r w:rsidRPr="00F00B77">
        <w:rPr>
          <w:bCs/>
          <w:sz w:val="24"/>
          <w:szCs w:val="24"/>
        </w:rPr>
        <w:t>1</w:t>
      </w:r>
      <w:r w:rsidRPr="00F00B77">
        <w:rPr>
          <w:bCs/>
          <w:sz w:val="24"/>
          <w:szCs w:val="24"/>
        </w:rPr>
        <w:t>、开放日及开放时间</w:t>
      </w:r>
    </w:p>
    <w:p w14:paraId="48C42973"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投资人在开放日办理基金份额的申购和赎回，具体办理时间为上海证券交易所、深圳证券交易所的正常交易日的交易时间，但基金管理人根据法律法规、中国证监会的要求或</w:t>
      </w:r>
      <w:r w:rsidRPr="00F00B77">
        <w:rPr>
          <w:bCs/>
          <w:sz w:val="24"/>
        </w:rPr>
        <w:t>本</w:t>
      </w:r>
      <w:r w:rsidRPr="00F00B77">
        <w:rPr>
          <w:rFonts w:hint="eastAsia"/>
          <w:sz w:val="24"/>
          <w:szCs w:val="24"/>
        </w:rPr>
        <w:t>基金合同的规定公告暂停申购、赎回时除外。</w:t>
      </w:r>
    </w:p>
    <w:p w14:paraId="2876EA0A"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74FD55B3" w14:textId="77777777" w:rsidR="00084DB4" w:rsidRPr="00F00B77" w:rsidRDefault="00084DB4">
      <w:pPr>
        <w:adjustRightInd w:val="0"/>
        <w:snapToGrid w:val="0"/>
        <w:spacing w:line="360" w:lineRule="auto"/>
        <w:ind w:firstLineChars="200" w:firstLine="480"/>
        <w:rPr>
          <w:bCs/>
          <w:sz w:val="24"/>
          <w:szCs w:val="24"/>
        </w:rPr>
      </w:pPr>
      <w:r w:rsidRPr="00F00B77">
        <w:rPr>
          <w:bCs/>
          <w:sz w:val="24"/>
          <w:szCs w:val="24"/>
        </w:rPr>
        <w:t>2</w:t>
      </w:r>
      <w:r w:rsidRPr="00F00B77">
        <w:rPr>
          <w:bCs/>
          <w:sz w:val="24"/>
          <w:szCs w:val="24"/>
        </w:rPr>
        <w:t>、申购、赎回开始日及业务办理时间</w:t>
      </w:r>
    </w:p>
    <w:p w14:paraId="35CDAC97" w14:textId="77777777" w:rsidR="00084DB4" w:rsidRPr="00F00B77" w:rsidRDefault="006B0357" w:rsidP="001A365C">
      <w:pPr>
        <w:adjustRightInd w:val="0"/>
        <w:snapToGrid w:val="0"/>
        <w:spacing w:line="360" w:lineRule="auto"/>
        <w:ind w:firstLineChars="200" w:firstLine="480"/>
        <w:rPr>
          <w:sz w:val="24"/>
          <w:szCs w:val="24"/>
        </w:rPr>
      </w:pPr>
      <w:r w:rsidRPr="00F00B77">
        <w:rPr>
          <w:rFonts w:hint="eastAsia"/>
          <w:sz w:val="24"/>
          <w:szCs w:val="24"/>
        </w:rPr>
        <w:t>本基金已于</w:t>
      </w:r>
      <w:r w:rsidRPr="00F00B77">
        <w:rPr>
          <w:rFonts w:hint="eastAsia"/>
          <w:sz w:val="24"/>
          <w:szCs w:val="24"/>
        </w:rPr>
        <w:t>2016</w:t>
      </w:r>
      <w:r w:rsidRPr="00F00B77">
        <w:rPr>
          <w:rFonts w:hint="eastAsia"/>
          <w:sz w:val="24"/>
          <w:szCs w:val="24"/>
        </w:rPr>
        <w:t>年</w:t>
      </w:r>
      <w:r w:rsidRPr="00F00B77">
        <w:rPr>
          <w:rFonts w:hint="eastAsia"/>
          <w:sz w:val="24"/>
          <w:szCs w:val="24"/>
        </w:rPr>
        <w:t>7</w:t>
      </w:r>
      <w:r w:rsidRPr="00F00B77">
        <w:rPr>
          <w:rFonts w:hint="eastAsia"/>
          <w:sz w:val="24"/>
          <w:szCs w:val="24"/>
        </w:rPr>
        <w:t>月</w:t>
      </w:r>
      <w:r w:rsidRPr="00F00B77">
        <w:rPr>
          <w:rFonts w:hint="eastAsia"/>
          <w:sz w:val="24"/>
          <w:szCs w:val="24"/>
        </w:rPr>
        <w:t>29</w:t>
      </w:r>
      <w:r w:rsidRPr="00F00B77">
        <w:rPr>
          <w:rFonts w:hint="eastAsia"/>
          <w:sz w:val="24"/>
          <w:szCs w:val="24"/>
        </w:rPr>
        <w:t>日起开放申购、赎回业务。</w:t>
      </w:r>
    </w:p>
    <w:p w14:paraId="2E62DA5F"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21604D39"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（三）申购</w:t>
      </w:r>
      <w:r w:rsidRPr="00F00B77">
        <w:rPr>
          <w:rFonts w:hAnsi="宋体" w:hint="eastAsia"/>
          <w:b/>
          <w:kern w:val="0"/>
          <w:sz w:val="24"/>
          <w:szCs w:val="24"/>
        </w:rPr>
        <w:t>与</w:t>
      </w:r>
      <w:r w:rsidRPr="00F00B77">
        <w:rPr>
          <w:rFonts w:hAnsi="宋体"/>
          <w:b/>
          <w:kern w:val="0"/>
          <w:sz w:val="24"/>
          <w:szCs w:val="24"/>
        </w:rPr>
        <w:t>赎回的原则</w:t>
      </w:r>
    </w:p>
    <w:p w14:paraId="067F4DF7"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rFonts w:hint="eastAsia"/>
          <w:bCs/>
          <w:sz w:val="24"/>
        </w:rPr>
        <w:t>、“确定价”原则，即申购、赎回价格以每份基金份额净值为</w:t>
      </w:r>
      <w:r w:rsidRPr="00F00B77">
        <w:rPr>
          <w:rFonts w:hint="eastAsia"/>
          <w:bCs/>
          <w:sz w:val="24"/>
        </w:rPr>
        <w:t>1.00</w:t>
      </w:r>
      <w:r w:rsidRPr="00F00B77">
        <w:rPr>
          <w:rFonts w:hint="eastAsia"/>
          <w:bCs/>
          <w:sz w:val="24"/>
        </w:rPr>
        <w:t>元的基准进行计算</w:t>
      </w:r>
      <w:r w:rsidRPr="00F00B77">
        <w:rPr>
          <w:bCs/>
          <w:sz w:val="24"/>
        </w:rPr>
        <w:t>；</w:t>
      </w:r>
    </w:p>
    <w:p w14:paraId="5CDEB06E"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rFonts w:hint="eastAsia"/>
          <w:bCs/>
          <w:sz w:val="24"/>
        </w:rPr>
        <w:t>、</w:t>
      </w:r>
      <w:r w:rsidRPr="00F00B77">
        <w:rPr>
          <w:rFonts w:ascii="宋体" w:hAnsi="宋体"/>
          <w:bCs/>
          <w:sz w:val="24"/>
        </w:rPr>
        <w:t>“金额申购、份额赎回”原</w:t>
      </w:r>
      <w:r w:rsidRPr="00F00B77">
        <w:rPr>
          <w:bCs/>
          <w:sz w:val="24"/>
        </w:rPr>
        <w:t>则，即申购以金额申请，赎回以份额申请；</w:t>
      </w:r>
    </w:p>
    <w:p w14:paraId="66235289"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rFonts w:hint="eastAsia"/>
          <w:bCs/>
          <w:sz w:val="24"/>
        </w:rPr>
        <w:t>、</w:t>
      </w:r>
      <w:r w:rsidRPr="00F00B77">
        <w:rPr>
          <w:bCs/>
          <w:sz w:val="24"/>
        </w:rPr>
        <w:t>当日的申购与赎回申请可以在基金管理人规定的时间以内撤销</w:t>
      </w:r>
      <w:r w:rsidRPr="00F00B77">
        <w:rPr>
          <w:rFonts w:hint="eastAsia"/>
          <w:bCs/>
          <w:sz w:val="24"/>
        </w:rPr>
        <w:t>，但申请经登记机构正式受理的不得撤销</w:t>
      </w:r>
      <w:r w:rsidRPr="00F00B77">
        <w:rPr>
          <w:bCs/>
          <w:sz w:val="24"/>
        </w:rPr>
        <w:t>；</w:t>
      </w:r>
    </w:p>
    <w:p w14:paraId="7422452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、基金管理人有权决定基金份额持有人持有本基金的最高限额和本基金的总规模限额，但应最迟在新的限额实施前依照《信息披露办法》的有关规定在指定媒介上公告。</w:t>
      </w:r>
    </w:p>
    <w:p w14:paraId="61C4053E"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基金管理人可在法律法规允许的情况下，对上述原则进行调整。基金管理人必须在新规则开始实施前依照《信息披露办法》的有关规定在指定媒介上公告。</w:t>
      </w:r>
    </w:p>
    <w:p w14:paraId="380A0326"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w:t>
      </w:r>
      <w:r w:rsidRPr="00F00B77">
        <w:rPr>
          <w:rFonts w:hAnsi="宋体" w:hint="eastAsia"/>
          <w:b/>
          <w:kern w:val="0"/>
          <w:sz w:val="24"/>
          <w:szCs w:val="24"/>
        </w:rPr>
        <w:t>四</w:t>
      </w:r>
      <w:r w:rsidRPr="00F00B77">
        <w:rPr>
          <w:rFonts w:hAnsi="宋体"/>
          <w:b/>
          <w:kern w:val="0"/>
          <w:sz w:val="24"/>
          <w:szCs w:val="24"/>
        </w:rPr>
        <w:t>）申购和赎回的程序</w:t>
      </w:r>
      <w:r w:rsidRPr="00F00B77">
        <w:rPr>
          <w:b/>
          <w:i/>
          <w:kern w:val="0"/>
          <w:sz w:val="24"/>
          <w:szCs w:val="24"/>
        </w:rPr>
        <w:t xml:space="preserve"> </w:t>
      </w:r>
    </w:p>
    <w:p w14:paraId="7327AAA9"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1</w:t>
      </w:r>
      <w:r w:rsidRPr="00F00B77">
        <w:rPr>
          <w:rFonts w:hAnsi="宋体"/>
          <w:sz w:val="24"/>
          <w:szCs w:val="24"/>
        </w:rPr>
        <w:t>、申购和赎回的申请方式</w:t>
      </w:r>
    </w:p>
    <w:p w14:paraId="53CAF7C6"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投资人必须根据销售机构规定的程序，在开放日的具体业务办理时间内提出申购或赎回的申请。</w:t>
      </w:r>
      <w:r w:rsidRPr="00F00B77">
        <w:rPr>
          <w:rFonts w:hint="eastAsia"/>
          <w:bCs/>
          <w:sz w:val="24"/>
        </w:rPr>
        <w:t>投资人在提交申购申请时须按销售机构规定的方式备足申购资金，投资人在提交赎回申请时须持有足够的基金份额余额，否则所提交的申购、赎回申请不成立。</w:t>
      </w:r>
    </w:p>
    <w:p w14:paraId="2C9053CD"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kern w:val="0"/>
          <w:sz w:val="24"/>
          <w:szCs w:val="24"/>
        </w:rPr>
        <w:t>2</w:t>
      </w:r>
      <w:r w:rsidRPr="00F00B77">
        <w:rPr>
          <w:rFonts w:hAnsi="宋体" w:hint="eastAsia"/>
          <w:kern w:val="0"/>
          <w:sz w:val="24"/>
          <w:szCs w:val="24"/>
        </w:rPr>
        <w:t>、</w:t>
      </w:r>
      <w:r w:rsidRPr="00F00B77">
        <w:rPr>
          <w:rFonts w:hAnsi="宋体"/>
          <w:kern w:val="0"/>
          <w:sz w:val="24"/>
          <w:szCs w:val="24"/>
        </w:rPr>
        <w:t>申购和赎回的款项支付</w:t>
      </w:r>
    </w:p>
    <w:p w14:paraId="37EBB664"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68C0E8C7"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投资人递交赎回申请，赎回成立；登记机构确认赎回时，赎回生效。投资人赎回申请成功后，基金管理人将在</w:t>
      </w:r>
      <w:r w:rsidRPr="00F00B77">
        <w:rPr>
          <w:rFonts w:hAnsi="宋体" w:hint="eastAsia"/>
          <w:kern w:val="0"/>
          <w:sz w:val="24"/>
          <w:szCs w:val="24"/>
        </w:rPr>
        <w:t>T</w:t>
      </w:r>
      <w:r w:rsidRPr="00F00B77">
        <w:rPr>
          <w:rFonts w:hAnsi="宋体" w:hint="eastAsia"/>
          <w:kern w:val="0"/>
          <w:sz w:val="24"/>
          <w:szCs w:val="24"/>
        </w:rPr>
        <w:t>＋</w:t>
      </w:r>
      <w:r w:rsidRPr="00F00B77">
        <w:rPr>
          <w:rFonts w:hAnsi="宋体" w:hint="eastAsia"/>
          <w:kern w:val="0"/>
          <w:sz w:val="24"/>
          <w:szCs w:val="24"/>
        </w:rPr>
        <w:t>7</w:t>
      </w:r>
      <w:r w:rsidRPr="00F00B77">
        <w:rPr>
          <w:rFonts w:hAnsi="宋体" w:hint="eastAsia"/>
          <w:kern w:val="0"/>
          <w:sz w:val="24"/>
          <w:szCs w:val="24"/>
        </w:rPr>
        <w:t>日（包括该日）内支付赎回款项。在发生巨额赎回时，款项的支付办法参照本基金合同有关条款处理。</w:t>
      </w:r>
    </w:p>
    <w:p w14:paraId="4BAEFAF3"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rFonts w:hint="eastAsia"/>
          <w:bCs/>
          <w:sz w:val="24"/>
        </w:rPr>
        <w:t>、</w:t>
      </w:r>
      <w:r w:rsidRPr="00F00B77">
        <w:rPr>
          <w:bCs/>
          <w:sz w:val="24"/>
        </w:rPr>
        <w:t>申购和赎回申请的确认</w:t>
      </w:r>
    </w:p>
    <w:p w14:paraId="12DE2242" w14:textId="77777777" w:rsidR="00084DB4" w:rsidRPr="00F00B77" w:rsidRDefault="00084DB4">
      <w:pPr>
        <w:adjustRightInd w:val="0"/>
        <w:snapToGrid w:val="0"/>
        <w:spacing w:line="360" w:lineRule="auto"/>
        <w:ind w:firstLineChars="200" w:firstLine="480"/>
        <w:rPr>
          <w:bCs/>
          <w:sz w:val="24"/>
        </w:rPr>
      </w:pPr>
      <w:r w:rsidRPr="00F00B77">
        <w:rPr>
          <w:bCs/>
          <w:sz w:val="24"/>
        </w:rPr>
        <w:t>基金管理人</w:t>
      </w:r>
      <w:r w:rsidRPr="00F00B77">
        <w:rPr>
          <w:rFonts w:hint="eastAsia"/>
          <w:bCs/>
          <w:sz w:val="24"/>
        </w:rPr>
        <w:t>或基金管理人委托的登记机构</w:t>
      </w:r>
      <w:r w:rsidRPr="00F00B77">
        <w:rPr>
          <w:bCs/>
          <w:sz w:val="24"/>
        </w:rPr>
        <w:t>应以交易时间结束前受理</w:t>
      </w:r>
      <w:r w:rsidRPr="00F00B77">
        <w:rPr>
          <w:rFonts w:hint="eastAsia"/>
          <w:bCs/>
          <w:sz w:val="24"/>
        </w:rPr>
        <w:t>有效</w:t>
      </w:r>
      <w:r w:rsidRPr="00F00B77">
        <w:rPr>
          <w:bCs/>
          <w:sz w:val="24"/>
        </w:rPr>
        <w:t>申购和赎回申请的当天作为申购或赎回申请日</w:t>
      </w:r>
      <w:r w:rsidRPr="00F00B77">
        <w:rPr>
          <w:bCs/>
          <w:sz w:val="24"/>
        </w:rPr>
        <w:t>(T</w:t>
      </w:r>
      <w:r w:rsidRPr="00F00B77">
        <w:rPr>
          <w:bCs/>
          <w:sz w:val="24"/>
        </w:rPr>
        <w:t>日</w:t>
      </w:r>
      <w:r w:rsidRPr="00F00B77">
        <w:rPr>
          <w:bCs/>
          <w:sz w:val="24"/>
        </w:rPr>
        <w:t>)</w:t>
      </w:r>
      <w:r w:rsidRPr="00F00B77">
        <w:rPr>
          <w:bCs/>
          <w:sz w:val="24"/>
        </w:rPr>
        <w:t>，在正常情况下，本基金登记机构在</w:t>
      </w:r>
      <w:r w:rsidRPr="00F00B77">
        <w:rPr>
          <w:bCs/>
          <w:sz w:val="24"/>
        </w:rPr>
        <w:t>T+</w:t>
      </w:r>
      <w:r w:rsidRPr="00F00B77">
        <w:rPr>
          <w:rFonts w:hint="eastAsia"/>
          <w:bCs/>
          <w:sz w:val="24"/>
        </w:rPr>
        <w:t>1</w:t>
      </w:r>
      <w:r w:rsidRPr="00F00B77">
        <w:rPr>
          <w:bCs/>
          <w:sz w:val="24"/>
        </w:rPr>
        <w:t>日</w:t>
      </w:r>
      <w:r w:rsidRPr="00F00B77">
        <w:rPr>
          <w:rFonts w:hint="eastAsia"/>
          <w:bCs/>
          <w:sz w:val="24"/>
        </w:rPr>
        <w:t>（</w:t>
      </w:r>
      <w:r w:rsidRPr="00F00B77">
        <w:rPr>
          <w:bCs/>
          <w:sz w:val="24"/>
        </w:rPr>
        <w:t>包括该日</w:t>
      </w:r>
      <w:r w:rsidRPr="00F00B77">
        <w:rPr>
          <w:rFonts w:hint="eastAsia"/>
          <w:bCs/>
          <w:sz w:val="24"/>
        </w:rPr>
        <w:t>）</w:t>
      </w:r>
      <w:r w:rsidRPr="00F00B77">
        <w:rPr>
          <w:bCs/>
          <w:sz w:val="24"/>
        </w:rPr>
        <w:t>内对该交易的有效性进行确认。</w:t>
      </w:r>
      <w:r w:rsidRPr="00F00B77">
        <w:rPr>
          <w:bCs/>
          <w:sz w:val="24"/>
        </w:rPr>
        <w:t>T</w:t>
      </w:r>
      <w:r w:rsidRPr="00F00B77">
        <w:rPr>
          <w:bCs/>
          <w:sz w:val="24"/>
        </w:rPr>
        <w:t>日提交的有效申请，投资人</w:t>
      </w:r>
      <w:r w:rsidRPr="00F00B77">
        <w:rPr>
          <w:rFonts w:hint="eastAsia"/>
          <w:bCs/>
          <w:sz w:val="24"/>
        </w:rPr>
        <w:t>应</w:t>
      </w:r>
      <w:r w:rsidRPr="00F00B77">
        <w:rPr>
          <w:bCs/>
          <w:sz w:val="24"/>
        </w:rPr>
        <w:t>在</w:t>
      </w:r>
      <w:r w:rsidRPr="00F00B77">
        <w:rPr>
          <w:bCs/>
          <w:sz w:val="24"/>
        </w:rPr>
        <w:t>T+</w:t>
      </w:r>
      <w:r w:rsidRPr="00F00B77">
        <w:rPr>
          <w:rFonts w:hint="eastAsia"/>
          <w:bCs/>
          <w:sz w:val="24"/>
        </w:rPr>
        <w:t>2</w:t>
      </w:r>
      <w:r w:rsidRPr="00F00B77">
        <w:rPr>
          <w:bCs/>
          <w:sz w:val="24"/>
        </w:rPr>
        <w:t>日后</w:t>
      </w:r>
      <w:r w:rsidRPr="00F00B77">
        <w:rPr>
          <w:bCs/>
          <w:sz w:val="24"/>
        </w:rPr>
        <w:t>(</w:t>
      </w:r>
      <w:r w:rsidRPr="00F00B77">
        <w:rPr>
          <w:bCs/>
          <w:sz w:val="24"/>
        </w:rPr>
        <w:t>包括该日</w:t>
      </w:r>
      <w:r w:rsidRPr="00F00B77">
        <w:rPr>
          <w:bCs/>
          <w:sz w:val="24"/>
        </w:rPr>
        <w:t>)</w:t>
      </w:r>
      <w:r w:rsidRPr="00F00B77">
        <w:rPr>
          <w:rFonts w:hint="eastAsia"/>
          <w:bCs/>
          <w:sz w:val="24"/>
        </w:rPr>
        <w:t>及时</w:t>
      </w:r>
      <w:r w:rsidRPr="00F00B77">
        <w:rPr>
          <w:bCs/>
          <w:sz w:val="24"/>
        </w:rPr>
        <w:t>到销售网点柜台或以销售机构规定的其他方式查询申请的确认情况。若申购不成功，则申购款项退还给投资人。</w:t>
      </w:r>
    </w:p>
    <w:p w14:paraId="6ED4F99E" w14:textId="77777777" w:rsidR="00084DB4" w:rsidRPr="00F00B77" w:rsidRDefault="00084DB4">
      <w:pPr>
        <w:adjustRightInd w:val="0"/>
        <w:snapToGrid w:val="0"/>
        <w:spacing w:line="360" w:lineRule="auto"/>
        <w:ind w:firstLineChars="200" w:firstLine="480"/>
        <w:rPr>
          <w:bCs/>
          <w:sz w:val="24"/>
        </w:rPr>
      </w:pPr>
      <w:r w:rsidRPr="00F00B77">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7B7912B6" w14:textId="77777777" w:rsidR="00084DB4" w:rsidRPr="00F00B77" w:rsidRDefault="00084DB4">
      <w:pPr>
        <w:adjustRightInd w:val="0"/>
        <w:snapToGrid w:val="0"/>
        <w:spacing w:line="360" w:lineRule="auto"/>
        <w:ind w:firstLineChars="200" w:firstLine="480"/>
        <w:rPr>
          <w:bCs/>
          <w:sz w:val="24"/>
        </w:rPr>
      </w:pPr>
      <w:r w:rsidRPr="00F00B77">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00B77">
        <w:rPr>
          <w:rFonts w:ascii="宋体" w:hAnsi="宋体" w:hint="eastAsia"/>
          <w:sz w:val="24"/>
        </w:rPr>
        <w:t>对于申请的确认情况，投资者应及时查询。</w:t>
      </w:r>
    </w:p>
    <w:p w14:paraId="6ECFDB1B"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五</w:t>
      </w:r>
      <w:r w:rsidRPr="00F00B77">
        <w:rPr>
          <w:rFonts w:hAnsi="宋体"/>
          <w:b/>
          <w:kern w:val="0"/>
          <w:sz w:val="24"/>
          <w:szCs w:val="24"/>
        </w:rPr>
        <w:t>）申购和赎回的数额限定</w:t>
      </w:r>
      <w:r w:rsidRPr="00F00B77">
        <w:rPr>
          <w:b/>
          <w:kern w:val="0"/>
          <w:sz w:val="24"/>
          <w:szCs w:val="24"/>
        </w:rPr>
        <w:t xml:space="preserve"> </w:t>
      </w:r>
    </w:p>
    <w:p w14:paraId="371598E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、申购金额的限制</w:t>
      </w:r>
    </w:p>
    <w:p w14:paraId="52981775" w14:textId="77777777" w:rsidR="00084DB4" w:rsidRPr="00F00B77" w:rsidRDefault="00CD41BA">
      <w:pPr>
        <w:widowControl/>
        <w:adjustRightInd w:val="0"/>
        <w:snapToGrid w:val="0"/>
        <w:spacing w:line="360" w:lineRule="auto"/>
        <w:ind w:firstLineChars="200" w:firstLine="480"/>
        <w:rPr>
          <w:bCs/>
          <w:sz w:val="24"/>
        </w:rPr>
      </w:pPr>
      <w:r w:rsidRPr="00F00B77">
        <w:rPr>
          <w:rFonts w:hint="eastAsia"/>
          <w:bCs/>
          <w:sz w:val="24"/>
        </w:rPr>
        <w:t>投资</w:t>
      </w:r>
      <w:r w:rsidRPr="00F00B77">
        <w:rPr>
          <w:bCs/>
          <w:sz w:val="24"/>
        </w:rPr>
        <w:t>者申购</w:t>
      </w:r>
      <w:r w:rsidRPr="00F00B77">
        <w:rPr>
          <w:rFonts w:hint="eastAsia"/>
          <w:bCs/>
          <w:sz w:val="24"/>
        </w:rPr>
        <w:t>A</w:t>
      </w:r>
      <w:r w:rsidRPr="00F00B77">
        <w:rPr>
          <w:rFonts w:hint="eastAsia"/>
          <w:bCs/>
          <w:sz w:val="24"/>
        </w:rPr>
        <w:t>类</w:t>
      </w:r>
      <w:r w:rsidRPr="00F00B77">
        <w:rPr>
          <w:bCs/>
          <w:sz w:val="24"/>
        </w:rPr>
        <w:t>基金份额的</w:t>
      </w:r>
      <w:r w:rsidR="00EE75B3" w:rsidRPr="00F00B77">
        <w:rPr>
          <w:rFonts w:hint="eastAsia"/>
          <w:bCs/>
          <w:sz w:val="24"/>
        </w:rPr>
        <w:t>：</w:t>
      </w:r>
      <w:r w:rsidR="00084DB4" w:rsidRPr="00F00B77">
        <w:rPr>
          <w:rFonts w:hint="eastAsia"/>
          <w:bCs/>
          <w:sz w:val="24"/>
        </w:rPr>
        <w:t>直销机构首次申购的最低金额为单笔</w:t>
      </w:r>
      <w:r w:rsidR="00084DB4" w:rsidRPr="00F00B77">
        <w:rPr>
          <w:rFonts w:hint="eastAsia"/>
          <w:bCs/>
          <w:sz w:val="24"/>
        </w:rPr>
        <w:t>100,000</w:t>
      </w:r>
      <w:r w:rsidR="00084DB4" w:rsidRPr="00F00B77">
        <w:rPr>
          <w:rFonts w:hint="eastAsia"/>
          <w:bCs/>
          <w:sz w:val="24"/>
        </w:rPr>
        <w:t>元，追加申购的最低金额为单笔</w:t>
      </w:r>
      <w:r w:rsidR="00084DB4" w:rsidRPr="00F00B77">
        <w:rPr>
          <w:rFonts w:hint="eastAsia"/>
          <w:bCs/>
          <w:sz w:val="24"/>
        </w:rPr>
        <w:t>10,000</w:t>
      </w:r>
      <w:r w:rsidR="00084DB4" w:rsidRPr="00F00B77">
        <w:rPr>
          <w:rFonts w:hint="eastAsia"/>
          <w:bCs/>
          <w:sz w:val="24"/>
        </w:rPr>
        <w:t>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w:t>
      </w:r>
      <w:r w:rsidR="00084DB4" w:rsidRPr="00F00B77">
        <w:rPr>
          <w:rFonts w:hint="eastAsia"/>
          <w:bCs/>
          <w:sz w:val="24"/>
        </w:rPr>
        <w:t>0.01</w:t>
      </w:r>
      <w:r w:rsidR="00084DB4" w:rsidRPr="00F00B77">
        <w:rPr>
          <w:rFonts w:hint="eastAsia"/>
          <w:bCs/>
          <w:sz w:val="24"/>
        </w:rPr>
        <w:t>元，如果其他销售机构业务规则规定的最低单笔申购金额高于</w:t>
      </w:r>
      <w:r w:rsidR="00084DB4" w:rsidRPr="00F00B77">
        <w:rPr>
          <w:rFonts w:hint="eastAsia"/>
          <w:bCs/>
          <w:sz w:val="24"/>
        </w:rPr>
        <w:t>0.01</w:t>
      </w:r>
      <w:r w:rsidR="00084DB4" w:rsidRPr="00F00B77">
        <w:rPr>
          <w:rFonts w:hint="eastAsia"/>
          <w:bCs/>
          <w:sz w:val="24"/>
        </w:rPr>
        <w:t>元，以该销售机构的规定为准。</w:t>
      </w:r>
    </w:p>
    <w:p w14:paraId="2FC8C42A" w14:textId="77777777" w:rsidR="00D81E2D" w:rsidRPr="00F00B77" w:rsidRDefault="00D81E2D" w:rsidP="00D81E2D">
      <w:pPr>
        <w:widowControl/>
        <w:adjustRightInd w:val="0"/>
        <w:snapToGrid w:val="0"/>
        <w:spacing w:line="360" w:lineRule="auto"/>
        <w:ind w:firstLineChars="200" w:firstLine="480"/>
        <w:rPr>
          <w:bCs/>
          <w:sz w:val="24"/>
        </w:rPr>
      </w:pPr>
      <w:r w:rsidRPr="00F00B77">
        <w:rPr>
          <w:rFonts w:hint="eastAsia"/>
          <w:kern w:val="0"/>
          <w:sz w:val="24"/>
        </w:rPr>
        <w:t>投资者申</w:t>
      </w:r>
      <w:r w:rsidRPr="00F00B77">
        <w:rPr>
          <w:kern w:val="0"/>
          <w:sz w:val="24"/>
        </w:rPr>
        <w:t>购</w:t>
      </w:r>
      <w:r w:rsidRPr="00F00B77">
        <w:rPr>
          <w:rFonts w:hint="eastAsia"/>
          <w:kern w:val="0"/>
          <w:sz w:val="24"/>
        </w:rPr>
        <w:t>E</w:t>
      </w:r>
      <w:r w:rsidRPr="00F00B77">
        <w:rPr>
          <w:rFonts w:hint="eastAsia"/>
          <w:kern w:val="0"/>
          <w:sz w:val="24"/>
        </w:rPr>
        <w:t>类</w:t>
      </w:r>
      <w:r w:rsidRPr="00F00B77">
        <w:rPr>
          <w:kern w:val="0"/>
          <w:sz w:val="24"/>
        </w:rPr>
        <w:t>基金</w:t>
      </w:r>
      <w:r w:rsidRPr="00F00B77">
        <w:rPr>
          <w:rFonts w:hint="eastAsia"/>
          <w:kern w:val="0"/>
          <w:sz w:val="24"/>
        </w:rPr>
        <w:t>份额</w:t>
      </w:r>
      <w:r>
        <w:rPr>
          <w:rFonts w:hint="eastAsia"/>
          <w:kern w:val="0"/>
          <w:sz w:val="24"/>
        </w:rPr>
        <w:t>的</w:t>
      </w:r>
      <w:r w:rsidRPr="00F00B77">
        <w:rPr>
          <w:rFonts w:hint="eastAsia"/>
          <w:kern w:val="0"/>
          <w:sz w:val="24"/>
        </w:rPr>
        <w:t>：</w:t>
      </w:r>
      <w:r w:rsidRPr="00F00B77">
        <w:rPr>
          <w:kern w:val="0"/>
          <w:sz w:val="24"/>
        </w:rPr>
        <w:t>首次</w:t>
      </w:r>
      <w:r w:rsidRPr="00F00B77">
        <w:rPr>
          <w:rFonts w:hint="eastAsia"/>
          <w:kern w:val="0"/>
          <w:sz w:val="24"/>
        </w:rPr>
        <w:t>申</w:t>
      </w:r>
      <w:r w:rsidRPr="00F00B77">
        <w:rPr>
          <w:kern w:val="0"/>
          <w:sz w:val="24"/>
        </w:rPr>
        <w:t>购</w:t>
      </w:r>
      <w:r w:rsidRPr="00F00B77">
        <w:rPr>
          <w:rFonts w:hint="eastAsia"/>
          <w:kern w:val="0"/>
          <w:sz w:val="24"/>
        </w:rPr>
        <w:t>申请</w:t>
      </w:r>
      <w:r w:rsidRPr="00F00B77">
        <w:rPr>
          <w:kern w:val="0"/>
          <w:sz w:val="24"/>
        </w:rPr>
        <w:t>的最低金额为单笔</w:t>
      </w:r>
      <w:r w:rsidRPr="00F00B77">
        <w:rPr>
          <w:kern w:val="0"/>
          <w:sz w:val="24"/>
        </w:rPr>
        <w:t>5,000,000</w:t>
      </w:r>
      <w:r w:rsidRPr="00F00B77">
        <w:rPr>
          <w:kern w:val="0"/>
          <w:sz w:val="24"/>
        </w:rPr>
        <w:t>元，追加</w:t>
      </w:r>
      <w:r w:rsidRPr="00F00B77">
        <w:rPr>
          <w:rFonts w:hint="eastAsia"/>
          <w:kern w:val="0"/>
          <w:sz w:val="24"/>
        </w:rPr>
        <w:t>申</w:t>
      </w:r>
      <w:r w:rsidRPr="00F00B77">
        <w:rPr>
          <w:kern w:val="0"/>
          <w:sz w:val="24"/>
        </w:rPr>
        <w:t>购</w:t>
      </w:r>
      <w:r w:rsidRPr="00F00B77">
        <w:rPr>
          <w:rFonts w:hint="eastAsia"/>
          <w:kern w:val="0"/>
          <w:sz w:val="24"/>
        </w:rPr>
        <w:t>的</w:t>
      </w:r>
      <w:r w:rsidRPr="00F00B77">
        <w:rPr>
          <w:kern w:val="0"/>
          <w:sz w:val="24"/>
        </w:rPr>
        <w:t>最低金额为单笔</w:t>
      </w:r>
      <w:r w:rsidRPr="00F00B77">
        <w:rPr>
          <w:kern w:val="0"/>
          <w:sz w:val="24"/>
        </w:rPr>
        <w:t>100,000</w:t>
      </w:r>
      <w:r w:rsidRPr="00F00B77">
        <w:rPr>
          <w:kern w:val="0"/>
          <w:sz w:val="24"/>
        </w:rPr>
        <w:t>元</w:t>
      </w:r>
      <w:r w:rsidRPr="00F00B77">
        <w:rPr>
          <w:rFonts w:hint="eastAsia"/>
          <w:kern w:val="0"/>
          <w:sz w:val="24"/>
        </w:rPr>
        <w:t>。</w:t>
      </w:r>
      <w:r w:rsidR="000F26AA" w:rsidRPr="000F26AA">
        <w:rPr>
          <w:rFonts w:hint="eastAsia"/>
          <w:kern w:val="0"/>
          <w:sz w:val="24"/>
        </w:rPr>
        <w:t>本基金</w:t>
      </w:r>
      <w:r w:rsidRPr="00F00B77">
        <w:rPr>
          <w:kern w:val="0"/>
          <w:sz w:val="24"/>
        </w:rPr>
        <w:t>单笔</w:t>
      </w:r>
      <w:r w:rsidRPr="00F00B77">
        <w:rPr>
          <w:rFonts w:hint="eastAsia"/>
          <w:kern w:val="0"/>
          <w:sz w:val="24"/>
        </w:rPr>
        <w:t>申</w:t>
      </w:r>
      <w:r w:rsidRPr="00F00B77">
        <w:rPr>
          <w:kern w:val="0"/>
          <w:sz w:val="24"/>
        </w:rPr>
        <w:t>购最低金额可由基金管理人酌情调整。</w:t>
      </w:r>
    </w:p>
    <w:p w14:paraId="441A3EDF" w14:textId="77777777" w:rsidR="00084DB4" w:rsidRPr="00F00B77" w:rsidRDefault="00084DB4" w:rsidP="00CD5AB1">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、赎回份额的限制</w:t>
      </w:r>
    </w:p>
    <w:p w14:paraId="3DEAD30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赎回的最低份额为</w:t>
      </w:r>
      <w:r w:rsidRPr="00F00B77">
        <w:rPr>
          <w:rFonts w:hint="eastAsia"/>
          <w:bCs/>
          <w:sz w:val="24"/>
        </w:rPr>
        <w:t>0.01</w:t>
      </w:r>
      <w:r w:rsidRPr="00F00B77">
        <w:rPr>
          <w:rFonts w:hint="eastAsia"/>
          <w:bCs/>
          <w:sz w:val="24"/>
        </w:rPr>
        <w:t>份基金份额</w:t>
      </w:r>
      <w:r w:rsidR="00C8249C" w:rsidRPr="00F00B77">
        <w:rPr>
          <w:rFonts w:hint="eastAsia"/>
          <w:bCs/>
          <w:sz w:val="24"/>
        </w:rPr>
        <w:t>，如果销售机构业务规则规定的最低单笔赎回份额高于</w:t>
      </w:r>
      <w:r w:rsidR="00C8249C" w:rsidRPr="00F00B77">
        <w:rPr>
          <w:bCs/>
          <w:sz w:val="24"/>
        </w:rPr>
        <w:t>0.01</w:t>
      </w:r>
      <w:r w:rsidR="00C8249C" w:rsidRPr="00F00B77">
        <w:rPr>
          <w:rFonts w:hint="eastAsia"/>
          <w:bCs/>
          <w:sz w:val="24"/>
        </w:rPr>
        <w:t>份，以该销售机构的规定为准。</w:t>
      </w:r>
    </w:p>
    <w:p w14:paraId="74AE30C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、最低保留余额的限制</w:t>
      </w:r>
    </w:p>
    <w:p w14:paraId="5991DA1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每个工作日投资者在单个交易账户保留的本基金份额余额少于</w:t>
      </w:r>
      <w:r w:rsidRPr="00F00B77">
        <w:rPr>
          <w:rFonts w:hint="eastAsia"/>
          <w:bCs/>
          <w:sz w:val="24"/>
        </w:rPr>
        <w:t>0.01</w:t>
      </w:r>
      <w:r w:rsidRPr="00F00B77">
        <w:rPr>
          <w:rFonts w:hint="eastAsia"/>
          <w:bCs/>
          <w:sz w:val="24"/>
        </w:rPr>
        <w:t>份时，若当日该账户同时有份额减少类业务（如赎回、转换出等）被确认，则基金管理人有权将投资者在该账户保留的本基金份额一次性全部赎回。</w:t>
      </w:r>
    </w:p>
    <w:p w14:paraId="4B69A81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w:t>
      </w:r>
      <w:r w:rsidRPr="00F00B77">
        <w:rPr>
          <w:bCs/>
          <w:sz w:val="24"/>
        </w:rPr>
        <w:t>基金管理人可以</w:t>
      </w:r>
      <w:r w:rsidRPr="00F00B77">
        <w:rPr>
          <w:rFonts w:hint="eastAsia"/>
          <w:bCs/>
          <w:sz w:val="24"/>
        </w:rPr>
        <w:t>根据基金实际运作情况</w:t>
      </w:r>
      <w:r w:rsidRPr="00F00B77">
        <w:rPr>
          <w:bCs/>
          <w:sz w:val="24"/>
        </w:rPr>
        <w:t>规定单个投资人累计持有的基金份额上限</w:t>
      </w:r>
      <w:r w:rsidRPr="00F00B77">
        <w:rPr>
          <w:rFonts w:hint="eastAsia"/>
          <w:bCs/>
          <w:sz w:val="24"/>
        </w:rPr>
        <w:t>、本基金的总规模上限、当日申购金额上限、或单个投资人当日申购金额上限，并在相关限制实施日前</w:t>
      </w:r>
      <w:r w:rsidRPr="00F00B77">
        <w:rPr>
          <w:bCs/>
          <w:sz w:val="24"/>
        </w:rPr>
        <w:t>依照《信息披露办法》的有关规定在指定</w:t>
      </w:r>
      <w:r w:rsidRPr="00F00B77">
        <w:rPr>
          <w:rFonts w:hint="eastAsia"/>
          <w:bCs/>
          <w:sz w:val="24"/>
        </w:rPr>
        <w:t>媒介</w:t>
      </w:r>
      <w:r w:rsidRPr="00F00B77">
        <w:rPr>
          <w:bCs/>
          <w:sz w:val="24"/>
        </w:rPr>
        <w:t>上公告</w:t>
      </w:r>
      <w:r w:rsidRPr="00F00B77">
        <w:rPr>
          <w:rFonts w:hint="eastAsia"/>
          <w:bCs/>
          <w:sz w:val="24"/>
        </w:rPr>
        <w:t>。</w:t>
      </w:r>
    </w:p>
    <w:p w14:paraId="2F6313A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06F5296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w:t>
      </w:r>
      <w:r w:rsidRPr="00F00B77">
        <w:rPr>
          <w:bCs/>
          <w:sz w:val="24"/>
        </w:rPr>
        <w:t>基金管理人可在法律法规允许的情况下，调整上述规定申购金额</w:t>
      </w:r>
      <w:r w:rsidRPr="00F00B77">
        <w:rPr>
          <w:rFonts w:hint="eastAsia"/>
          <w:bCs/>
          <w:sz w:val="24"/>
        </w:rPr>
        <w:t>、</w:t>
      </w:r>
      <w:r w:rsidRPr="00F00B77">
        <w:rPr>
          <w:bCs/>
          <w:sz w:val="24"/>
        </w:rPr>
        <w:t>赎回份额</w:t>
      </w:r>
      <w:r w:rsidRPr="00F00B77">
        <w:rPr>
          <w:rFonts w:hint="eastAsia"/>
          <w:bCs/>
          <w:sz w:val="24"/>
        </w:rPr>
        <w:t>、最低基金份额保留余额和基金总规模等</w:t>
      </w:r>
      <w:r w:rsidRPr="00F00B77">
        <w:rPr>
          <w:bCs/>
          <w:sz w:val="24"/>
        </w:rPr>
        <w:t>数量限制。基金管理人必须在调整</w:t>
      </w:r>
      <w:r w:rsidRPr="00F00B77">
        <w:rPr>
          <w:rFonts w:hint="eastAsia"/>
          <w:bCs/>
          <w:sz w:val="24"/>
        </w:rPr>
        <w:t>实施</w:t>
      </w:r>
      <w:r w:rsidRPr="00F00B77">
        <w:rPr>
          <w:bCs/>
          <w:sz w:val="24"/>
        </w:rPr>
        <w:t>前依照《信息披露办法》的有关规定在指定媒介上公告并报中国证监会备案。</w:t>
      </w:r>
    </w:p>
    <w:p w14:paraId="064268C8" w14:textId="77777777" w:rsidR="00084DB4" w:rsidRPr="00F00B77" w:rsidRDefault="00084DB4">
      <w:pPr>
        <w:widowControl/>
        <w:adjustRightInd w:val="0"/>
        <w:snapToGrid w:val="0"/>
        <w:spacing w:line="360" w:lineRule="auto"/>
        <w:ind w:firstLineChars="200" w:firstLine="482"/>
        <w:rPr>
          <w:rFonts w:hAnsi="宋体"/>
          <w:b/>
          <w:kern w:val="0"/>
          <w:sz w:val="24"/>
          <w:szCs w:val="24"/>
        </w:rPr>
      </w:pPr>
      <w:r w:rsidRPr="00F00B77">
        <w:rPr>
          <w:rFonts w:hAnsi="宋体" w:hint="eastAsia"/>
          <w:b/>
          <w:kern w:val="0"/>
          <w:sz w:val="24"/>
          <w:szCs w:val="24"/>
        </w:rPr>
        <w:t>（</w:t>
      </w:r>
      <w:r w:rsidRPr="00F00B77">
        <w:rPr>
          <w:rFonts w:hAnsi="宋体"/>
          <w:b/>
          <w:kern w:val="0"/>
          <w:sz w:val="24"/>
          <w:szCs w:val="24"/>
        </w:rPr>
        <w:t>六</w:t>
      </w:r>
      <w:r w:rsidRPr="00F00B77">
        <w:rPr>
          <w:rFonts w:hAnsi="宋体" w:hint="eastAsia"/>
          <w:b/>
          <w:kern w:val="0"/>
          <w:sz w:val="24"/>
          <w:szCs w:val="24"/>
        </w:rPr>
        <w:t>）</w:t>
      </w:r>
      <w:r w:rsidRPr="00F00B77">
        <w:rPr>
          <w:rFonts w:hAnsi="宋体"/>
          <w:b/>
          <w:kern w:val="0"/>
          <w:sz w:val="24"/>
          <w:szCs w:val="24"/>
        </w:rPr>
        <w:t>申购和赎回的价格、费用及其用途</w:t>
      </w:r>
    </w:p>
    <w:p w14:paraId="3CBA66A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F00B77">
        <w:rPr>
          <w:rFonts w:hint="eastAsia"/>
          <w:bCs/>
          <w:sz w:val="24"/>
        </w:rPr>
        <w:t>5</w:t>
      </w:r>
      <w:r w:rsidRPr="00F00B77">
        <w:rPr>
          <w:rFonts w:hint="eastAsia"/>
          <w:bCs/>
          <w:sz w:val="24"/>
        </w:rPr>
        <w:t>个交易日内到期的其他金融工具占基金资产净值的比例合计低于</w:t>
      </w:r>
      <w:r w:rsidRPr="00F00B77">
        <w:rPr>
          <w:rFonts w:hint="eastAsia"/>
          <w:bCs/>
          <w:sz w:val="24"/>
        </w:rPr>
        <w:t>5%</w:t>
      </w:r>
      <w:r w:rsidRPr="00F00B77">
        <w:rPr>
          <w:rFonts w:hint="eastAsia"/>
          <w:bCs/>
          <w:sz w:val="24"/>
        </w:rPr>
        <w:t>且偏离度为负时，为确保基金平稳运作，避免诱发系统性风险，基金管理人应当对当日单个基金份额持有人申请赎回基金份额超过基金总份额</w:t>
      </w:r>
      <w:r w:rsidRPr="00F00B77">
        <w:rPr>
          <w:rFonts w:hint="eastAsia"/>
          <w:bCs/>
          <w:sz w:val="24"/>
        </w:rPr>
        <w:t>1%</w:t>
      </w:r>
      <w:r w:rsidRPr="00F00B77">
        <w:rPr>
          <w:rFonts w:hint="eastAsia"/>
          <w:bCs/>
          <w:sz w:val="24"/>
        </w:rPr>
        <w:t>以上的赎回申请征收</w:t>
      </w:r>
      <w:r w:rsidRPr="00F00B77">
        <w:rPr>
          <w:rFonts w:hint="eastAsia"/>
          <w:bCs/>
          <w:sz w:val="24"/>
        </w:rPr>
        <w:t>1%</w:t>
      </w:r>
      <w:r w:rsidRPr="00F00B77">
        <w:rPr>
          <w:rFonts w:hint="eastAsia"/>
          <w:bCs/>
          <w:sz w:val="24"/>
        </w:rPr>
        <w:t>的强制赎回费用，并将上述赎回费用全额计入基金财产，基金管理人与基金托管人协商确认上述做法无益于基金利益最大化的情形除外。</w:t>
      </w:r>
    </w:p>
    <w:p w14:paraId="5600A5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、本基金通过每日计算收益并分配的方式，使基金份额净值保持在</w:t>
      </w:r>
      <w:r w:rsidRPr="00F00B77">
        <w:rPr>
          <w:rFonts w:hint="eastAsia"/>
          <w:bCs/>
          <w:sz w:val="24"/>
        </w:rPr>
        <w:t>1.00</w:t>
      </w:r>
      <w:r w:rsidRPr="00F00B77">
        <w:rPr>
          <w:rFonts w:hint="eastAsia"/>
          <w:bCs/>
          <w:sz w:val="24"/>
        </w:rPr>
        <w:t>元。本基金的申购、赎回价格为每份基金份额</w:t>
      </w:r>
      <w:r w:rsidRPr="00F00B77">
        <w:rPr>
          <w:bCs/>
          <w:sz w:val="24"/>
        </w:rPr>
        <w:t>1.00</w:t>
      </w:r>
      <w:r w:rsidRPr="00F00B77">
        <w:rPr>
          <w:rFonts w:hint="eastAsia"/>
          <w:bCs/>
          <w:sz w:val="24"/>
        </w:rPr>
        <w:t>元。</w:t>
      </w:r>
    </w:p>
    <w:p w14:paraId="71D2613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、申购份额的计算</w:t>
      </w:r>
    </w:p>
    <w:p w14:paraId="2EE9ABC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申购份额</w:t>
      </w:r>
      <w:r w:rsidRPr="00F00B77">
        <w:rPr>
          <w:rFonts w:hint="eastAsia"/>
          <w:bCs/>
          <w:sz w:val="24"/>
        </w:rPr>
        <w:t>=</w:t>
      </w:r>
      <w:r w:rsidRPr="00F00B77">
        <w:rPr>
          <w:rFonts w:hint="eastAsia"/>
          <w:bCs/>
          <w:sz w:val="24"/>
        </w:rPr>
        <w:t>申购金额</w:t>
      </w:r>
      <w:r w:rsidRPr="00F00B77">
        <w:rPr>
          <w:rFonts w:hint="eastAsia"/>
          <w:bCs/>
          <w:sz w:val="24"/>
        </w:rPr>
        <w:t>/1.00</w:t>
      </w:r>
      <w:r w:rsidRPr="00F00B77">
        <w:rPr>
          <w:rFonts w:hint="eastAsia"/>
          <w:bCs/>
          <w:sz w:val="24"/>
        </w:rPr>
        <w:t>元</w:t>
      </w:r>
    </w:p>
    <w:p w14:paraId="556F5E09" w14:textId="77777777" w:rsidR="00084DB4" w:rsidRPr="00F00B77" w:rsidRDefault="00084DB4">
      <w:pPr>
        <w:adjustRightInd w:val="0"/>
        <w:snapToGrid w:val="0"/>
        <w:spacing w:line="360" w:lineRule="auto"/>
        <w:ind w:firstLineChars="200" w:firstLine="480"/>
        <w:rPr>
          <w:sz w:val="24"/>
        </w:rPr>
      </w:pPr>
      <w:r w:rsidRPr="00F00B77">
        <w:rPr>
          <w:rFonts w:hint="eastAsia"/>
          <w:bCs/>
          <w:sz w:val="24"/>
        </w:rPr>
        <w:t>申购份额的</w:t>
      </w:r>
      <w:r w:rsidRPr="00F00B77">
        <w:rPr>
          <w:rFonts w:hint="eastAsia"/>
          <w:sz w:val="24"/>
        </w:rPr>
        <w:t>计算结果保留到小数点后</w:t>
      </w:r>
      <w:r w:rsidRPr="00F00B77">
        <w:rPr>
          <w:rFonts w:hint="eastAsia"/>
          <w:sz w:val="24"/>
        </w:rPr>
        <w:t>2</w:t>
      </w:r>
      <w:r w:rsidRPr="00F00B77">
        <w:rPr>
          <w:rFonts w:hint="eastAsia"/>
          <w:sz w:val="24"/>
        </w:rPr>
        <w:t>位</w:t>
      </w:r>
      <w:r w:rsidRPr="00F00B77">
        <w:rPr>
          <w:kern w:val="0"/>
          <w:sz w:val="24"/>
        </w:rPr>
        <w:t>，小数点</w:t>
      </w:r>
      <w:r w:rsidRPr="00F00B77">
        <w:rPr>
          <w:rFonts w:hint="eastAsia"/>
          <w:kern w:val="0"/>
          <w:sz w:val="24"/>
        </w:rPr>
        <w:t>2</w:t>
      </w:r>
      <w:r w:rsidRPr="00F00B77">
        <w:rPr>
          <w:kern w:val="0"/>
          <w:sz w:val="24"/>
        </w:rPr>
        <w:t>位以后的部分四舍五入，由此误差产生的收益或损失由基金财产承担</w:t>
      </w:r>
      <w:r w:rsidRPr="00F00B77">
        <w:rPr>
          <w:rFonts w:hint="eastAsia"/>
          <w:sz w:val="24"/>
        </w:rPr>
        <w:t>。</w:t>
      </w:r>
    </w:p>
    <w:p w14:paraId="2C776553"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rPr>
        <w:t>例</w:t>
      </w:r>
      <w:r w:rsidR="006B0357" w:rsidRPr="00F00B77">
        <w:rPr>
          <w:rFonts w:hint="eastAsia"/>
          <w:sz w:val="24"/>
        </w:rPr>
        <w:t>一</w:t>
      </w:r>
      <w:r w:rsidRPr="00F00B77">
        <w:rPr>
          <w:rFonts w:hint="eastAsia"/>
          <w:sz w:val="24"/>
        </w:rPr>
        <w:t>：</w:t>
      </w:r>
      <w:r w:rsidRPr="00F00B77">
        <w:rPr>
          <w:rFonts w:hint="eastAsia"/>
          <w:sz w:val="24"/>
          <w:szCs w:val="21"/>
        </w:rPr>
        <w:t>假定某投资者投资</w:t>
      </w:r>
      <w:r w:rsidRPr="00F00B77">
        <w:rPr>
          <w:rFonts w:hint="eastAsia"/>
          <w:sz w:val="24"/>
          <w:szCs w:val="21"/>
        </w:rPr>
        <w:t>10,000</w:t>
      </w:r>
      <w:r w:rsidRPr="00F00B77">
        <w:rPr>
          <w:rFonts w:hint="eastAsia"/>
          <w:sz w:val="24"/>
          <w:szCs w:val="21"/>
        </w:rPr>
        <w:t>元申购本基金</w:t>
      </w:r>
      <w:r w:rsidR="003063C5" w:rsidRPr="00F00B77">
        <w:rPr>
          <w:rFonts w:hint="eastAsia"/>
          <w:kern w:val="0"/>
          <w:sz w:val="24"/>
        </w:rPr>
        <w:t>A</w:t>
      </w:r>
      <w:r w:rsidR="003063C5" w:rsidRPr="00F00B77">
        <w:rPr>
          <w:rFonts w:ascii="宋体" w:hAnsi="宋体" w:hint="eastAsia"/>
          <w:kern w:val="0"/>
          <w:sz w:val="24"/>
        </w:rPr>
        <w:t>类基金份额</w:t>
      </w:r>
      <w:r w:rsidRPr="00F00B77">
        <w:rPr>
          <w:rFonts w:hint="eastAsia"/>
          <w:sz w:val="24"/>
          <w:szCs w:val="21"/>
        </w:rPr>
        <w:t>，则其可得到的基金份额计算如下：</w:t>
      </w:r>
    </w:p>
    <w:p w14:paraId="7B76E3C3"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szCs w:val="21"/>
        </w:rPr>
        <w:t>申购份额</w:t>
      </w:r>
      <w:r w:rsidRPr="00F00B77">
        <w:rPr>
          <w:rFonts w:hint="eastAsia"/>
          <w:sz w:val="24"/>
          <w:szCs w:val="21"/>
        </w:rPr>
        <w:t>=10,000/1.00=10,000</w:t>
      </w:r>
      <w:r w:rsidRPr="00F00B77">
        <w:rPr>
          <w:rFonts w:hint="eastAsia"/>
          <w:sz w:val="24"/>
          <w:szCs w:val="21"/>
        </w:rPr>
        <w:t>份</w:t>
      </w:r>
    </w:p>
    <w:p w14:paraId="1B0C9C0A"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szCs w:val="21"/>
        </w:rPr>
        <w:t>即投资者投资</w:t>
      </w:r>
      <w:r w:rsidRPr="00F00B77">
        <w:rPr>
          <w:rFonts w:hint="eastAsia"/>
          <w:sz w:val="24"/>
          <w:szCs w:val="21"/>
        </w:rPr>
        <w:t>10,000</w:t>
      </w:r>
      <w:r w:rsidRPr="00F00B77">
        <w:rPr>
          <w:rFonts w:hint="eastAsia"/>
          <w:sz w:val="24"/>
          <w:szCs w:val="21"/>
        </w:rPr>
        <w:t>元申购本基金</w:t>
      </w:r>
      <w:r w:rsidR="003063C5" w:rsidRPr="00F00B77">
        <w:rPr>
          <w:rFonts w:hint="eastAsia"/>
          <w:kern w:val="0"/>
          <w:sz w:val="24"/>
        </w:rPr>
        <w:t>A</w:t>
      </w:r>
      <w:r w:rsidR="003063C5" w:rsidRPr="00F00B77">
        <w:rPr>
          <w:rFonts w:ascii="宋体" w:hAnsi="宋体" w:hint="eastAsia"/>
          <w:kern w:val="0"/>
          <w:sz w:val="24"/>
        </w:rPr>
        <w:t>类基金份额</w:t>
      </w:r>
      <w:r w:rsidRPr="00F00B77">
        <w:rPr>
          <w:rFonts w:hint="eastAsia"/>
          <w:sz w:val="24"/>
          <w:szCs w:val="21"/>
        </w:rPr>
        <w:t>，可以得到</w:t>
      </w:r>
      <w:r w:rsidRPr="00F00B77">
        <w:rPr>
          <w:rFonts w:hint="eastAsia"/>
          <w:sz w:val="24"/>
          <w:szCs w:val="21"/>
        </w:rPr>
        <w:t>10,000</w:t>
      </w:r>
      <w:r w:rsidRPr="00F00B77">
        <w:rPr>
          <w:rFonts w:hint="eastAsia"/>
          <w:sz w:val="24"/>
          <w:szCs w:val="21"/>
        </w:rPr>
        <w:t>份</w:t>
      </w:r>
      <w:r w:rsidR="003063C5" w:rsidRPr="00F00B77">
        <w:rPr>
          <w:rFonts w:hint="eastAsia"/>
          <w:kern w:val="0"/>
          <w:sz w:val="24"/>
        </w:rPr>
        <w:t>A</w:t>
      </w:r>
      <w:r w:rsidR="003063C5" w:rsidRPr="00F00B77">
        <w:rPr>
          <w:rFonts w:ascii="宋体" w:hAnsi="宋体" w:hint="eastAsia"/>
          <w:kern w:val="0"/>
          <w:sz w:val="24"/>
        </w:rPr>
        <w:t>类</w:t>
      </w:r>
      <w:r w:rsidRPr="00F00B77">
        <w:rPr>
          <w:rFonts w:hint="eastAsia"/>
          <w:sz w:val="24"/>
          <w:szCs w:val="21"/>
        </w:rPr>
        <w:t>基金份额。</w:t>
      </w:r>
    </w:p>
    <w:p w14:paraId="4DCAEA3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、赎回金额的计算</w:t>
      </w:r>
    </w:p>
    <w:p w14:paraId="7C8773B3"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赎回金额等于登记机构确认的赎回份额乘以</w:t>
      </w:r>
      <w:r w:rsidRPr="00F00B77">
        <w:rPr>
          <w:sz w:val="24"/>
          <w:szCs w:val="24"/>
        </w:rPr>
        <w:t>1.00</w:t>
      </w:r>
      <w:r w:rsidRPr="00F00B77">
        <w:rPr>
          <w:rFonts w:ascii="宋体" w:hAnsi="宋体" w:hint="eastAsia"/>
          <w:sz w:val="24"/>
          <w:szCs w:val="24"/>
        </w:rPr>
        <w:t>元。投资人提交全额赎回申请时，所有未支付累计净收益将随赎回款项一并结清。</w:t>
      </w:r>
    </w:p>
    <w:p w14:paraId="736E9DAC"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赎回金额的计算结果保留到小数点后</w:t>
      </w:r>
      <w:r w:rsidRPr="00F00B77">
        <w:rPr>
          <w:sz w:val="24"/>
          <w:szCs w:val="24"/>
        </w:rPr>
        <w:t>2</w:t>
      </w:r>
      <w:r w:rsidRPr="00F00B77">
        <w:rPr>
          <w:rFonts w:ascii="宋体" w:hAnsi="宋体" w:hint="eastAsia"/>
          <w:sz w:val="24"/>
          <w:szCs w:val="24"/>
        </w:rPr>
        <w:t>位，小数点</w:t>
      </w:r>
      <w:r w:rsidRPr="00F00B77">
        <w:rPr>
          <w:sz w:val="24"/>
          <w:szCs w:val="24"/>
        </w:rPr>
        <w:t>2</w:t>
      </w:r>
      <w:r w:rsidRPr="00F00B77">
        <w:rPr>
          <w:rFonts w:ascii="宋体" w:hAnsi="宋体" w:hint="eastAsia"/>
          <w:sz w:val="24"/>
          <w:szCs w:val="24"/>
        </w:rPr>
        <w:t>位以后的部分四舍五入，由此误差产生的收益或损失由基金财产承担。</w:t>
      </w:r>
    </w:p>
    <w:p w14:paraId="75A3D53A"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例</w:t>
      </w:r>
      <w:r w:rsidR="006B0357" w:rsidRPr="00F00B77">
        <w:rPr>
          <w:rFonts w:ascii="宋体" w:hAnsi="宋体" w:hint="eastAsia"/>
          <w:sz w:val="24"/>
          <w:szCs w:val="24"/>
        </w:rPr>
        <w:t>二</w:t>
      </w:r>
      <w:r w:rsidRPr="00F00B77">
        <w:rPr>
          <w:rFonts w:ascii="宋体" w:hAnsi="宋体" w:hint="eastAsia"/>
          <w:sz w:val="24"/>
          <w:szCs w:val="24"/>
        </w:rPr>
        <w:t>：假定某投资者将所持有的</w:t>
      </w:r>
      <w:r w:rsidRPr="00F00B77">
        <w:rPr>
          <w:sz w:val="24"/>
          <w:szCs w:val="24"/>
        </w:rPr>
        <w:t>10,000</w:t>
      </w:r>
      <w:r w:rsidRPr="00F00B77">
        <w:rPr>
          <w:rFonts w:ascii="宋体" w:hAnsi="宋体" w:hint="eastAsia"/>
          <w:sz w:val="24"/>
          <w:szCs w:val="24"/>
        </w:rPr>
        <w:t>份</w:t>
      </w:r>
      <w:r w:rsidR="00A95D41" w:rsidRPr="00F00B77">
        <w:rPr>
          <w:rFonts w:hint="eastAsia"/>
          <w:kern w:val="0"/>
          <w:sz w:val="24"/>
        </w:rPr>
        <w:t>A</w:t>
      </w:r>
      <w:r w:rsidR="00A95D41" w:rsidRPr="00F00B77">
        <w:rPr>
          <w:rFonts w:ascii="宋体" w:hAnsi="宋体" w:hint="eastAsia"/>
          <w:kern w:val="0"/>
          <w:sz w:val="24"/>
        </w:rPr>
        <w:t>类</w:t>
      </w:r>
      <w:r w:rsidRPr="00F00B77">
        <w:rPr>
          <w:rFonts w:ascii="宋体" w:hAnsi="宋体" w:hint="eastAsia"/>
          <w:sz w:val="24"/>
          <w:szCs w:val="24"/>
        </w:rPr>
        <w:t>基金份额赎回（非全额赎回），则其可得到的赎回金额计算如下：</w:t>
      </w:r>
    </w:p>
    <w:p w14:paraId="29381B1E"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w:t>
      </w:r>
      <w:r w:rsidRPr="00F00B77">
        <w:rPr>
          <w:sz w:val="24"/>
          <w:szCs w:val="24"/>
        </w:rPr>
        <w:t>=10,000</w:t>
      </w:r>
      <w:r w:rsidRPr="00F00B77">
        <w:rPr>
          <w:rFonts w:ascii="Symbol" w:hAnsi="Symbol"/>
          <w:sz w:val="24"/>
          <w:szCs w:val="24"/>
        </w:rPr>
        <w:t></w:t>
      </w:r>
      <w:r w:rsidRPr="00F00B77">
        <w:rPr>
          <w:sz w:val="24"/>
          <w:szCs w:val="24"/>
        </w:rPr>
        <w:t>1.00=10,000</w:t>
      </w:r>
      <w:r w:rsidRPr="00F00B77">
        <w:rPr>
          <w:rFonts w:ascii="宋体" w:hAnsi="宋体" w:hint="eastAsia"/>
          <w:sz w:val="24"/>
          <w:szCs w:val="24"/>
        </w:rPr>
        <w:t>元</w:t>
      </w:r>
    </w:p>
    <w:p w14:paraId="687509E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、基金管理人可以在基金合同约定的范围内调整费率或收费方式，并最迟应于新的费率或收费方式实施日前依照《信息披露办法》的有关规定在指定媒介上公告。</w:t>
      </w:r>
    </w:p>
    <w:p w14:paraId="6D0A42CD" w14:textId="77777777" w:rsidR="00084DB4" w:rsidRPr="00F00B77" w:rsidRDefault="00084DB4">
      <w:pPr>
        <w:adjustRightInd w:val="0"/>
        <w:snapToGrid w:val="0"/>
        <w:spacing w:line="360" w:lineRule="auto"/>
        <w:ind w:firstLineChars="200" w:firstLine="482"/>
        <w:rPr>
          <w:rFonts w:hAnsi="宋体"/>
          <w:kern w:val="0"/>
          <w:sz w:val="24"/>
          <w:szCs w:val="24"/>
        </w:rPr>
      </w:pPr>
      <w:bookmarkStart w:id="21" w:name="_Hlt81024033"/>
      <w:bookmarkStart w:id="22" w:name="_Hlt90458725"/>
      <w:bookmarkStart w:id="23" w:name="_Hlt91144389"/>
      <w:bookmarkStart w:id="24" w:name="_Toc79392615"/>
      <w:bookmarkEnd w:id="21"/>
      <w:bookmarkEnd w:id="22"/>
      <w:bookmarkEnd w:id="23"/>
      <w:r w:rsidRPr="00F00B77">
        <w:rPr>
          <w:rFonts w:hAnsi="宋体"/>
          <w:b/>
          <w:kern w:val="0"/>
          <w:sz w:val="24"/>
          <w:szCs w:val="24"/>
        </w:rPr>
        <w:t>（</w:t>
      </w:r>
      <w:r w:rsidRPr="00F00B77">
        <w:rPr>
          <w:rFonts w:hAnsi="宋体" w:hint="eastAsia"/>
          <w:b/>
          <w:kern w:val="0"/>
          <w:sz w:val="24"/>
          <w:szCs w:val="24"/>
        </w:rPr>
        <w:t>七</w:t>
      </w:r>
      <w:r w:rsidRPr="00F00B77">
        <w:rPr>
          <w:rFonts w:hAnsi="宋体"/>
          <w:b/>
          <w:kern w:val="0"/>
          <w:sz w:val="24"/>
          <w:szCs w:val="24"/>
        </w:rPr>
        <w:t>）拒绝或暂停申购的情形</w:t>
      </w:r>
      <w:bookmarkEnd w:id="24"/>
    </w:p>
    <w:p w14:paraId="3DB1A8C9"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发生下列情况时，基金管理人可拒绝或暂停接受投资人的申购申请：</w:t>
      </w:r>
    </w:p>
    <w:p w14:paraId="63A4F9A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1</w:t>
      </w:r>
      <w:r w:rsidRPr="00F00B77">
        <w:rPr>
          <w:rFonts w:hAnsi="宋体" w:hint="eastAsia"/>
          <w:bCs/>
          <w:kern w:val="0"/>
          <w:sz w:val="24"/>
          <w:szCs w:val="24"/>
        </w:rPr>
        <w:t>、</w:t>
      </w:r>
      <w:r w:rsidRPr="00F00B77">
        <w:rPr>
          <w:rFonts w:hAnsi="宋体"/>
          <w:bCs/>
          <w:kern w:val="0"/>
          <w:sz w:val="24"/>
          <w:szCs w:val="24"/>
        </w:rPr>
        <w:t>因不可抗力导致基金无法正常运作。</w:t>
      </w:r>
    </w:p>
    <w:p w14:paraId="4B0AD602"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2</w:t>
      </w:r>
      <w:r w:rsidRPr="00F00B77">
        <w:rPr>
          <w:rFonts w:hAnsi="宋体" w:hint="eastAsia"/>
          <w:bCs/>
          <w:kern w:val="0"/>
          <w:sz w:val="24"/>
          <w:szCs w:val="24"/>
        </w:rPr>
        <w:t>、发生基金合同规定的暂停基金资产估值情况时，基金管理人可暂停接受投资人的申购申请。</w:t>
      </w:r>
    </w:p>
    <w:p w14:paraId="79C0F01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3</w:t>
      </w:r>
      <w:r w:rsidRPr="00F00B77">
        <w:rPr>
          <w:rFonts w:hAnsi="宋体" w:hint="eastAsia"/>
          <w:bCs/>
          <w:kern w:val="0"/>
          <w:sz w:val="24"/>
          <w:szCs w:val="24"/>
        </w:rPr>
        <w:t>、</w:t>
      </w:r>
      <w:r w:rsidRPr="00F00B77">
        <w:rPr>
          <w:rFonts w:hAnsi="宋体"/>
          <w:bCs/>
          <w:kern w:val="0"/>
          <w:sz w:val="24"/>
          <w:szCs w:val="24"/>
        </w:rPr>
        <w:t>证券交易所交易时间非正常停市，导致基金管理人无法计算当日基金资产净值。</w:t>
      </w:r>
    </w:p>
    <w:p w14:paraId="79C80C6E"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4</w:t>
      </w:r>
      <w:r w:rsidRPr="00F00B77">
        <w:rPr>
          <w:rFonts w:hAnsi="宋体" w:hint="eastAsia"/>
          <w:bCs/>
          <w:kern w:val="0"/>
          <w:sz w:val="24"/>
          <w:szCs w:val="24"/>
        </w:rPr>
        <w:t>、本基金出现当日净收益或累计未分配净收益小于零的情形，为保护基金份额持有人的利益，基金管理人可视情况暂停本基金的申购。</w:t>
      </w:r>
    </w:p>
    <w:p w14:paraId="0A91C2E3"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5</w:t>
      </w:r>
      <w:r w:rsidRPr="00F00B77">
        <w:rPr>
          <w:rFonts w:hAnsi="宋体" w:hint="eastAsia"/>
          <w:bCs/>
          <w:kern w:val="0"/>
          <w:sz w:val="24"/>
          <w:szCs w:val="24"/>
        </w:rPr>
        <w:t>、</w:t>
      </w:r>
      <w:r w:rsidRPr="00F00B77">
        <w:rPr>
          <w:rFonts w:hAnsi="宋体"/>
          <w:bCs/>
          <w:kern w:val="0"/>
          <w:sz w:val="24"/>
          <w:szCs w:val="24"/>
        </w:rPr>
        <w:t>接受某笔或某些申购申请可能会影响或损害现有基金份额持有人利益时。</w:t>
      </w:r>
    </w:p>
    <w:p w14:paraId="14EE39BC"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6</w:t>
      </w:r>
      <w:r w:rsidRPr="00F00B77">
        <w:rPr>
          <w:rFonts w:hAnsi="宋体" w:hint="eastAsia"/>
          <w:bCs/>
          <w:kern w:val="0"/>
          <w:sz w:val="24"/>
          <w:szCs w:val="24"/>
        </w:rPr>
        <w:t>、</w:t>
      </w:r>
      <w:r w:rsidRPr="00F00B77">
        <w:rPr>
          <w:rFonts w:hAnsi="宋体"/>
          <w:bCs/>
          <w:kern w:val="0"/>
          <w:sz w:val="24"/>
          <w:szCs w:val="24"/>
        </w:rPr>
        <w:t>基金资产规模过大，使基金管理人无法找到合适的投资品种，或其他可能对基金业绩产生负面影响，</w:t>
      </w:r>
      <w:r w:rsidRPr="00F00B77">
        <w:rPr>
          <w:rFonts w:hAnsi="宋体" w:hint="eastAsia"/>
          <w:bCs/>
          <w:kern w:val="0"/>
          <w:sz w:val="24"/>
          <w:szCs w:val="24"/>
        </w:rPr>
        <w:t>或发生其他</w:t>
      </w:r>
      <w:r w:rsidRPr="00F00B77">
        <w:rPr>
          <w:rFonts w:hAnsi="宋体"/>
          <w:bCs/>
          <w:kern w:val="0"/>
          <w:sz w:val="24"/>
          <w:szCs w:val="24"/>
        </w:rPr>
        <w:t>损害现有基金份额持有人利益的情形。</w:t>
      </w:r>
    </w:p>
    <w:p w14:paraId="1229AEC7"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7</w:t>
      </w:r>
      <w:r w:rsidRPr="00F00B77">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6422B4B9"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8</w:t>
      </w:r>
      <w:r w:rsidRPr="00F00B77">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227C1266"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9</w:t>
      </w:r>
      <w:r w:rsidRPr="00F00B77">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CDA89D5"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10</w:t>
      </w:r>
      <w:r w:rsidRPr="00F00B77">
        <w:rPr>
          <w:rFonts w:hAnsi="宋体" w:hint="eastAsia"/>
          <w:bCs/>
          <w:kern w:val="0"/>
          <w:sz w:val="24"/>
          <w:szCs w:val="24"/>
        </w:rPr>
        <w:t>、当影子定价确定的基金资产净值与摊余成本法计算的基金资产净值的正偏离度</w:t>
      </w:r>
      <w:r w:rsidR="009A72CA" w:rsidRPr="00F00B77">
        <w:rPr>
          <w:rFonts w:hAnsi="宋体" w:hint="eastAsia"/>
          <w:bCs/>
          <w:kern w:val="0"/>
          <w:sz w:val="24"/>
          <w:szCs w:val="24"/>
        </w:rPr>
        <w:t>达到</w:t>
      </w:r>
      <w:r w:rsidRPr="00F00B77">
        <w:rPr>
          <w:rFonts w:hAnsi="宋体" w:hint="eastAsia"/>
          <w:bCs/>
          <w:kern w:val="0"/>
          <w:sz w:val="24"/>
          <w:szCs w:val="24"/>
        </w:rPr>
        <w:t>绝对值</w:t>
      </w:r>
      <w:r w:rsidRPr="00F00B77">
        <w:rPr>
          <w:rFonts w:hAnsi="宋体" w:hint="eastAsia"/>
          <w:bCs/>
          <w:kern w:val="0"/>
          <w:sz w:val="24"/>
          <w:szCs w:val="24"/>
        </w:rPr>
        <w:t>0.5%</w:t>
      </w:r>
      <w:r w:rsidRPr="00F00B77">
        <w:rPr>
          <w:rFonts w:hAnsi="宋体" w:hint="eastAsia"/>
          <w:bCs/>
          <w:kern w:val="0"/>
          <w:sz w:val="24"/>
          <w:szCs w:val="24"/>
        </w:rPr>
        <w:t>时。</w:t>
      </w:r>
    </w:p>
    <w:p w14:paraId="36E65B63"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11</w:t>
      </w:r>
      <w:r w:rsidRPr="00F00B77">
        <w:rPr>
          <w:rFonts w:hAnsi="宋体" w:hint="eastAsia"/>
          <w:bCs/>
          <w:kern w:val="0"/>
          <w:sz w:val="24"/>
          <w:szCs w:val="24"/>
        </w:rPr>
        <w:t>、基金合同约定、</w:t>
      </w:r>
      <w:r w:rsidRPr="00F00B77">
        <w:rPr>
          <w:rFonts w:hAnsi="宋体"/>
          <w:bCs/>
          <w:kern w:val="0"/>
          <w:sz w:val="24"/>
          <w:szCs w:val="24"/>
        </w:rPr>
        <w:t>法律法规规定或中国证监会认定的其他情形。</w:t>
      </w:r>
    </w:p>
    <w:p w14:paraId="3E4CC8D8"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发生上述第</w:t>
      </w:r>
      <w:r w:rsidRPr="00F00B77">
        <w:rPr>
          <w:rFonts w:hAnsi="宋体"/>
          <w:bCs/>
          <w:kern w:val="0"/>
          <w:sz w:val="24"/>
          <w:szCs w:val="24"/>
        </w:rPr>
        <w:t>1</w:t>
      </w:r>
      <w:r w:rsidRPr="00F00B77">
        <w:rPr>
          <w:rFonts w:hAnsi="宋体"/>
          <w:bCs/>
          <w:kern w:val="0"/>
          <w:sz w:val="24"/>
          <w:szCs w:val="24"/>
        </w:rPr>
        <w:t>、</w:t>
      </w:r>
      <w:r w:rsidRPr="00F00B77">
        <w:rPr>
          <w:rFonts w:hAnsi="宋体"/>
          <w:bCs/>
          <w:kern w:val="0"/>
          <w:sz w:val="24"/>
          <w:szCs w:val="24"/>
        </w:rPr>
        <w:t>2</w:t>
      </w:r>
      <w:r w:rsidRPr="00F00B77">
        <w:rPr>
          <w:rFonts w:hAnsi="宋体"/>
          <w:bCs/>
          <w:kern w:val="0"/>
          <w:sz w:val="24"/>
          <w:szCs w:val="24"/>
        </w:rPr>
        <w:t>、</w:t>
      </w:r>
      <w:r w:rsidRPr="00F00B77">
        <w:rPr>
          <w:rFonts w:hAnsi="宋体" w:hint="eastAsia"/>
          <w:bCs/>
          <w:kern w:val="0"/>
          <w:sz w:val="24"/>
          <w:szCs w:val="24"/>
        </w:rPr>
        <w:t>3</w:t>
      </w:r>
      <w:r w:rsidRPr="00F00B77">
        <w:rPr>
          <w:rFonts w:hAnsi="宋体"/>
          <w:bCs/>
          <w:kern w:val="0"/>
          <w:sz w:val="24"/>
          <w:szCs w:val="24"/>
        </w:rPr>
        <w:t>、</w:t>
      </w:r>
      <w:r w:rsidRPr="00F00B77">
        <w:rPr>
          <w:rFonts w:hAnsi="宋体" w:hint="eastAsia"/>
          <w:bCs/>
          <w:kern w:val="0"/>
          <w:sz w:val="24"/>
          <w:szCs w:val="24"/>
        </w:rPr>
        <w:t>4</w:t>
      </w:r>
      <w:r w:rsidRPr="00F00B77">
        <w:rPr>
          <w:rFonts w:hAnsi="宋体" w:hint="eastAsia"/>
          <w:bCs/>
          <w:kern w:val="0"/>
          <w:sz w:val="24"/>
          <w:szCs w:val="24"/>
        </w:rPr>
        <w:t>、</w:t>
      </w:r>
      <w:r w:rsidRPr="00F00B77">
        <w:rPr>
          <w:rFonts w:hAnsi="宋体" w:hint="eastAsia"/>
          <w:bCs/>
          <w:kern w:val="0"/>
          <w:sz w:val="24"/>
          <w:szCs w:val="24"/>
        </w:rPr>
        <w:t>6</w:t>
      </w:r>
      <w:r w:rsidRPr="00F00B77">
        <w:rPr>
          <w:rFonts w:hAnsi="宋体" w:hint="eastAsia"/>
          <w:bCs/>
          <w:kern w:val="0"/>
          <w:sz w:val="24"/>
          <w:szCs w:val="24"/>
        </w:rPr>
        <w:t>、</w:t>
      </w:r>
      <w:r w:rsidRPr="00F00B77">
        <w:rPr>
          <w:rFonts w:hAnsi="宋体" w:hint="eastAsia"/>
          <w:bCs/>
          <w:kern w:val="0"/>
          <w:sz w:val="24"/>
          <w:szCs w:val="24"/>
        </w:rPr>
        <w:t>8</w:t>
      </w:r>
      <w:r w:rsidRPr="00F00B77">
        <w:rPr>
          <w:rFonts w:hAnsi="宋体" w:hint="eastAsia"/>
          <w:bCs/>
          <w:kern w:val="0"/>
          <w:sz w:val="24"/>
          <w:szCs w:val="24"/>
        </w:rPr>
        <w:t>、</w:t>
      </w:r>
      <w:r w:rsidRPr="00F00B77">
        <w:rPr>
          <w:rFonts w:hAnsi="宋体" w:hint="eastAsia"/>
          <w:bCs/>
          <w:kern w:val="0"/>
          <w:sz w:val="24"/>
          <w:szCs w:val="24"/>
        </w:rPr>
        <w:t>9</w:t>
      </w:r>
      <w:r w:rsidRPr="00F00B77">
        <w:rPr>
          <w:rFonts w:hAnsi="宋体" w:hint="eastAsia"/>
          <w:bCs/>
          <w:kern w:val="0"/>
          <w:sz w:val="24"/>
          <w:szCs w:val="24"/>
        </w:rPr>
        <w:t>、</w:t>
      </w:r>
      <w:r w:rsidRPr="00F00B77">
        <w:rPr>
          <w:rFonts w:hAnsi="宋体" w:hint="eastAsia"/>
          <w:bCs/>
          <w:kern w:val="0"/>
          <w:sz w:val="24"/>
          <w:szCs w:val="24"/>
        </w:rPr>
        <w:t>10</w:t>
      </w:r>
      <w:r w:rsidRPr="00F00B77">
        <w:rPr>
          <w:rFonts w:hAnsi="宋体" w:hint="eastAsia"/>
          <w:bCs/>
          <w:kern w:val="0"/>
          <w:sz w:val="24"/>
          <w:szCs w:val="24"/>
        </w:rPr>
        <w:t>、</w:t>
      </w:r>
      <w:r w:rsidRPr="00F00B77">
        <w:rPr>
          <w:rFonts w:hAnsi="宋体" w:hint="eastAsia"/>
          <w:bCs/>
          <w:kern w:val="0"/>
          <w:sz w:val="24"/>
          <w:szCs w:val="24"/>
        </w:rPr>
        <w:t>11</w:t>
      </w:r>
      <w:r w:rsidRPr="00F00B77">
        <w:rPr>
          <w:rFonts w:hAnsi="宋体"/>
          <w:bCs/>
          <w:kern w:val="0"/>
          <w:sz w:val="24"/>
          <w:szCs w:val="24"/>
        </w:rPr>
        <w:t>项暂停申购情形</w:t>
      </w:r>
      <w:r w:rsidRPr="00F00B77">
        <w:rPr>
          <w:rFonts w:hAnsi="宋体" w:hint="eastAsia"/>
          <w:bCs/>
          <w:kern w:val="0"/>
          <w:sz w:val="24"/>
          <w:szCs w:val="24"/>
        </w:rPr>
        <w:t>之一</w:t>
      </w:r>
      <w:r w:rsidRPr="00F00B77">
        <w:rPr>
          <w:rFonts w:hAnsi="宋体"/>
          <w:bCs/>
          <w:kern w:val="0"/>
          <w:sz w:val="24"/>
          <w:szCs w:val="24"/>
        </w:rPr>
        <w:t>且基金管理人决定暂停接受投资人的申购申请时，基金管理人应当根据有关规定在指定</w:t>
      </w:r>
      <w:r w:rsidRPr="00F00B77">
        <w:rPr>
          <w:rFonts w:hAnsi="宋体" w:hint="eastAsia"/>
          <w:bCs/>
          <w:kern w:val="0"/>
          <w:sz w:val="24"/>
          <w:szCs w:val="24"/>
        </w:rPr>
        <w:t>媒介</w:t>
      </w:r>
      <w:r w:rsidRPr="00F00B77">
        <w:rPr>
          <w:rFonts w:hAnsi="宋体"/>
          <w:bCs/>
          <w:kern w:val="0"/>
          <w:sz w:val="24"/>
          <w:szCs w:val="24"/>
        </w:rPr>
        <w:t>上刊登暂停申购公告。</w:t>
      </w:r>
      <w:r w:rsidRPr="00F00B77">
        <w:rPr>
          <w:rFonts w:hAnsi="宋体" w:hint="eastAsia"/>
          <w:bCs/>
          <w:kern w:val="0"/>
          <w:sz w:val="24"/>
          <w:szCs w:val="24"/>
        </w:rPr>
        <w:t>对于上述第</w:t>
      </w:r>
      <w:r w:rsidRPr="00F00B77">
        <w:rPr>
          <w:rFonts w:hAnsi="宋体" w:hint="eastAsia"/>
          <w:bCs/>
          <w:kern w:val="0"/>
          <w:sz w:val="24"/>
          <w:szCs w:val="24"/>
        </w:rPr>
        <w:t>7</w:t>
      </w:r>
      <w:r w:rsidRPr="00F00B77">
        <w:rPr>
          <w:rFonts w:hAnsi="宋体" w:hint="eastAsia"/>
          <w:bCs/>
          <w:kern w:val="0"/>
          <w:sz w:val="24"/>
          <w:szCs w:val="24"/>
        </w:rPr>
        <w:t>项拒绝申购的情形，基金管理人将在基金管理人网站上公布相关申购上限设定。</w:t>
      </w:r>
      <w:r w:rsidRPr="00F00B77">
        <w:rPr>
          <w:rFonts w:hAnsi="宋体"/>
          <w:bCs/>
          <w:kern w:val="0"/>
          <w:sz w:val="24"/>
          <w:szCs w:val="24"/>
        </w:rPr>
        <w:t>如果投资人的申购申请被</w:t>
      </w:r>
      <w:r w:rsidRPr="00F00B77">
        <w:rPr>
          <w:rFonts w:hAnsi="宋体" w:hint="eastAsia"/>
          <w:bCs/>
          <w:kern w:val="0"/>
          <w:sz w:val="24"/>
          <w:szCs w:val="24"/>
        </w:rPr>
        <w:t>拒</w:t>
      </w:r>
      <w:r w:rsidRPr="00F00B77">
        <w:rPr>
          <w:rFonts w:hAnsi="宋体"/>
          <w:bCs/>
          <w:kern w:val="0"/>
          <w:sz w:val="24"/>
          <w:szCs w:val="24"/>
        </w:rPr>
        <w:t>绝，被拒绝的申购款项将退还给投资人。在暂停申购的情况消除时，基金管理人应及时恢复申购业务的办理。</w:t>
      </w:r>
    </w:p>
    <w:p w14:paraId="22C1E52E" w14:textId="77777777" w:rsidR="00084DB4" w:rsidRPr="00F00B77" w:rsidRDefault="00084DB4">
      <w:pPr>
        <w:widowControl/>
        <w:adjustRightInd w:val="0"/>
        <w:snapToGrid w:val="0"/>
        <w:spacing w:line="360" w:lineRule="auto"/>
        <w:ind w:firstLineChars="200" w:firstLine="482"/>
        <w:rPr>
          <w:b/>
          <w:kern w:val="0"/>
          <w:sz w:val="24"/>
          <w:szCs w:val="24"/>
        </w:rPr>
      </w:pPr>
      <w:bookmarkStart w:id="25" w:name="_Hlt70481650"/>
      <w:bookmarkEnd w:id="25"/>
      <w:r w:rsidRPr="00F00B77">
        <w:rPr>
          <w:rFonts w:hAnsi="宋体"/>
          <w:b/>
          <w:kern w:val="0"/>
          <w:sz w:val="24"/>
          <w:szCs w:val="24"/>
        </w:rPr>
        <w:t>（</w:t>
      </w:r>
      <w:r w:rsidRPr="00F00B77">
        <w:rPr>
          <w:rFonts w:hAnsi="宋体" w:hint="eastAsia"/>
          <w:b/>
          <w:kern w:val="0"/>
          <w:sz w:val="24"/>
          <w:szCs w:val="24"/>
        </w:rPr>
        <w:t>八</w:t>
      </w:r>
      <w:r w:rsidRPr="00F00B77">
        <w:rPr>
          <w:rFonts w:hAnsi="宋体"/>
          <w:b/>
          <w:kern w:val="0"/>
          <w:sz w:val="24"/>
          <w:szCs w:val="24"/>
        </w:rPr>
        <w:t>）暂停赎回或延缓支付赎回款项的情形</w:t>
      </w:r>
    </w:p>
    <w:p w14:paraId="0381DFF8" w14:textId="77777777" w:rsidR="00084DB4" w:rsidRPr="00F00B77" w:rsidRDefault="00084DB4">
      <w:pPr>
        <w:widowControl/>
        <w:adjustRightInd w:val="0"/>
        <w:snapToGrid w:val="0"/>
        <w:spacing w:line="360" w:lineRule="auto"/>
        <w:ind w:firstLineChars="200" w:firstLine="480"/>
        <w:rPr>
          <w:bCs/>
          <w:sz w:val="24"/>
        </w:rPr>
      </w:pPr>
      <w:bookmarkStart w:id="26" w:name="_Toc79392616"/>
      <w:r w:rsidRPr="00F00B77">
        <w:rPr>
          <w:bCs/>
          <w:sz w:val="24"/>
        </w:rPr>
        <w:t>发生下列情形时，基金管理人可暂停接受投资人的赎回申请或延缓支付赎回款项：</w:t>
      </w:r>
    </w:p>
    <w:p w14:paraId="2879E0CC"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1</w:t>
      </w:r>
      <w:r w:rsidRPr="00F00B77">
        <w:rPr>
          <w:rFonts w:hint="eastAsia"/>
          <w:bCs/>
          <w:sz w:val="24"/>
        </w:rPr>
        <w:t>、</w:t>
      </w:r>
      <w:r w:rsidRPr="00F00B77">
        <w:rPr>
          <w:bCs/>
          <w:sz w:val="24"/>
        </w:rPr>
        <w:t>因不可抗力导致基金管理人不能支付赎回款项。</w:t>
      </w:r>
    </w:p>
    <w:p w14:paraId="66B1B25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、发生基金合同规定的暂停基金资产估值情况时，基金管理人可暂停接受投资人的赎回申请或延缓支付赎回款项。</w:t>
      </w:r>
    </w:p>
    <w:p w14:paraId="4A12E72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w:t>
      </w:r>
      <w:r w:rsidRPr="00F00B77">
        <w:rPr>
          <w:bCs/>
          <w:sz w:val="24"/>
        </w:rPr>
        <w:t>证券交易所交易时间非正常停市，导致基金管理人无法计算当日基金资产</w:t>
      </w:r>
      <w:bookmarkStart w:id="27" w:name="_Hlt152500890"/>
      <w:r w:rsidRPr="00F00B77">
        <w:rPr>
          <w:bCs/>
          <w:sz w:val="24"/>
        </w:rPr>
        <w:t>净值。</w:t>
      </w:r>
    </w:p>
    <w:bookmarkEnd w:id="27"/>
    <w:p w14:paraId="523B9F0F"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4</w:t>
      </w:r>
      <w:r w:rsidRPr="00F00B77">
        <w:rPr>
          <w:rFonts w:hAnsi="宋体" w:hint="eastAsia"/>
          <w:bCs/>
          <w:kern w:val="0"/>
          <w:sz w:val="24"/>
          <w:szCs w:val="24"/>
        </w:rPr>
        <w:t>、</w:t>
      </w:r>
      <w:r w:rsidRPr="00F00B77">
        <w:rPr>
          <w:rFonts w:hAnsi="宋体"/>
          <w:bCs/>
          <w:kern w:val="0"/>
          <w:sz w:val="24"/>
          <w:szCs w:val="24"/>
        </w:rPr>
        <w:t>本基金出现当日净收益或累计未分配净收益小于零的情形，为保护</w:t>
      </w:r>
      <w:r w:rsidRPr="00F00B77">
        <w:rPr>
          <w:rFonts w:hAnsi="宋体" w:hint="eastAsia"/>
          <w:bCs/>
          <w:kern w:val="0"/>
          <w:sz w:val="24"/>
          <w:szCs w:val="24"/>
        </w:rPr>
        <w:t>基金份额</w:t>
      </w:r>
      <w:r w:rsidRPr="00F00B77">
        <w:rPr>
          <w:rFonts w:hAnsi="宋体"/>
          <w:bCs/>
          <w:kern w:val="0"/>
          <w:sz w:val="24"/>
          <w:szCs w:val="24"/>
        </w:rPr>
        <w:t>持有人的利益，基金管理人</w:t>
      </w:r>
      <w:r w:rsidRPr="00F00B77">
        <w:rPr>
          <w:rFonts w:hAnsi="宋体" w:hint="eastAsia"/>
          <w:bCs/>
          <w:kern w:val="0"/>
          <w:sz w:val="24"/>
          <w:szCs w:val="24"/>
        </w:rPr>
        <w:t>可视情况</w:t>
      </w:r>
      <w:r w:rsidRPr="00F00B77">
        <w:rPr>
          <w:rFonts w:hAnsi="宋体"/>
          <w:bCs/>
          <w:kern w:val="0"/>
          <w:sz w:val="24"/>
          <w:szCs w:val="24"/>
        </w:rPr>
        <w:t>暂停本基金的赎回。</w:t>
      </w:r>
    </w:p>
    <w:p w14:paraId="5451EA00"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5</w:t>
      </w:r>
      <w:r w:rsidRPr="00F00B77">
        <w:rPr>
          <w:rFonts w:hAnsi="宋体" w:hint="eastAsia"/>
          <w:bCs/>
          <w:kern w:val="0"/>
          <w:sz w:val="24"/>
          <w:szCs w:val="24"/>
        </w:rPr>
        <w:t>、</w:t>
      </w:r>
      <w:r w:rsidRPr="00F00B77">
        <w:rPr>
          <w:rFonts w:hAnsi="宋体"/>
          <w:bCs/>
          <w:kern w:val="0"/>
          <w:sz w:val="24"/>
          <w:szCs w:val="24"/>
        </w:rPr>
        <w:t>连续两个或两个以上开放日发生巨额赎回。</w:t>
      </w:r>
    </w:p>
    <w:p w14:paraId="658ADCE3"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6</w:t>
      </w:r>
      <w:r w:rsidRPr="00F00B77">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1B48D6F8"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7</w:t>
      </w:r>
      <w:r w:rsidRPr="00F00B77">
        <w:rPr>
          <w:rFonts w:hAnsi="宋体" w:hint="eastAsia"/>
          <w:bCs/>
          <w:kern w:val="0"/>
          <w:sz w:val="24"/>
          <w:szCs w:val="24"/>
        </w:rPr>
        <w:t>、本基金的资产组合中的重要部分发生暂停交易或其他重大事件，继续接受赎回可能会影响或损害基金份额持有人利益时。</w:t>
      </w:r>
    </w:p>
    <w:p w14:paraId="546BAE27"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8</w:t>
      </w:r>
      <w:r w:rsidRPr="00F00B77">
        <w:rPr>
          <w:rFonts w:hAnsi="宋体" w:hint="eastAsia"/>
          <w:bCs/>
          <w:kern w:val="0"/>
          <w:sz w:val="24"/>
          <w:szCs w:val="24"/>
        </w:rPr>
        <w:t>、当影子定价确定的基金资产净值与摊余成本法计算的基金资产净值的负偏离度绝对值连续两个交易日超过</w:t>
      </w:r>
      <w:r w:rsidRPr="00F00B77">
        <w:rPr>
          <w:rFonts w:hAnsi="宋体" w:hint="eastAsia"/>
          <w:bCs/>
          <w:kern w:val="0"/>
          <w:sz w:val="24"/>
          <w:szCs w:val="24"/>
        </w:rPr>
        <w:t>0.5%</w:t>
      </w:r>
      <w:r w:rsidRPr="00F00B77">
        <w:rPr>
          <w:rFonts w:hAnsi="宋体" w:hint="eastAsia"/>
          <w:bCs/>
          <w:kern w:val="0"/>
          <w:sz w:val="24"/>
          <w:szCs w:val="24"/>
        </w:rPr>
        <w:t>时，基金管理人可视情况暂停本基金的赎回。</w:t>
      </w:r>
    </w:p>
    <w:p w14:paraId="4204E1A3"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9</w:t>
      </w:r>
      <w:r w:rsidRPr="00F00B77">
        <w:rPr>
          <w:rFonts w:hAnsi="宋体" w:hint="eastAsia"/>
          <w:bCs/>
          <w:kern w:val="0"/>
          <w:sz w:val="24"/>
          <w:szCs w:val="24"/>
        </w:rPr>
        <w:t>、基金合同约定、</w:t>
      </w:r>
      <w:r w:rsidRPr="00F00B77">
        <w:rPr>
          <w:rFonts w:hAnsi="宋体"/>
          <w:bCs/>
          <w:kern w:val="0"/>
          <w:sz w:val="24"/>
          <w:szCs w:val="24"/>
        </w:rPr>
        <w:t>法律法规规定或中国证监会认定的其他情形。</w:t>
      </w:r>
    </w:p>
    <w:p w14:paraId="50511164"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发生上述情形</w:t>
      </w:r>
      <w:r w:rsidRPr="00F00B77">
        <w:rPr>
          <w:rFonts w:hAnsi="宋体" w:hint="eastAsia"/>
          <w:bCs/>
          <w:kern w:val="0"/>
          <w:sz w:val="24"/>
          <w:szCs w:val="24"/>
        </w:rPr>
        <w:t>之一且基金管理人决定暂停接受投资人的赎回申请或延缓支付赎回款项</w:t>
      </w:r>
      <w:r w:rsidRPr="00F00B77">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00B77">
        <w:rPr>
          <w:rFonts w:hAnsi="宋体" w:hint="eastAsia"/>
          <w:bCs/>
          <w:kern w:val="0"/>
          <w:sz w:val="24"/>
          <w:szCs w:val="24"/>
        </w:rPr>
        <w:t>确认并</w:t>
      </w:r>
      <w:r w:rsidRPr="00F00B77">
        <w:rPr>
          <w:rFonts w:hAnsi="宋体"/>
          <w:bCs/>
          <w:kern w:val="0"/>
          <w:sz w:val="24"/>
          <w:szCs w:val="24"/>
        </w:rPr>
        <w:t>支付</w:t>
      </w:r>
      <w:r w:rsidRPr="00F00B77">
        <w:rPr>
          <w:rFonts w:hAnsi="宋体" w:hint="eastAsia"/>
          <w:bCs/>
          <w:kern w:val="0"/>
          <w:sz w:val="24"/>
          <w:szCs w:val="24"/>
        </w:rPr>
        <w:t>。</w:t>
      </w:r>
      <w:r w:rsidRPr="00F00B77">
        <w:rPr>
          <w:rFonts w:hAnsi="宋体"/>
          <w:bCs/>
          <w:kern w:val="0"/>
          <w:sz w:val="24"/>
          <w:szCs w:val="24"/>
        </w:rPr>
        <w:t>若出现上述第</w:t>
      </w:r>
      <w:r w:rsidRPr="00F00B77">
        <w:rPr>
          <w:rFonts w:hAnsi="宋体" w:hint="eastAsia"/>
          <w:bCs/>
          <w:kern w:val="0"/>
          <w:sz w:val="24"/>
          <w:szCs w:val="24"/>
        </w:rPr>
        <w:t>5</w:t>
      </w:r>
      <w:r w:rsidRPr="00F00B77">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11507BD"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为公平对待不同类别基金份额持有人的合法权益，单个基金份额持有人在单个开放日申请赎回基金份额超过基金总份额</w:t>
      </w:r>
      <w:r w:rsidRPr="00F00B77">
        <w:rPr>
          <w:rFonts w:hAnsi="宋体" w:hint="eastAsia"/>
          <w:bCs/>
          <w:kern w:val="0"/>
          <w:sz w:val="24"/>
          <w:szCs w:val="24"/>
        </w:rPr>
        <w:t>10%</w:t>
      </w:r>
      <w:r w:rsidRPr="00F00B77">
        <w:rPr>
          <w:rFonts w:hAnsi="宋体" w:hint="eastAsia"/>
          <w:bCs/>
          <w:kern w:val="0"/>
          <w:sz w:val="24"/>
          <w:szCs w:val="24"/>
        </w:rPr>
        <w:t>的，基金管理人可以延期办理部分赎回申请或者延缓支付赎回款项，具体操作以基金管理人届时发布的相关公告为准。</w:t>
      </w:r>
    </w:p>
    <w:p w14:paraId="2ED6B268"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九</w:t>
      </w:r>
      <w:r w:rsidRPr="00F00B77">
        <w:rPr>
          <w:rFonts w:hAnsi="宋体"/>
          <w:b/>
          <w:kern w:val="0"/>
          <w:sz w:val="24"/>
          <w:szCs w:val="24"/>
        </w:rPr>
        <w:t>）巨额赎回的情形及处理方式</w:t>
      </w:r>
      <w:bookmarkEnd w:id="26"/>
    </w:p>
    <w:p w14:paraId="7D8703F6"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1</w:t>
      </w:r>
      <w:r w:rsidRPr="00F00B77">
        <w:rPr>
          <w:rFonts w:hAnsi="宋体" w:hint="eastAsia"/>
          <w:kern w:val="0"/>
          <w:sz w:val="24"/>
          <w:szCs w:val="24"/>
        </w:rPr>
        <w:t>、巨额赎回的认定</w:t>
      </w:r>
    </w:p>
    <w:p w14:paraId="3FAFFFCF"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若本基金单个开放日内的基金份额净赎回申请</w:t>
      </w:r>
      <w:r w:rsidRPr="00F00B77">
        <w:rPr>
          <w:bCs/>
          <w:sz w:val="24"/>
        </w:rPr>
        <w:t>(</w:t>
      </w:r>
      <w:r w:rsidRPr="00F00B77">
        <w:rPr>
          <w:bCs/>
          <w:sz w:val="24"/>
        </w:rPr>
        <w:t>赎回申请份额总数加上基金转换中转出申请份额总数后扣除申购申请份额总数及基金转换中转入申请份额总数后的余额</w:t>
      </w:r>
      <w:r w:rsidRPr="00F00B77">
        <w:rPr>
          <w:bCs/>
          <w:sz w:val="24"/>
        </w:rPr>
        <w:t>)</w:t>
      </w:r>
      <w:r w:rsidRPr="00F00B77">
        <w:rPr>
          <w:bCs/>
          <w:sz w:val="24"/>
        </w:rPr>
        <w:t>超过前一开放日的基金总份额的</w:t>
      </w:r>
      <w:r w:rsidRPr="00F00B77">
        <w:rPr>
          <w:rFonts w:hint="eastAsia"/>
          <w:bCs/>
          <w:sz w:val="24"/>
        </w:rPr>
        <w:t>10%</w:t>
      </w:r>
      <w:r w:rsidRPr="00F00B77">
        <w:rPr>
          <w:bCs/>
          <w:sz w:val="24"/>
        </w:rPr>
        <w:t>，即认为是发生了巨额赎回。</w:t>
      </w:r>
    </w:p>
    <w:p w14:paraId="5DF58363"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2</w:t>
      </w:r>
      <w:r w:rsidRPr="00F00B77">
        <w:rPr>
          <w:rFonts w:hAnsi="宋体" w:hint="eastAsia"/>
          <w:kern w:val="0"/>
          <w:sz w:val="24"/>
          <w:szCs w:val="24"/>
        </w:rPr>
        <w:t>、巨额赎回的处理方式</w:t>
      </w:r>
    </w:p>
    <w:p w14:paraId="2EBE48FA"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当基金出现巨额赎回时，基金管理人可以根据基金当时的资产组合状况决定全额赎回或部分延期赎回。</w:t>
      </w:r>
    </w:p>
    <w:p w14:paraId="55027AC2"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）全额赎回：当基金管理人认为有能力支付投资人的全部赎回申请时，按正常赎回程序执行。</w:t>
      </w:r>
    </w:p>
    <w:p w14:paraId="5B2C3972"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00B77">
        <w:rPr>
          <w:rFonts w:hint="eastAsia"/>
          <w:bCs/>
          <w:sz w:val="24"/>
        </w:rPr>
        <w:t>10%</w:t>
      </w:r>
      <w:r w:rsidRPr="00F00B7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F00B77">
        <w:rPr>
          <w:rFonts w:hint="eastAsia"/>
          <w:bCs/>
          <w:sz w:val="24"/>
        </w:rPr>
        <w:t>，</w:t>
      </w:r>
      <w:r w:rsidRPr="00F00B77">
        <w:rPr>
          <w:bCs/>
          <w:sz w:val="24"/>
        </w:rPr>
        <w:t>以此类推，直到全部赎回为止。如投资人在提交赎回申请时未作明确选择，投资人未能赎回部分作自动延期赎回处理。</w:t>
      </w:r>
    </w:p>
    <w:p w14:paraId="4AA4A381"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）暂停赎回：连续</w:t>
      </w:r>
      <w:r w:rsidRPr="00F00B77">
        <w:rPr>
          <w:rFonts w:hint="eastAsia"/>
          <w:bCs/>
          <w:sz w:val="24"/>
        </w:rPr>
        <w:t>2</w:t>
      </w:r>
      <w:r w:rsidRPr="00F00B77">
        <w:rPr>
          <w:bCs/>
          <w:sz w:val="24"/>
        </w:rPr>
        <w:t>日以上</w:t>
      </w:r>
      <w:r w:rsidRPr="00F00B77">
        <w:rPr>
          <w:bCs/>
          <w:sz w:val="24"/>
        </w:rPr>
        <w:t>(</w:t>
      </w:r>
      <w:r w:rsidRPr="00F00B77">
        <w:rPr>
          <w:bCs/>
          <w:sz w:val="24"/>
        </w:rPr>
        <w:t>含本数</w:t>
      </w:r>
      <w:r w:rsidRPr="00F00B77">
        <w:rPr>
          <w:bCs/>
          <w:sz w:val="24"/>
        </w:rPr>
        <w:t>)</w:t>
      </w:r>
      <w:r w:rsidRPr="00F00B77">
        <w:rPr>
          <w:bCs/>
          <w:sz w:val="24"/>
        </w:rPr>
        <w:t>发生巨额赎回，如基金管理人认为有必要，可暂停接受基金的赎回申请；已经接受的赎回申请可以延缓支付赎回款项，但不得超过</w:t>
      </w:r>
      <w:r w:rsidRPr="00F00B77">
        <w:rPr>
          <w:rFonts w:hint="eastAsia"/>
          <w:bCs/>
          <w:sz w:val="24"/>
        </w:rPr>
        <w:t>20</w:t>
      </w:r>
      <w:r w:rsidRPr="00F00B77">
        <w:rPr>
          <w:bCs/>
          <w:sz w:val="24"/>
        </w:rPr>
        <w:t>个工作日，并应当在指定</w:t>
      </w:r>
      <w:r w:rsidRPr="00F00B77">
        <w:rPr>
          <w:rFonts w:hint="eastAsia"/>
          <w:bCs/>
          <w:sz w:val="24"/>
        </w:rPr>
        <w:t>媒介</w:t>
      </w:r>
      <w:r w:rsidRPr="00F00B77">
        <w:rPr>
          <w:bCs/>
          <w:sz w:val="24"/>
        </w:rPr>
        <w:t>上进行公告。</w:t>
      </w:r>
    </w:p>
    <w:p w14:paraId="29216495" w14:textId="77777777" w:rsidR="00084DB4" w:rsidRPr="00F00B77" w:rsidRDefault="00084DB4">
      <w:pPr>
        <w:widowControl/>
        <w:adjustRightInd w:val="0"/>
        <w:snapToGrid w:val="0"/>
        <w:spacing w:line="360" w:lineRule="auto"/>
        <w:ind w:firstLineChars="200" w:firstLine="480"/>
        <w:rPr>
          <w:rFonts w:hAnsi="宋体"/>
          <w:i/>
          <w:kern w:val="0"/>
          <w:sz w:val="24"/>
        </w:rPr>
      </w:pPr>
      <w:r w:rsidRPr="00F00B77">
        <w:rPr>
          <w:rFonts w:hAnsi="宋体" w:hint="eastAsia"/>
          <w:kern w:val="0"/>
          <w:sz w:val="24"/>
          <w:szCs w:val="24"/>
        </w:rPr>
        <w:t>3</w:t>
      </w:r>
      <w:r w:rsidRPr="00F00B77">
        <w:rPr>
          <w:rFonts w:hAnsi="宋体" w:hint="eastAsia"/>
          <w:kern w:val="0"/>
          <w:sz w:val="24"/>
          <w:szCs w:val="24"/>
        </w:rPr>
        <w:t>、巨额赎回的公告</w:t>
      </w:r>
    </w:p>
    <w:p w14:paraId="011C5E02"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当发生上述延期赎回并延期办理时，基金管理人应当通过邮寄、传真、</w:t>
      </w:r>
      <w:r w:rsidRPr="00F00B77">
        <w:rPr>
          <w:rFonts w:hint="eastAsia"/>
          <w:kern w:val="0"/>
          <w:sz w:val="24"/>
        </w:rPr>
        <w:t>刊登公告</w:t>
      </w:r>
      <w:r w:rsidRPr="00F00B77">
        <w:rPr>
          <w:rFonts w:hAnsi="宋体" w:hint="eastAsia"/>
          <w:kern w:val="0"/>
          <w:sz w:val="24"/>
          <w:szCs w:val="24"/>
        </w:rPr>
        <w:t>或者</w:t>
      </w:r>
      <w:r w:rsidRPr="00F00B77">
        <w:rPr>
          <w:rFonts w:hAnsi="宋体"/>
          <w:kern w:val="0"/>
          <w:sz w:val="24"/>
          <w:szCs w:val="24"/>
        </w:rPr>
        <w:t>通知</w:t>
      </w:r>
      <w:r w:rsidRPr="00F00B77">
        <w:rPr>
          <w:rFonts w:hAnsi="宋体" w:hint="eastAsia"/>
          <w:kern w:val="0"/>
          <w:sz w:val="24"/>
          <w:szCs w:val="24"/>
        </w:rPr>
        <w:t>销售</w:t>
      </w:r>
      <w:r w:rsidRPr="00F00B77">
        <w:rPr>
          <w:rFonts w:hAnsi="宋体"/>
          <w:kern w:val="0"/>
          <w:sz w:val="24"/>
          <w:szCs w:val="24"/>
        </w:rPr>
        <w:t>机构代为告知等</w:t>
      </w:r>
      <w:r w:rsidRPr="00F00B77">
        <w:rPr>
          <w:rFonts w:hAnsi="宋体" w:hint="eastAsia"/>
          <w:kern w:val="0"/>
          <w:sz w:val="24"/>
          <w:szCs w:val="24"/>
        </w:rPr>
        <w:t>方式在</w:t>
      </w:r>
      <w:r w:rsidRPr="00F00B77">
        <w:rPr>
          <w:rFonts w:hAnsi="宋体" w:hint="eastAsia"/>
          <w:kern w:val="0"/>
          <w:sz w:val="24"/>
          <w:szCs w:val="24"/>
        </w:rPr>
        <w:t>3</w:t>
      </w:r>
      <w:r w:rsidRPr="00F00B77">
        <w:rPr>
          <w:rFonts w:hAnsi="宋体" w:hint="eastAsia"/>
          <w:kern w:val="0"/>
          <w:sz w:val="24"/>
          <w:szCs w:val="24"/>
        </w:rPr>
        <w:t>个交易日内通知基金份额持有人，说明有关处理方法，同时在指定媒介上刊登公告。</w:t>
      </w:r>
    </w:p>
    <w:p w14:paraId="384F16D8" w14:textId="77777777" w:rsidR="00084DB4" w:rsidRPr="00F00B77" w:rsidRDefault="00084DB4">
      <w:pPr>
        <w:widowControl/>
        <w:adjustRightInd w:val="0"/>
        <w:snapToGrid w:val="0"/>
        <w:spacing w:line="360" w:lineRule="auto"/>
        <w:ind w:firstLineChars="200" w:firstLine="482"/>
        <w:rPr>
          <w:b/>
          <w:kern w:val="0"/>
          <w:sz w:val="24"/>
          <w:szCs w:val="24"/>
        </w:rPr>
      </w:pPr>
      <w:bookmarkStart w:id="28" w:name="_Toc79392617"/>
      <w:r w:rsidRPr="00F00B77">
        <w:rPr>
          <w:rFonts w:hAnsi="宋体"/>
          <w:b/>
          <w:kern w:val="0"/>
          <w:sz w:val="24"/>
          <w:szCs w:val="24"/>
        </w:rPr>
        <w:t>（十）暂停申购或赎回的公告和重新开放申购或赎回的公告</w:t>
      </w:r>
      <w:bookmarkEnd w:id="28"/>
    </w:p>
    <w:p w14:paraId="4D2C2513" w14:textId="77777777" w:rsidR="00084DB4" w:rsidRPr="00F00B77" w:rsidRDefault="00084DB4">
      <w:pPr>
        <w:adjustRightInd w:val="0"/>
        <w:snapToGrid w:val="0"/>
        <w:spacing w:line="360" w:lineRule="auto"/>
        <w:ind w:firstLineChars="200" w:firstLine="480"/>
        <w:rPr>
          <w:bCs/>
          <w:sz w:val="24"/>
        </w:rPr>
      </w:pPr>
      <w:bookmarkStart w:id="29" w:name="_Toc59441259"/>
      <w:bookmarkStart w:id="30" w:name="_Toc15118274"/>
      <w:bookmarkStart w:id="31" w:name="_Toc79392618"/>
      <w:r w:rsidRPr="00F00B77">
        <w:rPr>
          <w:bCs/>
          <w:sz w:val="24"/>
        </w:rPr>
        <w:t>1</w:t>
      </w:r>
      <w:r w:rsidRPr="00F00B77">
        <w:rPr>
          <w:rFonts w:hint="eastAsia"/>
          <w:bCs/>
          <w:sz w:val="24"/>
        </w:rPr>
        <w:t>、</w:t>
      </w:r>
      <w:r w:rsidRPr="00F00B77">
        <w:rPr>
          <w:bCs/>
          <w:sz w:val="24"/>
        </w:rPr>
        <w:t>发生上述暂停申购或赎回情况的，基金管理人当日应立即向中国证监会备案，并在规定期限内在指定媒介上刊登暂停公告。</w:t>
      </w:r>
    </w:p>
    <w:p w14:paraId="31972F95"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2</w:t>
      </w:r>
      <w:r w:rsidRPr="00F00B77">
        <w:rPr>
          <w:rFonts w:hint="eastAsia"/>
          <w:bCs/>
          <w:sz w:val="24"/>
        </w:rPr>
        <w:t>、暂停结束，基金重新开放申购或赎回时，基金管理人应依照《信息披露办法》的有关规定，不迟于重新开放日，在指定</w:t>
      </w:r>
      <w:r w:rsidRPr="00F00B77">
        <w:rPr>
          <w:rFonts w:hAnsi="宋体" w:hint="eastAsia"/>
          <w:kern w:val="0"/>
          <w:sz w:val="24"/>
          <w:szCs w:val="24"/>
        </w:rPr>
        <w:t>媒介</w:t>
      </w:r>
      <w:r w:rsidRPr="00F00B77">
        <w:rPr>
          <w:rFonts w:hint="eastAsia"/>
          <w:bCs/>
          <w:sz w:val="24"/>
        </w:rPr>
        <w:t>上刊登基金重新开放申购或赎回公告，并公布最近一个开放日的各类基金份额的每万份基金已实现收益和</w:t>
      </w:r>
      <w:r w:rsidRPr="00F00B77">
        <w:rPr>
          <w:rFonts w:hint="eastAsia"/>
          <w:bCs/>
          <w:sz w:val="24"/>
        </w:rPr>
        <w:t>7</w:t>
      </w:r>
      <w:r w:rsidRPr="00F00B77">
        <w:rPr>
          <w:rFonts w:hint="eastAsia"/>
          <w:bCs/>
          <w:sz w:val="24"/>
        </w:rPr>
        <w:t>日年化收益率。</w:t>
      </w:r>
      <w:bookmarkStart w:id="32" w:name="_Toc79392621"/>
      <w:bookmarkEnd w:id="29"/>
      <w:bookmarkEnd w:id="30"/>
      <w:bookmarkEnd w:id="31"/>
    </w:p>
    <w:p w14:paraId="10092D44"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（十</w:t>
      </w:r>
      <w:r w:rsidRPr="00F00B77">
        <w:rPr>
          <w:rFonts w:hAnsi="宋体" w:hint="eastAsia"/>
          <w:b/>
          <w:kern w:val="0"/>
          <w:sz w:val="24"/>
          <w:szCs w:val="24"/>
        </w:rPr>
        <w:t>一</w:t>
      </w:r>
      <w:r w:rsidRPr="00F00B77">
        <w:rPr>
          <w:rFonts w:hAnsi="宋体"/>
          <w:b/>
          <w:kern w:val="0"/>
          <w:sz w:val="24"/>
          <w:szCs w:val="24"/>
        </w:rPr>
        <w:t>）基金转换</w:t>
      </w:r>
    </w:p>
    <w:p w14:paraId="4B1A3DC7"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8C0DE59"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（十</w:t>
      </w:r>
      <w:r w:rsidRPr="00F00B77">
        <w:rPr>
          <w:rFonts w:hAnsi="宋体" w:hint="eastAsia"/>
          <w:b/>
          <w:kern w:val="0"/>
          <w:sz w:val="24"/>
          <w:szCs w:val="24"/>
        </w:rPr>
        <w:t>二</w:t>
      </w:r>
      <w:r w:rsidRPr="00F00B77">
        <w:rPr>
          <w:rFonts w:hAnsi="宋体"/>
          <w:b/>
          <w:kern w:val="0"/>
          <w:sz w:val="24"/>
          <w:szCs w:val="24"/>
        </w:rPr>
        <w:t>）基金的非交易过户</w:t>
      </w:r>
    </w:p>
    <w:p w14:paraId="2A1EDB1E"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CC8DF1E"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1247E34"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（十</w:t>
      </w:r>
      <w:r w:rsidRPr="00F00B77">
        <w:rPr>
          <w:rFonts w:hAnsi="宋体" w:hint="eastAsia"/>
          <w:b/>
          <w:kern w:val="0"/>
          <w:sz w:val="24"/>
          <w:szCs w:val="24"/>
        </w:rPr>
        <w:t>三</w:t>
      </w:r>
      <w:r w:rsidRPr="00F00B77">
        <w:rPr>
          <w:rFonts w:hAnsi="宋体"/>
          <w:b/>
          <w:kern w:val="0"/>
          <w:sz w:val="24"/>
          <w:szCs w:val="24"/>
        </w:rPr>
        <w:t>）基金的转托管</w:t>
      </w:r>
      <w:bookmarkEnd w:id="32"/>
    </w:p>
    <w:p w14:paraId="300A77EB"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基金份额持有人可办理已持有基金份额在不同销售机构之间的转托管，基金销售机构可以按照规定的标准收取转托管费。</w:t>
      </w:r>
    </w:p>
    <w:p w14:paraId="1CA742D9" w14:textId="77777777" w:rsidR="00084DB4" w:rsidRPr="00F00B77" w:rsidRDefault="00084DB4">
      <w:pPr>
        <w:widowControl/>
        <w:adjustRightInd w:val="0"/>
        <w:snapToGrid w:val="0"/>
        <w:spacing w:line="360" w:lineRule="auto"/>
        <w:ind w:firstLineChars="200" w:firstLine="482"/>
        <w:rPr>
          <w:b/>
          <w:kern w:val="0"/>
          <w:sz w:val="24"/>
          <w:szCs w:val="24"/>
        </w:rPr>
      </w:pPr>
      <w:bookmarkStart w:id="33" w:name="_Toc79392620"/>
      <w:r w:rsidRPr="00F00B77">
        <w:rPr>
          <w:rFonts w:hAnsi="宋体"/>
          <w:b/>
          <w:kern w:val="0"/>
          <w:sz w:val="24"/>
          <w:szCs w:val="24"/>
        </w:rPr>
        <w:t>（十</w:t>
      </w:r>
      <w:r w:rsidRPr="00F00B77">
        <w:rPr>
          <w:rFonts w:hAnsi="宋体" w:hint="eastAsia"/>
          <w:b/>
          <w:kern w:val="0"/>
          <w:sz w:val="24"/>
          <w:szCs w:val="24"/>
        </w:rPr>
        <w:t>四</w:t>
      </w:r>
      <w:r w:rsidRPr="00F00B77">
        <w:rPr>
          <w:rFonts w:hAnsi="宋体"/>
          <w:b/>
          <w:kern w:val="0"/>
          <w:sz w:val="24"/>
          <w:szCs w:val="24"/>
        </w:rPr>
        <w:t>）定期定额投资计划</w:t>
      </w:r>
    </w:p>
    <w:p w14:paraId="57BC3574" w14:textId="77777777" w:rsidR="006B0357" w:rsidRPr="00F00B77" w:rsidRDefault="006B0357" w:rsidP="006B0357">
      <w:pPr>
        <w:adjustRightInd w:val="0"/>
        <w:snapToGrid w:val="0"/>
        <w:spacing w:line="360" w:lineRule="auto"/>
        <w:ind w:firstLineChars="200" w:firstLine="480"/>
        <w:rPr>
          <w:rFonts w:hAnsi="宋体"/>
          <w:sz w:val="24"/>
          <w:szCs w:val="24"/>
        </w:rPr>
      </w:pPr>
      <w:r w:rsidRPr="00F00B77">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6A5B8CF0" w14:textId="77777777" w:rsidR="00084DB4" w:rsidRPr="00F00B77" w:rsidRDefault="006B0357" w:rsidP="006B0357">
      <w:pPr>
        <w:adjustRightInd w:val="0"/>
        <w:snapToGrid w:val="0"/>
        <w:spacing w:line="360" w:lineRule="auto"/>
        <w:ind w:firstLineChars="200" w:firstLine="480"/>
        <w:rPr>
          <w:rFonts w:hAnsi="宋体"/>
          <w:sz w:val="24"/>
          <w:szCs w:val="24"/>
        </w:rPr>
      </w:pPr>
      <w:r w:rsidRPr="00F00B77">
        <w:rPr>
          <w:rFonts w:hAnsi="宋体" w:hint="eastAsia"/>
          <w:sz w:val="24"/>
          <w:szCs w:val="24"/>
        </w:rPr>
        <w:t>本基金</w:t>
      </w:r>
      <w:r w:rsidRPr="00F00B77">
        <w:rPr>
          <w:rFonts w:hAnsi="宋体" w:hint="eastAsia"/>
          <w:sz w:val="24"/>
          <w:szCs w:val="24"/>
        </w:rPr>
        <w:t>2016</w:t>
      </w:r>
      <w:r w:rsidRPr="00F00B77">
        <w:rPr>
          <w:rFonts w:hAnsi="宋体" w:hint="eastAsia"/>
          <w:sz w:val="24"/>
          <w:szCs w:val="24"/>
        </w:rPr>
        <w:t>年</w:t>
      </w:r>
      <w:r w:rsidRPr="00F00B77">
        <w:rPr>
          <w:rFonts w:hAnsi="宋体" w:hint="eastAsia"/>
          <w:sz w:val="24"/>
          <w:szCs w:val="24"/>
        </w:rPr>
        <w:t>7</w:t>
      </w:r>
      <w:r w:rsidRPr="00F00B77">
        <w:rPr>
          <w:rFonts w:hAnsi="宋体" w:hint="eastAsia"/>
          <w:sz w:val="24"/>
          <w:szCs w:val="24"/>
        </w:rPr>
        <w:t>月</w:t>
      </w:r>
      <w:r w:rsidRPr="00F00B77">
        <w:rPr>
          <w:rFonts w:hAnsi="宋体" w:hint="eastAsia"/>
          <w:sz w:val="24"/>
          <w:szCs w:val="24"/>
        </w:rPr>
        <w:t>28</w:t>
      </w:r>
      <w:r w:rsidRPr="00F00B77">
        <w:rPr>
          <w:rFonts w:hAnsi="宋体" w:hint="eastAsia"/>
          <w:sz w:val="24"/>
          <w:szCs w:val="24"/>
        </w:rPr>
        <w:t>日刊登公告自</w:t>
      </w:r>
      <w:r w:rsidRPr="00F00B77">
        <w:rPr>
          <w:rFonts w:hAnsi="宋体" w:hint="eastAsia"/>
          <w:sz w:val="24"/>
          <w:szCs w:val="24"/>
        </w:rPr>
        <w:t>2016</w:t>
      </w:r>
      <w:r w:rsidRPr="00F00B77">
        <w:rPr>
          <w:rFonts w:hAnsi="宋体" w:hint="eastAsia"/>
          <w:sz w:val="24"/>
          <w:szCs w:val="24"/>
        </w:rPr>
        <w:t>年</w:t>
      </w:r>
      <w:r w:rsidRPr="00F00B77">
        <w:rPr>
          <w:rFonts w:hAnsi="宋体" w:hint="eastAsia"/>
          <w:sz w:val="24"/>
          <w:szCs w:val="24"/>
        </w:rPr>
        <w:t>7</w:t>
      </w:r>
      <w:r w:rsidRPr="00F00B77">
        <w:rPr>
          <w:rFonts w:hAnsi="宋体" w:hint="eastAsia"/>
          <w:sz w:val="24"/>
          <w:szCs w:val="24"/>
        </w:rPr>
        <w:t>月</w:t>
      </w:r>
      <w:r w:rsidRPr="00F00B77">
        <w:rPr>
          <w:rFonts w:hAnsi="宋体" w:hint="eastAsia"/>
          <w:sz w:val="24"/>
          <w:szCs w:val="24"/>
        </w:rPr>
        <w:t>29</w:t>
      </w:r>
      <w:r w:rsidRPr="00F00B77">
        <w:rPr>
          <w:rFonts w:hAnsi="宋体" w:hint="eastAsia"/>
          <w:sz w:val="24"/>
          <w:szCs w:val="24"/>
        </w:rPr>
        <w:t>日起开通定期定额投资计划业务，具体开通销售机构名单和业务规则参见相关公告。</w:t>
      </w:r>
    </w:p>
    <w:p w14:paraId="553ABF4F" w14:textId="77777777" w:rsidR="00084DB4" w:rsidRPr="00F00B77" w:rsidRDefault="00084DB4" w:rsidP="009E570B">
      <w:pPr>
        <w:widowControl/>
        <w:adjustRightInd w:val="0"/>
        <w:snapToGrid w:val="0"/>
        <w:spacing w:line="360" w:lineRule="auto"/>
        <w:ind w:firstLineChars="200" w:firstLine="482"/>
        <w:rPr>
          <w:b/>
          <w:kern w:val="0"/>
          <w:sz w:val="24"/>
          <w:szCs w:val="24"/>
        </w:rPr>
      </w:pPr>
      <w:r w:rsidRPr="00F00B77">
        <w:rPr>
          <w:rFonts w:hAnsi="宋体"/>
          <w:b/>
          <w:kern w:val="0"/>
          <w:sz w:val="24"/>
          <w:szCs w:val="24"/>
        </w:rPr>
        <w:t>（十</w:t>
      </w:r>
      <w:r w:rsidRPr="00F00B77">
        <w:rPr>
          <w:rFonts w:hAnsi="宋体" w:hint="eastAsia"/>
          <w:b/>
          <w:kern w:val="0"/>
          <w:sz w:val="24"/>
          <w:szCs w:val="24"/>
        </w:rPr>
        <w:t>五</w:t>
      </w:r>
      <w:r w:rsidRPr="00F00B77">
        <w:rPr>
          <w:rFonts w:hAnsi="宋体"/>
          <w:b/>
          <w:kern w:val="0"/>
          <w:sz w:val="24"/>
          <w:szCs w:val="24"/>
        </w:rPr>
        <w:t>）</w:t>
      </w:r>
      <w:r w:rsidRPr="00F00B77">
        <w:rPr>
          <w:rFonts w:hAnsi="宋体"/>
          <w:b/>
          <w:sz w:val="24"/>
          <w:szCs w:val="24"/>
        </w:rPr>
        <w:t>基金</w:t>
      </w:r>
      <w:r w:rsidRPr="00F00B77">
        <w:rPr>
          <w:rFonts w:hint="eastAsia"/>
          <w:b/>
          <w:bCs/>
          <w:sz w:val="24"/>
        </w:rPr>
        <w:t>份额</w:t>
      </w:r>
      <w:r w:rsidRPr="00F00B77">
        <w:rPr>
          <w:rFonts w:hAnsi="宋体"/>
          <w:b/>
          <w:sz w:val="24"/>
          <w:szCs w:val="24"/>
        </w:rPr>
        <w:t>的冻结和解冻</w:t>
      </w:r>
      <w:bookmarkEnd w:id="33"/>
    </w:p>
    <w:p w14:paraId="49CA17A9"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登记机构只受理国家有权机关依法要求的基金份额的冻结与解冻，以及登记机构认可、符合法律法规的其他情况下的冻结与解冻。</w:t>
      </w:r>
    </w:p>
    <w:p w14:paraId="68FA7FB1" w14:textId="77777777" w:rsidR="00084DB4" w:rsidRPr="00F00B77" w:rsidRDefault="00084DB4" w:rsidP="00725375">
      <w:pPr>
        <w:adjustRightInd w:val="0"/>
        <w:snapToGrid w:val="0"/>
        <w:spacing w:line="360" w:lineRule="auto"/>
        <w:ind w:firstLineChars="200" w:firstLine="482"/>
        <w:rPr>
          <w:rFonts w:hAnsi="宋体"/>
          <w:b/>
          <w:sz w:val="24"/>
          <w:szCs w:val="24"/>
        </w:rPr>
      </w:pPr>
      <w:r w:rsidRPr="00F00B77">
        <w:rPr>
          <w:rFonts w:hAnsi="宋体" w:hint="eastAsia"/>
          <w:b/>
          <w:sz w:val="24"/>
          <w:szCs w:val="24"/>
        </w:rPr>
        <w:t>（十六）基金份额的转让</w:t>
      </w:r>
    </w:p>
    <w:p w14:paraId="6D018636"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86A872" w14:textId="77777777" w:rsidR="00084DB4" w:rsidRPr="00F00B77" w:rsidRDefault="00084DB4">
      <w:pPr>
        <w:adjustRightInd w:val="0"/>
        <w:snapToGrid w:val="0"/>
        <w:spacing w:line="360" w:lineRule="auto"/>
        <w:ind w:firstLineChars="200" w:firstLine="482"/>
        <w:rPr>
          <w:rFonts w:hAnsi="宋体"/>
          <w:i/>
          <w:kern w:val="0"/>
          <w:sz w:val="24"/>
        </w:rPr>
      </w:pPr>
      <w:bookmarkStart w:id="34" w:name="_Toc109059024"/>
      <w:bookmarkStart w:id="35" w:name="_Toc66720082"/>
      <w:bookmarkStart w:id="36" w:name="_Toc66719557"/>
      <w:r w:rsidRPr="00F00B77">
        <w:rPr>
          <w:rFonts w:hAnsi="宋体"/>
          <w:b/>
          <w:kern w:val="0"/>
          <w:sz w:val="24"/>
          <w:szCs w:val="24"/>
        </w:rPr>
        <w:t>（十</w:t>
      </w:r>
      <w:r w:rsidRPr="00F00B77">
        <w:rPr>
          <w:rFonts w:hAnsi="宋体" w:hint="eastAsia"/>
          <w:b/>
          <w:kern w:val="0"/>
          <w:sz w:val="24"/>
          <w:szCs w:val="24"/>
        </w:rPr>
        <w:t>七</w:t>
      </w:r>
      <w:r w:rsidRPr="00F00B77">
        <w:rPr>
          <w:rFonts w:hAnsi="宋体"/>
          <w:b/>
          <w:kern w:val="0"/>
          <w:sz w:val="24"/>
          <w:szCs w:val="24"/>
        </w:rPr>
        <w:t>）</w:t>
      </w:r>
      <w:r w:rsidRPr="00F00B77">
        <w:rPr>
          <w:rFonts w:hAnsi="宋体" w:hint="eastAsia"/>
          <w:b/>
          <w:sz w:val="24"/>
          <w:szCs w:val="24"/>
        </w:rPr>
        <w:t>其他业务</w:t>
      </w:r>
    </w:p>
    <w:p w14:paraId="3EF90DBB" w14:textId="77777777" w:rsidR="00084DB4" w:rsidRPr="00F00B77" w:rsidRDefault="00084DB4">
      <w:pPr>
        <w:adjustRightInd w:val="0"/>
        <w:snapToGrid w:val="0"/>
        <w:spacing w:line="360" w:lineRule="auto"/>
        <w:ind w:firstLineChars="200" w:firstLine="480"/>
        <w:rPr>
          <w:rFonts w:ascii="宋体" w:hAnsi="宋体"/>
          <w:bCs/>
          <w:sz w:val="24"/>
        </w:rPr>
      </w:pPr>
      <w:r w:rsidRPr="00F00B77">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90A38F" w14:textId="77777777" w:rsidR="00084DB4" w:rsidRPr="00F00B77" w:rsidRDefault="00084DB4">
      <w:pPr>
        <w:adjustRightInd w:val="0"/>
        <w:snapToGrid w:val="0"/>
        <w:spacing w:line="360" w:lineRule="auto"/>
        <w:ind w:firstLineChars="200" w:firstLine="480"/>
        <w:rPr>
          <w:rFonts w:ascii="宋体" w:hAnsi="宋体"/>
          <w:bCs/>
          <w:sz w:val="24"/>
        </w:rPr>
      </w:pPr>
    </w:p>
    <w:p w14:paraId="0EDFA2FB"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sz w:val="24"/>
        </w:rPr>
        <w:br w:type="page"/>
      </w:r>
      <w:bookmarkStart w:id="37" w:name="_Toc491431672"/>
      <w:r w:rsidRPr="00F00B77">
        <w:rPr>
          <w:rFonts w:ascii="宋体" w:hAnsi="宋体" w:hint="eastAsia"/>
          <w:b/>
          <w:kern w:val="0"/>
          <w:sz w:val="30"/>
        </w:rPr>
        <w:t>九、基金的投资</w:t>
      </w:r>
      <w:bookmarkEnd w:id="37"/>
    </w:p>
    <w:p w14:paraId="347C3EBE"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（一）</w:t>
      </w:r>
      <w:r w:rsidRPr="00F00B77">
        <w:rPr>
          <w:b/>
          <w:bCs/>
          <w:sz w:val="24"/>
        </w:rPr>
        <w:t>投资目标</w:t>
      </w:r>
    </w:p>
    <w:p w14:paraId="1D7FC469" w14:textId="77777777" w:rsidR="00084DB4" w:rsidRPr="00F00B77" w:rsidRDefault="00084DB4">
      <w:pPr>
        <w:adjustRightInd w:val="0"/>
        <w:snapToGrid w:val="0"/>
        <w:spacing w:line="360" w:lineRule="auto"/>
        <w:rPr>
          <w:bCs/>
          <w:sz w:val="24"/>
        </w:rPr>
      </w:pPr>
      <w:r w:rsidRPr="00F00B77">
        <w:rPr>
          <w:bCs/>
          <w:sz w:val="24"/>
        </w:rPr>
        <w:t xml:space="preserve">    </w:t>
      </w:r>
      <w:r w:rsidRPr="00F00B77">
        <w:rPr>
          <w:rFonts w:hint="eastAsia"/>
          <w:bCs/>
          <w:sz w:val="24"/>
        </w:rPr>
        <w:t>在力求本金安全性和资产充分流动性的前提下，追求超过业绩比较基准的投资收益。</w:t>
      </w:r>
    </w:p>
    <w:p w14:paraId="499EAB43"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（二）</w:t>
      </w:r>
      <w:r w:rsidRPr="00F00B77">
        <w:rPr>
          <w:b/>
          <w:bCs/>
          <w:sz w:val="24"/>
        </w:rPr>
        <w:t>投资范围</w:t>
      </w:r>
    </w:p>
    <w:p w14:paraId="671D0F3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本基金的投资范围为具有良好流动性的金融工具，包括现金，期限在</w:t>
      </w:r>
      <w:r w:rsidRPr="00F00B77">
        <w:rPr>
          <w:rFonts w:hint="eastAsia"/>
          <w:bCs/>
          <w:sz w:val="24"/>
        </w:rPr>
        <w:t>1</w:t>
      </w:r>
      <w:r w:rsidRPr="00F00B77">
        <w:rPr>
          <w:rFonts w:hint="eastAsia"/>
          <w:bCs/>
          <w:sz w:val="24"/>
        </w:rPr>
        <w:t>年以内（含</w:t>
      </w:r>
      <w:r w:rsidRPr="00F00B77">
        <w:rPr>
          <w:rFonts w:hint="eastAsia"/>
          <w:bCs/>
          <w:sz w:val="24"/>
        </w:rPr>
        <w:t>1</w:t>
      </w:r>
      <w:r w:rsidRPr="00F00B77">
        <w:rPr>
          <w:rFonts w:hint="eastAsia"/>
          <w:bCs/>
          <w:sz w:val="24"/>
        </w:rPr>
        <w:t>年）的银行存款、债券回购、中央银行票据、同业存单，剩余期限在</w:t>
      </w:r>
      <w:r w:rsidRPr="00F00B77">
        <w:rPr>
          <w:rFonts w:hint="eastAsia"/>
          <w:bCs/>
          <w:sz w:val="24"/>
        </w:rPr>
        <w:t>397</w:t>
      </w:r>
      <w:r w:rsidRPr="00F00B77">
        <w:rPr>
          <w:rFonts w:hint="eastAsia"/>
          <w:bCs/>
          <w:sz w:val="24"/>
        </w:rPr>
        <w:t>天以内（含</w:t>
      </w:r>
      <w:r w:rsidRPr="00F00B77">
        <w:rPr>
          <w:rFonts w:hint="eastAsia"/>
          <w:bCs/>
          <w:sz w:val="24"/>
        </w:rPr>
        <w:t>397</w:t>
      </w:r>
      <w:r w:rsidRPr="00F00B77">
        <w:rPr>
          <w:rFonts w:hint="eastAsia"/>
          <w:bCs/>
          <w:sz w:val="24"/>
        </w:rPr>
        <w:t>天）的债券、非金融企业债务融资工具、资产支持证券，中国证监会、中国人民银行认可的其他具有良好流动性的货币市场工具。</w:t>
      </w:r>
    </w:p>
    <w:p w14:paraId="60DE988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568F9A63"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三</w:t>
      </w:r>
      <w:r w:rsidRPr="00F00B77">
        <w:rPr>
          <w:rFonts w:hint="eastAsia"/>
          <w:b/>
          <w:bCs/>
          <w:sz w:val="24"/>
        </w:rPr>
        <w:t>）</w:t>
      </w:r>
      <w:r w:rsidRPr="00F00B77">
        <w:rPr>
          <w:b/>
          <w:bCs/>
          <w:sz w:val="24"/>
        </w:rPr>
        <w:t>投资策略</w:t>
      </w:r>
    </w:p>
    <w:p w14:paraId="5E22AC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7332DBA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、短期利率水平预期策略</w:t>
      </w:r>
    </w:p>
    <w:p w14:paraId="0121C28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深入分析国家货币政策、短期资金市场利率波动、资本市场资金面的情况和流动性的变化，对短期利率走势形成合理预期，并据此调整基金货币资产的配置策略。</w:t>
      </w:r>
    </w:p>
    <w:p w14:paraId="073090A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、收益率曲线分析策略</w:t>
      </w:r>
    </w:p>
    <w:p w14:paraId="6D2B42A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FA98F33" w14:textId="77777777" w:rsidR="00084DB4" w:rsidRPr="00F00B77" w:rsidRDefault="00084DB4">
      <w:pPr>
        <w:adjustRightInd w:val="0"/>
        <w:snapToGrid w:val="0"/>
        <w:spacing w:line="360" w:lineRule="auto"/>
        <w:ind w:firstLineChars="200" w:firstLine="480"/>
        <w:rPr>
          <w:rFonts w:ascii="宋体" w:cs="宋体"/>
          <w:kern w:val="0"/>
          <w:sz w:val="24"/>
          <w:szCs w:val="24"/>
        </w:rPr>
      </w:pPr>
      <w:r w:rsidRPr="00F00B77">
        <w:rPr>
          <w:rFonts w:ascii="宋体" w:cs="宋体"/>
          <w:kern w:val="0"/>
          <w:sz w:val="24"/>
          <w:szCs w:val="24"/>
        </w:rPr>
        <w:t>3</w:t>
      </w:r>
      <w:r w:rsidRPr="00F00B77">
        <w:rPr>
          <w:rFonts w:ascii="宋体" w:cs="宋体" w:hint="eastAsia"/>
          <w:kern w:val="0"/>
          <w:sz w:val="24"/>
          <w:szCs w:val="24"/>
        </w:rPr>
        <w:t>、组合剩余期限策略、期限配置策略</w:t>
      </w:r>
    </w:p>
    <w:p w14:paraId="16E7572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4406E21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、类别品种配置策略</w:t>
      </w:r>
    </w:p>
    <w:p w14:paraId="571C2FF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6F683B7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、流动性管理策略</w:t>
      </w:r>
    </w:p>
    <w:p w14:paraId="0CBE3B4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8F577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、无风险套利策略</w:t>
      </w:r>
    </w:p>
    <w:p w14:paraId="7C03A43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无风险套利策略包括：</w:t>
      </w:r>
    </w:p>
    <w:p w14:paraId="32C07AE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1D38839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跨品种套利策略：根据各细分市场中不同品种的风险参数、流动性补偿和收益特征，动态调整不同期限结构品种的配置比例。</w:t>
      </w:r>
    </w:p>
    <w:p w14:paraId="1C1CA86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、滚动配置策略</w:t>
      </w:r>
    </w:p>
    <w:p w14:paraId="127601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根据具体投资品种的市场特性，采用持续滚动投资的方法，以提高基金资产的整体持续的变现能力。</w:t>
      </w:r>
    </w:p>
    <w:p w14:paraId="5412B34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、其他金融工具投资策略</w:t>
      </w:r>
    </w:p>
    <w:p w14:paraId="6C73773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24B05D95"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四</w:t>
      </w:r>
      <w:r w:rsidRPr="00F00B77">
        <w:rPr>
          <w:rFonts w:hint="eastAsia"/>
          <w:b/>
          <w:bCs/>
          <w:sz w:val="24"/>
        </w:rPr>
        <w:t>）</w:t>
      </w:r>
      <w:r w:rsidRPr="00F00B77">
        <w:rPr>
          <w:b/>
          <w:bCs/>
          <w:sz w:val="24"/>
        </w:rPr>
        <w:t>投资限制</w:t>
      </w:r>
    </w:p>
    <w:p w14:paraId="1D02DB6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、本基金不得投资于以下金融工具：</w:t>
      </w:r>
    </w:p>
    <w:p w14:paraId="11A7895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）股票；</w:t>
      </w:r>
    </w:p>
    <w:p w14:paraId="634D55D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）可转换债券、可交换债券；</w:t>
      </w:r>
    </w:p>
    <w:p w14:paraId="28E283D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）以定期存款利率为基准利率的浮动利率债券，已进入最后一个利率调整期的除外；</w:t>
      </w:r>
    </w:p>
    <w:p w14:paraId="14E81F6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）信用等级在</w:t>
      </w:r>
      <w:r w:rsidRPr="00F00B77">
        <w:rPr>
          <w:rFonts w:hint="eastAsia"/>
          <w:bCs/>
          <w:sz w:val="24"/>
        </w:rPr>
        <w:t>AA+</w:t>
      </w:r>
      <w:r w:rsidRPr="00F00B77">
        <w:rPr>
          <w:rFonts w:hint="eastAsia"/>
          <w:bCs/>
          <w:sz w:val="24"/>
        </w:rPr>
        <w:t>以下的债券与非金融企业债务融资工具；</w:t>
      </w:r>
    </w:p>
    <w:p w14:paraId="28088B0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）中国证监会、中国人民银行禁止投资的其他金融工具。</w:t>
      </w:r>
    </w:p>
    <w:p w14:paraId="6ACA6D9F" w14:textId="77777777" w:rsidR="00084DB4" w:rsidRPr="00F00B77" w:rsidRDefault="00084DB4">
      <w:pPr>
        <w:adjustRightInd w:val="0"/>
        <w:snapToGrid w:val="0"/>
        <w:spacing w:line="360" w:lineRule="auto"/>
        <w:ind w:firstLineChars="200" w:firstLine="480"/>
        <w:rPr>
          <w:bCs/>
          <w:sz w:val="24"/>
        </w:rPr>
      </w:pPr>
      <w:r w:rsidRPr="00F00B77">
        <w:rPr>
          <w:bCs/>
          <w:sz w:val="24"/>
        </w:rPr>
        <w:t>法律法规或监管部门取消上述限制，如适用于本基金，基金管理人</w:t>
      </w:r>
      <w:r w:rsidRPr="00F00B77">
        <w:rPr>
          <w:rFonts w:hint="eastAsia"/>
          <w:bCs/>
          <w:sz w:val="24"/>
        </w:rPr>
        <w:t>在</w:t>
      </w:r>
      <w:r w:rsidRPr="00F00B77">
        <w:rPr>
          <w:bCs/>
          <w:sz w:val="24"/>
        </w:rPr>
        <w:t>履行适当程序后，则本基金投资</w:t>
      </w:r>
      <w:r w:rsidRPr="00F00B77">
        <w:rPr>
          <w:rFonts w:hint="eastAsia"/>
          <w:bCs/>
          <w:sz w:val="24"/>
        </w:rPr>
        <w:t>不再受相关限制。</w:t>
      </w:r>
    </w:p>
    <w:p w14:paraId="72DC64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、组合限制</w:t>
      </w:r>
    </w:p>
    <w:p w14:paraId="0BF700C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基金的投资组合应遵循以下限制：</w:t>
      </w:r>
    </w:p>
    <w:p w14:paraId="1DE63C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）本基金投资组合的平均剩余期限在每个交易日均不得超过</w:t>
      </w:r>
      <w:r w:rsidRPr="00F00B77">
        <w:rPr>
          <w:rFonts w:hint="eastAsia"/>
          <w:bCs/>
          <w:sz w:val="24"/>
        </w:rPr>
        <w:t>120</w:t>
      </w:r>
      <w:r w:rsidRPr="00F00B77">
        <w:rPr>
          <w:rFonts w:hint="eastAsia"/>
          <w:bCs/>
          <w:sz w:val="24"/>
        </w:rPr>
        <w:t>天，平均剩余存续期在每个交易日均不得超过</w:t>
      </w:r>
      <w:r w:rsidRPr="00F00B77">
        <w:rPr>
          <w:rFonts w:hint="eastAsia"/>
          <w:bCs/>
          <w:sz w:val="24"/>
        </w:rPr>
        <w:t>240</w:t>
      </w:r>
      <w:r w:rsidRPr="00F00B77">
        <w:rPr>
          <w:rFonts w:hint="eastAsia"/>
          <w:bCs/>
          <w:sz w:val="24"/>
        </w:rPr>
        <w:t>天；</w:t>
      </w:r>
    </w:p>
    <w:p w14:paraId="24BAEC2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）本基金投资于现金、国债、中央银行票据、政策性金融债券占基金资产净值的比例合计不得低于</w:t>
      </w:r>
      <w:r w:rsidRPr="00F00B77">
        <w:rPr>
          <w:rFonts w:hint="eastAsia"/>
          <w:bCs/>
          <w:sz w:val="24"/>
        </w:rPr>
        <w:t>5%</w:t>
      </w:r>
      <w:r w:rsidRPr="00F00B77">
        <w:rPr>
          <w:rFonts w:hint="eastAsia"/>
          <w:bCs/>
          <w:sz w:val="24"/>
        </w:rPr>
        <w:t>；</w:t>
      </w:r>
    </w:p>
    <w:p w14:paraId="3202F25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）本基金投资于现金、国债、中央银行票据、政策性金融债券以及五个交易日内到期的其他金融工具占基金资产净值的比例合计不得低于</w:t>
      </w:r>
      <w:r w:rsidRPr="00F00B77">
        <w:rPr>
          <w:rFonts w:hint="eastAsia"/>
          <w:bCs/>
          <w:sz w:val="24"/>
        </w:rPr>
        <w:t>10%</w:t>
      </w:r>
      <w:r w:rsidRPr="00F00B77">
        <w:rPr>
          <w:rFonts w:hint="eastAsia"/>
          <w:bCs/>
          <w:sz w:val="24"/>
        </w:rPr>
        <w:t>；</w:t>
      </w:r>
    </w:p>
    <w:p w14:paraId="3617700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）本基金投资于到期日在</w:t>
      </w:r>
      <w:r w:rsidRPr="00F00B77">
        <w:rPr>
          <w:rFonts w:hint="eastAsia"/>
          <w:bCs/>
          <w:sz w:val="24"/>
        </w:rPr>
        <w:t xml:space="preserve">10 </w:t>
      </w:r>
      <w:r w:rsidRPr="00F00B77">
        <w:rPr>
          <w:rFonts w:hint="eastAsia"/>
          <w:bCs/>
          <w:sz w:val="24"/>
        </w:rPr>
        <w:t>个交易日以上的逆回购、银行定期存款等流动性受限资产投资占基金资产净值的比例合计不得超过</w:t>
      </w:r>
      <w:r w:rsidRPr="00F00B77">
        <w:rPr>
          <w:rFonts w:hint="eastAsia"/>
          <w:bCs/>
          <w:sz w:val="24"/>
        </w:rPr>
        <w:t>30%</w:t>
      </w:r>
      <w:r w:rsidRPr="00F00B77">
        <w:rPr>
          <w:rFonts w:hint="eastAsia"/>
          <w:bCs/>
          <w:sz w:val="24"/>
        </w:rPr>
        <w:t>；</w:t>
      </w:r>
    </w:p>
    <w:p w14:paraId="3C30E15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）除发生巨额赎回、连续</w:t>
      </w:r>
      <w:r w:rsidRPr="00F00B77">
        <w:rPr>
          <w:rFonts w:hint="eastAsia"/>
          <w:bCs/>
          <w:sz w:val="24"/>
        </w:rPr>
        <w:t xml:space="preserve">3 </w:t>
      </w:r>
      <w:r w:rsidRPr="00F00B77">
        <w:rPr>
          <w:rFonts w:hint="eastAsia"/>
          <w:bCs/>
          <w:sz w:val="24"/>
        </w:rPr>
        <w:t>个交易日累计赎回</w:t>
      </w:r>
      <w:r w:rsidRPr="00F00B77">
        <w:rPr>
          <w:rFonts w:hint="eastAsia"/>
          <w:bCs/>
          <w:sz w:val="24"/>
        </w:rPr>
        <w:t>20%</w:t>
      </w:r>
      <w:r w:rsidRPr="00F00B77">
        <w:rPr>
          <w:rFonts w:hint="eastAsia"/>
          <w:bCs/>
          <w:sz w:val="24"/>
        </w:rPr>
        <w:t>以上或者连续</w:t>
      </w:r>
      <w:r w:rsidRPr="00F00B77">
        <w:rPr>
          <w:rFonts w:hint="eastAsia"/>
          <w:bCs/>
          <w:sz w:val="24"/>
        </w:rPr>
        <w:t xml:space="preserve">5 </w:t>
      </w:r>
      <w:r w:rsidRPr="00F00B77">
        <w:rPr>
          <w:rFonts w:hint="eastAsia"/>
          <w:bCs/>
          <w:sz w:val="24"/>
        </w:rPr>
        <w:t>个交易日累计赎回</w:t>
      </w:r>
      <w:r w:rsidRPr="00F00B77">
        <w:rPr>
          <w:rFonts w:hint="eastAsia"/>
          <w:bCs/>
          <w:sz w:val="24"/>
        </w:rPr>
        <w:t>30%</w:t>
      </w:r>
      <w:r w:rsidRPr="00F00B77">
        <w:rPr>
          <w:rFonts w:hint="eastAsia"/>
          <w:bCs/>
          <w:sz w:val="24"/>
        </w:rPr>
        <w:t>以上的情形外，本基金债券正回购的资金余额占基金资产净值的比例不得超过</w:t>
      </w:r>
      <w:r w:rsidRPr="00F00B77">
        <w:rPr>
          <w:rFonts w:hint="eastAsia"/>
          <w:bCs/>
          <w:sz w:val="24"/>
        </w:rPr>
        <w:t>20%</w:t>
      </w:r>
      <w:r w:rsidRPr="00F00B77">
        <w:rPr>
          <w:rFonts w:hint="eastAsia"/>
          <w:bCs/>
          <w:sz w:val="24"/>
        </w:rPr>
        <w:t>；</w:t>
      </w:r>
    </w:p>
    <w:p w14:paraId="3A4237B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6</w:t>
      </w:r>
      <w:r w:rsidRPr="00F00B77">
        <w:rPr>
          <w:rFonts w:hint="eastAsia"/>
          <w:bCs/>
          <w:sz w:val="24"/>
        </w:rPr>
        <w:t>）本基金投资于同一机构发行的债券、非金融企业债务融资工具及其作为原始权益人的资产支持证券占基金资产净值的比例合计不得超过</w:t>
      </w:r>
      <w:r w:rsidRPr="00F00B77">
        <w:rPr>
          <w:rFonts w:hint="eastAsia"/>
          <w:bCs/>
          <w:sz w:val="24"/>
        </w:rPr>
        <w:t>10%</w:t>
      </w:r>
      <w:r w:rsidRPr="00F00B77">
        <w:rPr>
          <w:rFonts w:hint="eastAsia"/>
          <w:bCs/>
          <w:sz w:val="24"/>
        </w:rPr>
        <w:t>，国债、中央银行票据、政策性金融债券除外；</w:t>
      </w:r>
    </w:p>
    <w:p w14:paraId="1960A1F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7</w:t>
      </w:r>
      <w:r w:rsidRPr="00F00B77">
        <w:rPr>
          <w:rFonts w:hint="eastAsia"/>
          <w:bCs/>
          <w:sz w:val="24"/>
        </w:rPr>
        <w:t>）本基金管理人管理的全部基金持有一家公司发行的证券，不超过该证券的</w:t>
      </w:r>
      <w:r w:rsidRPr="00F00B77">
        <w:rPr>
          <w:rFonts w:hint="eastAsia"/>
          <w:bCs/>
          <w:sz w:val="24"/>
        </w:rPr>
        <w:t>10%</w:t>
      </w:r>
      <w:r w:rsidRPr="00F00B77">
        <w:rPr>
          <w:rFonts w:hint="eastAsia"/>
          <w:bCs/>
          <w:sz w:val="24"/>
        </w:rPr>
        <w:t>；</w:t>
      </w:r>
    </w:p>
    <w:p w14:paraId="2B32D1A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8</w:t>
      </w:r>
      <w:r w:rsidRPr="00F00B77">
        <w:rPr>
          <w:rFonts w:hint="eastAsia"/>
          <w:bCs/>
          <w:sz w:val="24"/>
        </w:rPr>
        <w:t>）本基金投资于有固定期限银行存款的比例，不得超过基金资产净值的</w:t>
      </w:r>
      <w:r w:rsidRPr="00F00B77">
        <w:rPr>
          <w:rFonts w:hint="eastAsia"/>
          <w:bCs/>
          <w:sz w:val="24"/>
        </w:rPr>
        <w:t>30%</w:t>
      </w:r>
      <w:r w:rsidRPr="00F00B77">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F00B77">
        <w:rPr>
          <w:rFonts w:hint="eastAsia"/>
          <w:bCs/>
          <w:sz w:val="24"/>
        </w:rPr>
        <w:t>20%</w:t>
      </w:r>
      <w:r w:rsidRPr="00F00B77">
        <w:rPr>
          <w:rFonts w:hint="eastAsia"/>
          <w:bCs/>
          <w:sz w:val="24"/>
        </w:rPr>
        <w:t>，投资于不具有基金托管人资格的同一商业银行的银行存款、同业存单占基金资产净值的比例合计不得超过</w:t>
      </w:r>
      <w:r w:rsidRPr="00F00B77">
        <w:rPr>
          <w:rFonts w:hint="eastAsia"/>
          <w:bCs/>
          <w:sz w:val="24"/>
        </w:rPr>
        <w:t>5%</w:t>
      </w:r>
      <w:r w:rsidRPr="00F00B77">
        <w:rPr>
          <w:rFonts w:hint="eastAsia"/>
          <w:bCs/>
          <w:sz w:val="24"/>
        </w:rPr>
        <w:t>；</w:t>
      </w:r>
    </w:p>
    <w:p w14:paraId="57A0F73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9</w:t>
      </w:r>
      <w:r w:rsidRPr="00F00B77">
        <w:rPr>
          <w:rFonts w:hint="eastAsia"/>
          <w:bCs/>
          <w:sz w:val="24"/>
        </w:rPr>
        <w:t>）本基金持有的全部资产支持证券，其市值不得超过基金资产净值的</w:t>
      </w:r>
      <w:r w:rsidRPr="00F00B77">
        <w:rPr>
          <w:rFonts w:hint="eastAsia"/>
          <w:bCs/>
          <w:sz w:val="24"/>
        </w:rPr>
        <w:t>20%</w:t>
      </w:r>
      <w:r w:rsidRPr="00F00B77">
        <w:rPr>
          <w:rFonts w:hint="eastAsia"/>
          <w:bCs/>
          <w:sz w:val="24"/>
        </w:rPr>
        <w:t>，中国证监会规定的特殊品种除外；本基金持有的同一（指同一信用级别）资产支持证券的比例，不得超过该资产支持证券规模的</w:t>
      </w:r>
      <w:r w:rsidRPr="00F00B77">
        <w:rPr>
          <w:rFonts w:hint="eastAsia"/>
          <w:bCs/>
          <w:sz w:val="24"/>
        </w:rPr>
        <w:t>10%</w:t>
      </w:r>
      <w:r w:rsidRPr="00F00B77">
        <w:rPr>
          <w:rFonts w:hint="eastAsia"/>
          <w:bCs/>
          <w:sz w:val="24"/>
        </w:rPr>
        <w:t>；本基金管理人管理的全部基金投资于同一原始权益人的各类资产支持证券，不得超过其各类资产支持证券合计规模的</w:t>
      </w:r>
      <w:r w:rsidRPr="00F00B77">
        <w:rPr>
          <w:rFonts w:hint="eastAsia"/>
          <w:bCs/>
          <w:sz w:val="24"/>
        </w:rPr>
        <w:t>10%</w:t>
      </w:r>
      <w:r w:rsidRPr="00F00B77">
        <w:rPr>
          <w:rFonts w:hint="eastAsia"/>
          <w:bCs/>
          <w:sz w:val="24"/>
        </w:rPr>
        <w:t>；本基金应投资于具有评级资质的资信评级机构进行持续信用评级，且信用评级不低于国内信用评级机构评定的</w:t>
      </w:r>
      <w:r w:rsidRPr="00F00B77">
        <w:rPr>
          <w:rFonts w:hint="eastAsia"/>
          <w:bCs/>
          <w:sz w:val="24"/>
        </w:rPr>
        <w:t>AAA</w:t>
      </w:r>
      <w:r w:rsidRPr="00F00B77">
        <w:rPr>
          <w:rFonts w:hint="eastAsia"/>
          <w:bCs/>
          <w:sz w:val="24"/>
        </w:rPr>
        <w:t>级或相当于</w:t>
      </w:r>
      <w:r w:rsidRPr="00F00B77">
        <w:rPr>
          <w:rFonts w:hint="eastAsia"/>
          <w:bCs/>
          <w:sz w:val="24"/>
        </w:rPr>
        <w:t>AAA</w:t>
      </w:r>
      <w:r w:rsidRPr="00F00B77">
        <w:rPr>
          <w:rFonts w:hint="eastAsia"/>
          <w:bCs/>
          <w:sz w:val="24"/>
        </w:rPr>
        <w:t>级的信用级别的资产支持证券。基金持有资产支持证券期间，如果其信用等级下降、不再符合投资标准，应在评级报告发布之日起</w:t>
      </w:r>
      <w:r w:rsidRPr="00F00B77">
        <w:rPr>
          <w:rFonts w:hint="eastAsia"/>
          <w:bCs/>
          <w:sz w:val="24"/>
        </w:rPr>
        <w:t xml:space="preserve">3 </w:t>
      </w:r>
      <w:r w:rsidRPr="00F00B77">
        <w:rPr>
          <w:rFonts w:hint="eastAsia"/>
          <w:bCs/>
          <w:sz w:val="24"/>
        </w:rPr>
        <w:t>个月内予以全部卖出；</w:t>
      </w:r>
    </w:p>
    <w:p w14:paraId="5538B7C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10</w:t>
      </w:r>
      <w:r w:rsidRPr="00F00B77">
        <w:rPr>
          <w:rFonts w:hint="eastAsia"/>
          <w:bCs/>
          <w:sz w:val="24"/>
        </w:rPr>
        <w:t>）本基金在全国银行间同业市场的债券回购最长期限为</w:t>
      </w:r>
      <w:r w:rsidRPr="00F00B77">
        <w:rPr>
          <w:rFonts w:hint="eastAsia"/>
          <w:bCs/>
          <w:sz w:val="24"/>
        </w:rPr>
        <w:t>1</w:t>
      </w:r>
      <w:r w:rsidRPr="00F00B77">
        <w:rPr>
          <w:rFonts w:hint="eastAsia"/>
          <w:bCs/>
          <w:sz w:val="24"/>
        </w:rPr>
        <w:t>年，债券回购到期后不得展期；</w:t>
      </w:r>
    </w:p>
    <w:p w14:paraId="7BEEE2A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11</w:t>
      </w:r>
      <w:r w:rsidRPr="00F00B77">
        <w:rPr>
          <w:rFonts w:hint="eastAsia"/>
          <w:bCs/>
          <w:sz w:val="24"/>
        </w:rPr>
        <w:t>）本基金的基金资产总值不得超过基金资产净值的</w:t>
      </w:r>
      <w:r w:rsidRPr="00F00B77">
        <w:rPr>
          <w:rFonts w:hint="eastAsia"/>
          <w:bCs/>
          <w:sz w:val="24"/>
        </w:rPr>
        <w:t>140%</w:t>
      </w:r>
      <w:r w:rsidRPr="00F00B77">
        <w:rPr>
          <w:rFonts w:hint="eastAsia"/>
          <w:bCs/>
          <w:sz w:val="24"/>
        </w:rPr>
        <w:t>；</w:t>
      </w:r>
    </w:p>
    <w:p w14:paraId="1679CB3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12</w:t>
      </w:r>
      <w:r w:rsidRPr="00F00B77">
        <w:rPr>
          <w:rFonts w:hint="eastAsia"/>
          <w:bCs/>
          <w:sz w:val="24"/>
        </w:rPr>
        <w:t>）法律法规、中国证监会及中国人民银行规定的其他比例限制。</w:t>
      </w:r>
    </w:p>
    <w:p w14:paraId="5976508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FB35F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因证券市场波动、证券发行人合并或基金规模变动等基金管理人之外的因素致使基金投资比例不符合上述规定投资比例的，基金管理人应当在</w:t>
      </w:r>
      <w:r w:rsidRPr="00F00B77">
        <w:rPr>
          <w:rFonts w:hint="eastAsia"/>
          <w:bCs/>
          <w:sz w:val="24"/>
        </w:rPr>
        <w:t>10</w:t>
      </w:r>
      <w:r w:rsidRPr="00F00B77">
        <w:rPr>
          <w:rFonts w:hint="eastAsia"/>
          <w:bCs/>
          <w:sz w:val="24"/>
        </w:rPr>
        <w:t>个交易日内进行调整，但中国证监会规定的特殊情形除外。法律法规另有规定的，从其规定。</w:t>
      </w:r>
    </w:p>
    <w:p w14:paraId="0251003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788146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基金管理人应当自基金合同生效之日起</w:t>
      </w:r>
      <w:r w:rsidRPr="00F00B77">
        <w:rPr>
          <w:rFonts w:hint="eastAsia"/>
          <w:bCs/>
          <w:sz w:val="24"/>
        </w:rPr>
        <w:t xml:space="preserve">6 </w:t>
      </w:r>
      <w:r w:rsidRPr="00F00B77">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28D6D6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F00B77">
        <w:rPr>
          <w:bCs/>
          <w:sz w:val="24"/>
        </w:rPr>
        <w:t xml:space="preserve">                                                    </w:t>
      </w:r>
    </w:p>
    <w:p w14:paraId="56AA947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w:t>
      </w:r>
      <w:r w:rsidRPr="00F00B77">
        <w:rPr>
          <w:bCs/>
          <w:sz w:val="24"/>
        </w:rPr>
        <w:t>禁止行为</w:t>
      </w:r>
    </w:p>
    <w:p w14:paraId="690F15E3" w14:textId="77777777" w:rsidR="00084DB4" w:rsidRPr="00F00B77" w:rsidRDefault="00084DB4">
      <w:pPr>
        <w:adjustRightInd w:val="0"/>
        <w:snapToGrid w:val="0"/>
        <w:spacing w:line="360" w:lineRule="auto"/>
        <w:ind w:firstLineChars="200" w:firstLine="480"/>
        <w:rPr>
          <w:bCs/>
          <w:sz w:val="24"/>
        </w:rPr>
      </w:pPr>
      <w:r w:rsidRPr="00F00B77">
        <w:rPr>
          <w:bCs/>
          <w:sz w:val="24"/>
        </w:rPr>
        <w:t>为维护基金份额持有人的合法权益，基金财产不得用于下列投资或者活动：</w:t>
      </w:r>
    </w:p>
    <w:p w14:paraId="02C7923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）承销证券；</w:t>
      </w:r>
    </w:p>
    <w:p w14:paraId="3D40046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）违反规定向他人贷款或者提供担保；</w:t>
      </w:r>
    </w:p>
    <w:p w14:paraId="5BF6539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）从事承担无限责任的投资；</w:t>
      </w:r>
    </w:p>
    <w:p w14:paraId="13F0B23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）买卖其他基金份额，但是中国证监会另有规定的除外；</w:t>
      </w:r>
    </w:p>
    <w:p w14:paraId="13F218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）向其基金管理人、基金托管人出资；</w:t>
      </w:r>
    </w:p>
    <w:p w14:paraId="49A8F11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6</w:t>
      </w:r>
      <w:r w:rsidRPr="00F00B77">
        <w:rPr>
          <w:rFonts w:hint="eastAsia"/>
          <w:bCs/>
          <w:sz w:val="24"/>
        </w:rPr>
        <w:t>）从事内幕交易、操纵证券交易价格及其他不正当的证券交易活动；</w:t>
      </w:r>
    </w:p>
    <w:p w14:paraId="71352C0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7</w:t>
      </w:r>
      <w:r w:rsidRPr="00F00B77">
        <w:rPr>
          <w:rFonts w:hint="eastAsia"/>
          <w:bCs/>
          <w:sz w:val="24"/>
        </w:rPr>
        <w:t>）法律、行政法规和中国证监会规定禁止的其他活动。</w:t>
      </w:r>
    </w:p>
    <w:p w14:paraId="1FE72FB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如法律、行政法规或监管部门取消上述禁止性规定，如适用于本基金，基金管理人在履行适当程序后，本基金可不受上述规定的限制。</w:t>
      </w:r>
    </w:p>
    <w:p w14:paraId="031E15E3"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五</w:t>
      </w:r>
      <w:r w:rsidRPr="00F00B77">
        <w:rPr>
          <w:rFonts w:hint="eastAsia"/>
          <w:b/>
          <w:bCs/>
          <w:sz w:val="24"/>
        </w:rPr>
        <w:t>）</w:t>
      </w:r>
      <w:r w:rsidRPr="00F00B77">
        <w:rPr>
          <w:b/>
          <w:bCs/>
          <w:sz w:val="24"/>
        </w:rPr>
        <w:t>业绩比较基准</w:t>
      </w:r>
    </w:p>
    <w:p w14:paraId="343A64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本基金的业绩比较基准为：活期存款利率（税后）。</w:t>
      </w:r>
      <w:r w:rsidRPr="00F00B77">
        <w:rPr>
          <w:rFonts w:hint="eastAsia"/>
          <w:bCs/>
          <w:sz w:val="24"/>
        </w:rPr>
        <w:t xml:space="preserve"> </w:t>
      </w:r>
    </w:p>
    <w:p w14:paraId="3F3BF2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F00B77">
        <w:rPr>
          <w:rFonts w:hint="eastAsia"/>
          <w:bCs/>
          <w:sz w:val="24"/>
        </w:rPr>
        <w:t xml:space="preserve"> </w:t>
      </w:r>
    </w:p>
    <w:p w14:paraId="79D92AB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B4888D9"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六</w:t>
      </w:r>
      <w:r w:rsidRPr="00F00B77">
        <w:rPr>
          <w:rFonts w:hint="eastAsia"/>
          <w:b/>
          <w:bCs/>
          <w:sz w:val="24"/>
        </w:rPr>
        <w:t>）</w:t>
      </w:r>
      <w:r w:rsidRPr="00F00B77">
        <w:rPr>
          <w:b/>
          <w:bCs/>
          <w:sz w:val="24"/>
        </w:rPr>
        <w:t>风险收益特征</w:t>
      </w:r>
    </w:p>
    <w:p w14:paraId="48B6A2B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本基金属于货币市场基金，是证券投资基金中的低风险品种，长期风险收益水平低于股票型基金、混合型基金和债券型基金。</w:t>
      </w:r>
    </w:p>
    <w:p w14:paraId="218CC43C"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（七）投资组合平均剩余期限和平均剩余存续期限的计算</w:t>
      </w:r>
    </w:p>
    <w:p w14:paraId="3050FA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、平均剩余期限（天）的计算公式如下：</w:t>
      </w:r>
    </w:p>
    <w:p w14:paraId="2DA31BA2" w14:textId="77777777" w:rsidR="00084DB4" w:rsidRPr="00F00B77" w:rsidRDefault="00084DB4">
      <w:pPr>
        <w:adjustRightInd w:val="0"/>
        <w:snapToGrid w:val="0"/>
        <w:spacing w:line="360" w:lineRule="auto"/>
        <w:ind w:left="420" w:firstLineChars="32" w:firstLine="80"/>
        <w:rPr>
          <w:rFonts w:ascii="宋体" w:cs="宋体"/>
          <w:kern w:val="0"/>
          <w:sz w:val="25"/>
          <w:szCs w:val="25"/>
        </w:rPr>
      </w:pPr>
      <w:r w:rsidRPr="00F00B77">
        <w:rPr>
          <w:rFonts w:ascii="宋体" w:cs="宋体"/>
          <w:kern w:val="0"/>
          <w:position w:val="-26"/>
          <w:sz w:val="25"/>
          <w:szCs w:val="25"/>
        </w:rPr>
        <w:object w:dxaOrig="11380" w:dyaOrig="700" w14:anchorId="6C504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05.6pt;height:29.4pt;mso-position-horizontal-relative:page;mso-position-vertical-relative:page" o:ole="">
            <v:imagedata r:id="rId11" o:title=""/>
          </v:shape>
          <o:OLEObject Type="Embed" ProgID="Equation.DSMT4" ShapeID="Picture 2" DrawAspect="Content" ObjectID="_1565174448" r:id="rId12"/>
        </w:object>
      </w:r>
      <w:r w:rsidRPr="00F00B77">
        <w:rPr>
          <w:rFonts w:ascii="宋体" w:cs="宋体" w:hint="eastAsia"/>
          <w:kern w:val="0"/>
          <w:sz w:val="25"/>
          <w:szCs w:val="25"/>
        </w:rPr>
        <w:t xml:space="preserve">    </w:t>
      </w:r>
    </w:p>
    <w:p w14:paraId="6567E400" w14:textId="77777777" w:rsidR="00084DB4" w:rsidRPr="00F00B77" w:rsidRDefault="00084DB4" w:rsidP="000C07FD">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、平均剩余存续期限（天）的计算公式如下：</w:t>
      </w:r>
    </w:p>
    <w:p w14:paraId="5DA2BF25" w14:textId="77777777" w:rsidR="00084DB4" w:rsidRPr="00F00B77" w:rsidRDefault="009D76CE">
      <w:pPr>
        <w:adjustRightInd w:val="0"/>
        <w:snapToGrid w:val="0"/>
        <w:spacing w:line="360" w:lineRule="auto"/>
        <w:ind w:left="420" w:firstLineChars="32" w:firstLine="77"/>
        <w:rPr>
          <w:bCs/>
          <w:sz w:val="24"/>
        </w:rPr>
      </w:pPr>
      <w:r>
        <w:rPr>
          <w:noProof/>
          <w:sz w:val="24"/>
        </w:rPr>
        <w:drawing>
          <wp:inline distT="0" distB="0" distL="0" distR="0" wp14:anchorId="5E4A3A94" wp14:editId="60B63720">
            <wp:extent cx="5248275" cy="371475"/>
            <wp:effectExtent l="19050" t="0" r="9525"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3" cstate="print">
                      <a:grayscl/>
                      <a:biLevel thresh="50000"/>
                    </a:blip>
                    <a:srcRect/>
                    <a:stretch>
                      <a:fillRect/>
                    </a:stretch>
                  </pic:blipFill>
                  <pic:spPr bwMode="auto">
                    <a:xfrm>
                      <a:off x="0" y="0"/>
                      <a:ext cx="5248275" cy="371475"/>
                    </a:xfrm>
                    <a:prstGeom prst="rect">
                      <a:avLst/>
                    </a:prstGeom>
                    <a:noFill/>
                    <a:ln w="9525">
                      <a:noFill/>
                      <a:miter lim="800000"/>
                      <a:headEnd/>
                      <a:tailEnd/>
                    </a:ln>
                  </pic:spPr>
                </pic:pic>
              </a:graphicData>
            </a:graphic>
          </wp:inline>
        </w:drawing>
      </w:r>
    </w:p>
    <w:p w14:paraId="478BE4E7" w14:textId="77777777" w:rsidR="00084DB4" w:rsidRPr="00F00B77" w:rsidRDefault="00084DB4">
      <w:pPr>
        <w:adjustRightInd w:val="0"/>
        <w:snapToGrid w:val="0"/>
        <w:spacing w:line="360" w:lineRule="auto"/>
        <w:ind w:left="420" w:firstLineChars="32" w:firstLine="77"/>
        <w:rPr>
          <w:bCs/>
          <w:sz w:val="24"/>
        </w:rPr>
      </w:pPr>
      <w:r w:rsidRPr="00F00B77">
        <w:rPr>
          <w:rFonts w:hint="eastAsia"/>
          <w:bCs/>
          <w:sz w:val="24"/>
        </w:rPr>
        <w:t>其中：</w:t>
      </w:r>
    </w:p>
    <w:p w14:paraId="5CD9526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183BF7A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投资于金融工具产生的负债包括正回购、买断式回购产生的待返售债券等。</w:t>
      </w:r>
    </w:p>
    <w:p w14:paraId="4F9812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、各类资产和负债剩余期限、剩余存续期限的确定</w:t>
      </w:r>
    </w:p>
    <w:p w14:paraId="1809287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）银行活期存款、清算备付金、交易保证金的剩余期限和剩余存续期限为</w:t>
      </w:r>
      <w:r w:rsidRPr="00F00B77">
        <w:rPr>
          <w:rFonts w:hint="eastAsia"/>
          <w:bCs/>
          <w:sz w:val="24"/>
        </w:rPr>
        <w:t>0</w:t>
      </w:r>
      <w:r w:rsidRPr="00F00B77">
        <w:rPr>
          <w:rFonts w:hint="eastAsia"/>
          <w:bCs/>
          <w:sz w:val="24"/>
        </w:rPr>
        <w:t>天；证券清算款的剩余期限和剩余存续期限以计算日至交收日的剩余交易日天数计算；</w:t>
      </w:r>
    </w:p>
    <w:p w14:paraId="326115E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5192D24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0899DBF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）中央银行票据的剩余期限和剩余存续期限以计算日至中央银行票据到期日的实际剩余天数计算；</w:t>
      </w:r>
    </w:p>
    <w:p w14:paraId="1197607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）组合中债券的剩余期限和剩余存续期限是指计算日至债券到期日为止所剩余的天数，以下情况除外：</w:t>
      </w:r>
    </w:p>
    <w:p w14:paraId="775CFD7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允许投资的可变利率或浮动利率债券的剩余期限以计算日至下一个利率调整日的实际剩余天数计算。</w:t>
      </w:r>
    </w:p>
    <w:p w14:paraId="457398B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允许投资的可变利率或浮动利率债券的剩余存续期限以计算日至债券到期日的实际剩余天数计算。</w:t>
      </w:r>
    </w:p>
    <w:p w14:paraId="7EB67506"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（八）基金管理人代表基金行使债权人权利的处理原则及方法</w:t>
      </w:r>
    </w:p>
    <w:p w14:paraId="38B4718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、基金管理人按照国家有关规定代表基金独立行使债权人权利，保护基金份额持有人的利益；</w:t>
      </w:r>
    </w:p>
    <w:p w14:paraId="7D72FAF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、有利于基金财产的安全与增值；</w:t>
      </w:r>
    </w:p>
    <w:p w14:paraId="3F12A9C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、不通过关联交易为自身、雇员、授权代理人或任何存在利害关系的第三人牟取任何不当利益。</w:t>
      </w:r>
    </w:p>
    <w:p w14:paraId="4A08EFD2" w14:textId="77777777" w:rsidR="00084DB4" w:rsidRPr="00F00B77" w:rsidRDefault="00084DB4">
      <w:pPr>
        <w:adjustRightInd w:val="0"/>
        <w:snapToGrid w:val="0"/>
        <w:spacing w:line="360" w:lineRule="auto"/>
        <w:ind w:firstLineChars="200" w:firstLine="482"/>
        <w:rPr>
          <w:b/>
          <w:sz w:val="24"/>
          <w:szCs w:val="24"/>
        </w:rPr>
      </w:pPr>
      <w:r w:rsidRPr="00F00B77">
        <w:rPr>
          <w:rFonts w:hAnsi="宋体"/>
          <w:b/>
          <w:sz w:val="24"/>
          <w:szCs w:val="24"/>
        </w:rPr>
        <w:t>（</w:t>
      </w:r>
      <w:r w:rsidRPr="00F00B77">
        <w:rPr>
          <w:rFonts w:hAnsi="宋体" w:hint="eastAsia"/>
          <w:b/>
          <w:sz w:val="24"/>
          <w:szCs w:val="24"/>
        </w:rPr>
        <w:t>十</w:t>
      </w:r>
      <w:r w:rsidRPr="00F00B77">
        <w:rPr>
          <w:rFonts w:hAnsi="宋体"/>
          <w:b/>
          <w:sz w:val="24"/>
          <w:szCs w:val="24"/>
        </w:rPr>
        <w:t>）投资决策依据和投资流程</w:t>
      </w:r>
    </w:p>
    <w:p w14:paraId="53E516AB"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1</w:t>
      </w:r>
      <w:r w:rsidRPr="00F00B77">
        <w:rPr>
          <w:rFonts w:hAnsi="宋体"/>
          <w:sz w:val="24"/>
          <w:szCs w:val="24"/>
        </w:rPr>
        <w:t>、投资决策依据</w:t>
      </w:r>
    </w:p>
    <w:p w14:paraId="16A36D9F"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1</w:t>
      </w:r>
      <w:r w:rsidRPr="00F00B77">
        <w:rPr>
          <w:rFonts w:hAnsi="宋体"/>
          <w:sz w:val="24"/>
          <w:szCs w:val="24"/>
        </w:rPr>
        <w:t>）国家有关法律法规和基金合同的有关规定；</w:t>
      </w:r>
    </w:p>
    <w:p w14:paraId="16B13BE4"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2</w:t>
      </w:r>
      <w:r w:rsidRPr="00F00B77">
        <w:rPr>
          <w:rFonts w:hAnsi="宋体"/>
          <w:sz w:val="24"/>
          <w:szCs w:val="24"/>
        </w:rPr>
        <w:t>）公司投资及风险控制政策；</w:t>
      </w:r>
    </w:p>
    <w:p w14:paraId="2853461D"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3</w:t>
      </w:r>
      <w:r w:rsidRPr="00F00B77">
        <w:rPr>
          <w:rFonts w:hAnsi="宋体"/>
          <w:sz w:val="24"/>
          <w:szCs w:val="24"/>
        </w:rPr>
        <w:t>）宏观经济发展态势、证券市场运行环境和走势，以及</w:t>
      </w:r>
      <w:r w:rsidRPr="00F00B77">
        <w:rPr>
          <w:rFonts w:hAnsi="宋体" w:hint="eastAsia"/>
          <w:sz w:val="24"/>
          <w:szCs w:val="24"/>
        </w:rPr>
        <w:t>发行主体</w:t>
      </w:r>
      <w:r w:rsidRPr="00F00B77">
        <w:rPr>
          <w:rFonts w:hAnsi="宋体"/>
          <w:sz w:val="24"/>
          <w:szCs w:val="24"/>
        </w:rPr>
        <w:t>的基本面；</w:t>
      </w:r>
    </w:p>
    <w:p w14:paraId="1DB5876D"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4</w:t>
      </w:r>
      <w:r w:rsidRPr="00F00B77">
        <w:rPr>
          <w:rFonts w:hAnsi="宋体"/>
          <w:sz w:val="24"/>
          <w:szCs w:val="24"/>
        </w:rPr>
        <w:t>）投资对象的预期收益和预期风险的匹配关系，本基金将在承担适度风险的范围内，选择收益风险配比最佳的品种进行投资。</w:t>
      </w:r>
    </w:p>
    <w:p w14:paraId="58191F9C"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2</w:t>
      </w:r>
      <w:r w:rsidRPr="00F00B77">
        <w:rPr>
          <w:rFonts w:hAnsi="宋体"/>
          <w:sz w:val="24"/>
          <w:szCs w:val="24"/>
        </w:rPr>
        <w:t>、投资决策机制</w:t>
      </w:r>
    </w:p>
    <w:p w14:paraId="56DE9AA8"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4E009F4"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基金经理的主要职责是在投资决策委员会确定的资产配置范围内构建和调整投资组合，并向中央交易室下达投资指令。</w:t>
      </w:r>
    </w:p>
    <w:p w14:paraId="11EAB733"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中央交易室负责交易执行和一线监控。通过严格的交易制度和实时的一线监控功能，保证基金经理的投资指令在合法、合规的前提下得到高效的执行。</w:t>
      </w:r>
    </w:p>
    <w:p w14:paraId="7482E608"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3</w:t>
      </w:r>
      <w:r w:rsidRPr="00F00B77">
        <w:rPr>
          <w:rFonts w:hAnsi="宋体"/>
          <w:sz w:val="24"/>
          <w:szCs w:val="24"/>
        </w:rPr>
        <w:t>、投资管理流程</w:t>
      </w:r>
    </w:p>
    <w:p w14:paraId="5CBFBE2F"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00B77">
        <w:rPr>
          <w:sz w:val="24"/>
          <w:szCs w:val="24"/>
        </w:rPr>
        <w:t xml:space="preserve"> </w:t>
      </w:r>
    </w:p>
    <w:p w14:paraId="42F005E3"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1</w:t>
      </w:r>
      <w:r w:rsidRPr="00F00B77">
        <w:rPr>
          <w:rFonts w:hAnsi="宋体"/>
          <w:sz w:val="24"/>
          <w:szCs w:val="24"/>
        </w:rPr>
        <w:t>）研究部宏观分析师、策略分析师、行业分析师、信用分析师、数量分析师各自独立完成相应的研究报告，为投资决策提供依据；</w:t>
      </w:r>
      <w:r w:rsidRPr="00F00B77">
        <w:rPr>
          <w:sz w:val="24"/>
          <w:szCs w:val="24"/>
        </w:rPr>
        <w:t xml:space="preserve"> </w:t>
      </w:r>
    </w:p>
    <w:p w14:paraId="0D1EB620"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2</w:t>
      </w:r>
      <w:r w:rsidRPr="00F00B77">
        <w:rPr>
          <w:rFonts w:hAnsi="宋体"/>
          <w:sz w:val="24"/>
          <w:szCs w:val="24"/>
        </w:rPr>
        <w:t>）投资决策委员会每月召开投资决策会议，对资产配置比例提出指导性意见，并讨论股票、债券的投资重点等；</w:t>
      </w:r>
    </w:p>
    <w:p w14:paraId="6E3DA93D"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3</w:t>
      </w:r>
      <w:r w:rsidRPr="00F00B77">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00B77">
        <w:rPr>
          <w:sz w:val="24"/>
          <w:szCs w:val="24"/>
        </w:rPr>
        <w:t xml:space="preserve"> </w:t>
      </w:r>
    </w:p>
    <w:p w14:paraId="4E926B2A"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4</w:t>
      </w:r>
      <w:r w:rsidRPr="00F00B77">
        <w:rPr>
          <w:rFonts w:hAnsi="宋体"/>
          <w:sz w:val="24"/>
          <w:szCs w:val="24"/>
        </w:rPr>
        <w:t>）基金经理根据基金投资组合方案，向中央交易室下达交易指令；</w:t>
      </w:r>
      <w:r w:rsidRPr="00F00B77">
        <w:rPr>
          <w:sz w:val="24"/>
          <w:szCs w:val="24"/>
        </w:rPr>
        <w:t xml:space="preserve"> </w:t>
      </w:r>
    </w:p>
    <w:p w14:paraId="62261A93"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5</w:t>
      </w:r>
      <w:r w:rsidRPr="00F00B77">
        <w:rPr>
          <w:rFonts w:hAnsi="宋体"/>
          <w:sz w:val="24"/>
          <w:szCs w:val="24"/>
        </w:rPr>
        <w:t>）交易指令通过风控系统的自动合规核查后，由中央交易室执行，中央交易室对交易情况及时反馈；</w:t>
      </w:r>
      <w:r w:rsidRPr="00F00B77">
        <w:rPr>
          <w:sz w:val="24"/>
          <w:szCs w:val="24"/>
        </w:rPr>
        <w:t xml:space="preserve"> </w:t>
      </w:r>
    </w:p>
    <w:p w14:paraId="6AD65DF4"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6</w:t>
      </w:r>
      <w:r w:rsidRPr="00F00B77">
        <w:rPr>
          <w:rFonts w:hAnsi="宋体"/>
          <w:sz w:val="24"/>
          <w:szCs w:val="24"/>
        </w:rPr>
        <w:t>）基金经理对每日交易执行情况进行回顾，并审视基金投资组合的变动情况；</w:t>
      </w:r>
    </w:p>
    <w:p w14:paraId="3CDF50B4"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7</w:t>
      </w:r>
      <w:r w:rsidRPr="00F00B77">
        <w:rPr>
          <w:rFonts w:hAnsi="宋体"/>
          <w:sz w:val="24"/>
          <w:szCs w:val="24"/>
        </w:rPr>
        <w:t>）风险管理部定期完成有关投资风险监控报告，量化投资部定期完成基金业绩评估报告。</w:t>
      </w:r>
    </w:p>
    <w:p w14:paraId="5E27D4FE"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sz w:val="24"/>
          <w:szCs w:val="24"/>
        </w:rPr>
        <w:t>投资决策委员会有权根据市场变化和实际情况的需要，对上述投资管理程序作出调整。</w:t>
      </w:r>
      <w:bookmarkStart w:id="38" w:name="_Toc109059025"/>
      <w:bookmarkStart w:id="39" w:name="_Toc109059036"/>
      <w:bookmarkStart w:id="40" w:name="_Toc109059037"/>
      <w:bookmarkStart w:id="41" w:name="_Hlt5528681"/>
      <w:bookmarkStart w:id="42" w:name="_Hlt5604240"/>
      <w:bookmarkStart w:id="43" w:name="_Hlt88281392"/>
      <w:bookmarkStart w:id="44" w:name="_Hlt81033092"/>
      <w:bookmarkStart w:id="45" w:name="_Hlt81033424"/>
      <w:bookmarkStart w:id="46" w:name="_Toc78208364"/>
      <w:bookmarkStart w:id="47" w:name="_Toc155690783"/>
      <w:bookmarkStart w:id="48" w:name="_Toc154909614"/>
      <w:bookmarkEnd w:id="34"/>
      <w:bookmarkEnd w:id="35"/>
      <w:bookmarkEnd w:id="36"/>
      <w:bookmarkEnd w:id="38"/>
      <w:bookmarkEnd w:id="39"/>
      <w:bookmarkEnd w:id="40"/>
      <w:bookmarkEnd w:id="41"/>
      <w:bookmarkEnd w:id="42"/>
      <w:bookmarkEnd w:id="43"/>
      <w:bookmarkEnd w:id="44"/>
      <w:bookmarkEnd w:id="45"/>
    </w:p>
    <w:p w14:paraId="3922F8AE" w14:textId="77777777" w:rsidR="00F313AE" w:rsidRPr="00F00B77" w:rsidRDefault="00F313AE" w:rsidP="00F313AE">
      <w:pPr>
        <w:adjustRightInd w:val="0"/>
        <w:snapToGrid w:val="0"/>
        <w:spacing w:line="360" w:lineRule="auto"/>
        <w:ind w:firstLineChars="200" w:firstLine="482"/>
        <w:rPr>
          <w:b/>
          <w:sz w:val="24"/>
          <w:szCs w:val="24"/>
        </w:rPr>
      </w:pPr>
      <w:r w:rsidRPr="00F00B77">
        <w:rPr>
          <w:rFonts w:hAnsi="宋体"/>
          <w:b/>
          <w:sz w:val="24"/>
          <w:szCs w:val="24"/>
        </w:rPr>
        <w:t>（</w:t>
      </w:r>
      <w:r w:rsidRPr="00F00B77">
        <w:rPr>
          <w:rFonts w:hAnsi="宋体" w:hint="eastAsia"/>
          <w:b/>
          <w:sz w:val="24"/>
          <w:szCs w:val="24"/>
        </w:rPr>
        <w:t>十一</w:t>
      </w:r>
      <w:r w:rsidRPr="00F00B77">
        <w:rPr>
          <w:rFonts w:hAnsi="宋体"/>
          <w:b/>
          <w:sz w:val="24"/>
          <w:szCs w:val="24"/>
        </w:rPr>
        <w:t>）</w:t>
      </w:r>
      <w:r w:rsidRPr="00F00B77">
        <w:rPr>
          <w:rFonts w:hAnsi="宋体" w:hint="eastAsia"/>
          <w:b/>
          <w:sz w:val="24"/>
          <w:szCs w:val="24"/>
        </w:rPr>
        <w:t>基金</w:t>
      </w:r>
      <w:r w:rsidRPr="00F00B77">
        <w:rPr>
          <w:rFonts w:hAnsi="宋体"/>
          <w:b/>
          <w:sz w:val="24"/>
          <w:szCs w:val="24"/>
        </w:rPr>
        <w:t>投资组合报告</w:t>
      </w:r>
    </w:p>
    <w:p w14:paraId="0DAAEDFA" w14:textId="77777777" w:rsidR="00F313AE" w:rsidRPr="00F00B77" w:rsidRDefault="00F313AE" w:rsidP="0088371F">
      <w:pPr>
        <w:adjustRightInd w:val="0"/>
        <w:snapToGrid w:val="0"/>
        <w:spacing w:line="360" w:lineRule="auto"/>
        <w:ind w:firstLineChars="200" w:firstLine="480"/>
        <w:rPr>
          <w:color w:val="000000"/>
          <w:sz w:val="24"/>
        </w:rPr>
      </w:pPr>
      <w:r w:rsidRPr="00F00B77">
        <w:rPr>
          <w:color w:val="000000"/>
          <w:sz w:val="24"/>
        </w:rPr>
        <w:t>基金管理人的董事会及董事保证本报告所载资料不存在虚假记载、误导性陈述或重大遗漏，并对其内容的真实性、准确性和完整性承担个别及连带责任。</w:t>
      </w:r>
      <w:r w:rsidRPr="00F00B77">
        <w:rPr>
          <w:color w:val="000000"/>
          <w:sz w:val="24"/>
        </w:rPr>
        <w:t xml:space="preserve"> </w:t>
      </w:r>
    </w:p>
    <w:p w14:paraId="71783D39" w14:textId="77777777" w:rsidR="00F313AE" w:rsidRPr="00F00B77" w:rsidRDefault="00F313AE" w:rsidP="00D80722">
      <w:pPr>
        <w:adjustRightInd w:val="0"/>
        <w:snapToGrid w:val="0"/>
        <w:spacing w:line="360" w:lineRule="auto"/>
        <w:ind w:firstLineChars="200" w:firstLine="480"/>
        <w:rPr>
          <w:sz w:val="24"/>
          <w:szCs w:val="24"/>
        </w:rPr>
      </w:pPr>
      <w:r w:rsidRPr="00F00B77">
        <w:rPr>
          <w:color w:val="000000"/>
          <w:sz w:val="24"/>
        </w:rPr>
        <w:t>基金托管人中信建投证券股份有限公司根据本基金合同规定，于</w:t>
      </w:r>
      <w:r w:rsidR="00B11AA0" w:rsidRPr="00B11AA0">
        <w:rPr>
          <w:rFonts w:hint="eastAsia"/>
          <w:color w:val="000000"/>
          <w:sz w:val="24"/>
        </w:rPr>
        <w:t>2017</w:t>
      </w:r>
      <w:r w:rsidR="00B11AA0" w:rsidRPr="00B11AA0">
        <w:rPr>
          <w:rFonts w:hint="eastAsia"/>
          <w:color w:val="000000"/>
          <w:sz w:val="24"/>
        </w:rPr>
        <w:t>年</w:t>
      </w:r>
      <w:r w:rsidR="00B11AA0" w:rsidRPr="00B11AA0">
        <w:rPr>
          <w:rFonts w:hint="eastAsia"/>
          <w:color w:val="000000"/>
          <w:sz w:val="24"/>
        </w:rPr>
        <w:t>7</w:t>
      </w:r>
      <w:r w:rsidR="00B11AA0" w:rsidRPr="00B11AA0">
        <w:rPr>
          <w:rFonts w:hint="eastAsia"/>
          <w:color w:val="000000"/>
          <w:sz w:val="24"/>
        </w:rPr>
        <w:t>月</w:t>
      </w:r>
      <w:r w:rsidR="00B11AA0" w:rsidRPr="00B11AA0">
        <w:rPr>
          <w:rFonts w:hint="eastAsia"/>
          <w:color w:val="000000"/>
          <w:sz w:val="24"/>
        </w:rPr>
        <w:t>19</w:t>
      </w:r>
      <w:r w:rsidR="00B11AA0" w:rsidRPr="00B11AA0">
        <w:rPr>
          <w:rFonts w:hint="eastAsia"/>
          <w:color w:val="000000"/>
          <w:sz w:val="24"/>
        </w:rPr>
        <w:t>日</w:t>
      </w:r>
      <w:r w:rsidRPr="00F00B77">
        <w:rPr>
          <w:color w:val="000000"/>
          <w:sz w:val="24"/>
        </w:rPr>
        <w:t>复核了本报告中的财务指标、净值表现和投资组合报告等内容，保证复核内容不存在虚假记载、误导性陈述或者重大遗漏。</w:t>
      </w:r>
    </w:p>
    <w:p w14:paraId="2CD1B6C2" w14:textId="77777777" w:rsidR="00F313AE" w:rsidRPr="00F00B77" w:rsidRDefault="00F313AE" w:rsidP="00D80722">
      <w:pPr>
        <w:adjustRightInd w:val="0"/>
        <w:snapToGrid w:val="0"/>
        <w:spacing w:line="360" w:lineRule="auto"/>
        <w:ind w:firstLineChars="200" w:firstLine="480"/>
        <w:rPr>
          <w:b/>
          <w:kern w:val="0"/>
          <w:sz w:val="24"/>
          <w:szCs w:val="24"/>
        </w:rPr>
      </w:pPr>
      <w:r w:rsidRPr="00F00B77">
        <w:rPr>
          <w:color w:val="000000"/>
          <w:sz w:val="24"/>
        </w:rPr>
        <w:t>本报告期</w:t>
      </w:r>
      <w:r w:rsidR="00B11AA0">
        <w:rPr>
          <w:rFonts w:hint="eastAsia"/>
          <w:color w:val="000000"/>
          <w:sz w:val="24"/>
        </w:rPr>
        <w:t>自</w:t>
      </w:r>
      <w:r w:rsidR="00B11AA0" w:rsidRPr="00B11AA0">
        <w:rPr>
          <w:rFonts w:hint="eastAsia"/>
          <w:color w:val="000000"/>
          <w:sz w:val="24"/>
        </w:rPr>
        <w:t>2017</w:t>
      </w:r>
      <w:r w:rsidR="00B11AA0" w:rsidRPr="00B11AA0">
        <w:rPr>
          <w:rFonts w:hint="eastAsia"/>
          <w:color w:val="000000"/>
          <w:sz w:val="24"/>
        </w:rPr>
        <w:t>年</w:t>
      </w:r>
      <w:r w:rsidR="00B11AA0" w:rsidRPr="00B11AA0">
        <w:rPr>
          <w:rFonts w:hint="eastAsia"/>
          <w:color w:val="000000"/>
          <w:sz w:val="24"/>
        </w:rPr>
        <w:t>4</w:t>
      </w:r>
      <w:r w:rsidR="00B11AA0" w:rsidRPr="00B11AA0">
        <w:rPr>
          <w:rFonts w:hint="eastAsia"/>
          <w:color w:val="000000"/>
          <w:sz w:val="24"/>
        </w:rPr>
        <w:t>月</w:t>
      </w:r>
      <w:r w:rsidR="00B11AA0" w:rsidRPr="00B11AA0">
        <w:rPr>
          <w:rFonts w:hint="eastAsia"/>
          <w:color w:val="000000"/>
          <w:sz w:val="24"/>
        </w:rPr>
        <w:t>1</w:t>
      </w:r>
      <w:r w:rsidR="00B11AA0" w:rsidRPr="00B11AA0">
        <w:rPr>
          <w:rFonts w:hint="eastAsia"/>
          <w:color w:val="000000"/>
          <w:sz w:val="24"/>
        </w:rPr>
        <w:t>日起至</w:t>
      </w:r>
      <w:r w:rsidR="00B11AA0" w:rsidRPr="00B11AA0">
        <w:rPr>
          <w:rFonts w:hint="eastAsia"/>
          <w:color w:val="000000"/>
          <w:sz w:val="24"/>
        </w:rPr>
        <w:t>6</w:t>
      </w:r>
      <w:r w:rsidR="00B11AA0" w:rsidRPr="00B11AA0">
        <w:rPr>
          <w:rFonts w:hint="eastAsia"/>
          <w:color w:val="000000"/>
          <w:sz w:val="24"/>
        </w:rPr>
        <w:t>月</w:t>
      </w:r>
      <w:r w:rsidR="00B11AA0" w:rsidRPr="00B11AA0">
        <w:rPr>
          <w:rFonts w:hint="eastAsia"/>
          <w:color w:val="000000"/>
          <w:sz w:val="24"/>
        </w:rPr>
        <w:t>30</w:t>
      </w:r>
      <w:r w:rsidR="00B11AA0">
        <w:rPr>
          <w:rFonts w:hint="eastAsia"/>
          <w:color w:val="000000"/>
          <w:sz w:val="24"/>
        </w:rPr>
        <w:t>日止</w:t>
      </w:r>
      <w:r w:rsidRPr="00F00B77">
        <w:rPr>
          <w:color w:val="000000"/>
          <w:sz w:val="24"/>
        </w:rPr>
        <w:t>。</w:t>
      </w:r>
      <w:r w:rsidRPr="00F00B77">
        <w:rPr>
          <w:rFonts w:hint="eastAsia"/>
          <w:color w:val="000000"/>
          <w:sz w:val="24"/>
        </w:rPr>
        <w:t>本报告</w:t>
      </w:r>
      <w:r w:rsidRPr="00F00B77">
        <w:rPr>
          <w:color w:val="000000"/>
          <w:sz w:val="24"/>
        </w:rPr>
        <w:t>财务资料未经审计师审计。</w:t>
      </w:r>
    </w:p>
    <w:p w14:paraId="045CFE7B"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1 </w:t>
      </w:r>
      <w:r w:rsidRPr="00F00B77">
        <w:rPr>
          <w:rFonts w:hAnsi="宋体"/>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F00B77" w14:paraId="0E491CAB" w14:textId="77777777" w:rsidTr="001669E6">
        <w:trPr>
          <w:jc w:val="center"/>
        </w:trPr>
        <w:tc>
          <w:tcPr>
            <w:tcW w:w="884" w:type="dxa"/>
            <w:vAlign w:val="center"/>
          </w:tcPr>
          <w:p w14:paraId="7E9B6B87"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序号</w:t>
            </w:r>
          </w:p>
        </w:tc>
        <w:tc>
          <w:tcPr>
            <w:tcW w:w="3117" w:type="dxa"/>
            <w:vAlign w:val="center"/>
          </w:tcPr>
          <w:p w14:paraId="2B7918C0"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项目</w:t>
            </w:r>
          </w:p>
        </w:tc>
        <w:tc>
          <w:tcPr>
            <w:tcW w:w="3058" w:type="dxa"/>
            <w:vAlign w:val="center"/>
          </w:tcPr>
          <w:p w14:paraId="5FB73738"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金额</w:t>
            </w:r>
            <w:r w:rsidRPr="00F00B77">
              <w:rPr>
                <w:rFonts w:hAnsi="宋体"/>
                <w:color w:val="000000"/>
                <w:kern w:val="0"/>
                <w:sz w:val="24"/>
                <w:szCs w:val="24"/>
              </w:rPr>
              <w:t>（元）</w:t>
            </w:r>
          </w:p>
        </w:tc>
        <w:tc>
          <w:tcPr>
            <w:tcW w:w="1809" w:type="dxa"/>
            <w:vAlign w:val="center"/>
          </w:tcPr>
          <w:p w14:paraId="12CE4566"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占基金总资产的比例</w:t>
            </w:r>
            <w:r w:rsidRPr="00F00B77">
              <w:rPr>
                <w:rFonts w:hAnsi="宋体"/>
                <w:color w:val="000000"/>
                <w:kern w:val="0"/>
                <w:sz w:val="24"/>
                <w:szCs w:val="24"/>
              </w:rPr>
              <w:t>（％）</w:t>
            </w:r>
          </w:p>
        </w:tc>
      </w:tr>
      <w:tr w:rsidR="002F3F62" w:rsidRPr="00F00B77" w14:paraId="180E2704" w14:textId="77777777" w:rsidTr="001669E6">
        <w:trPr>
          <w:jc w:val="center"/>
        </w:trPr>
        <w:tc>
          <w:tcPr>
            <w:tcW w:w="884" w:type="dxa"/>
            <w:vAlign w:val="center"/>
          </w:tcPr>
          <w:p w14:paraId="25DD91F5" w14:textId="77777777" w:rsidR="002F3F62" w:rsidRPr="00F00B77" w:rsidRDefault="002F3F62" w:rsidP="002F3F62">
            <w:pPr>
              <w:spacing w:before="29" w:line="360" w:lineRule="auto"/>
              <w:ind w:left="17"/>
              <w:jc w:val="center"/>
              <w:rPr>
                <w:color w:val="000000"/>
                <w:sz w:val="24"/>
                <w:szCs w:val="24"/>
              </w:rPr>
            </w:pPr>
            <w:r w:rsidRPr="00F00B77">
              <w:rPr>
                <w:color w:val="000000"/>
                <w:sz w:val="24"/>
                <w:szCs w:val="24"/>
              </w:rPr>
              <w:t>1</w:t>
            </w:r>
          </w:p>
        </w:tc>
        <w:tc>
          <w:tcPr>
            <w:tcW w:w="3117" w:type="dxa"/>
            <w:vAlign w:val="center"/>
          </w:tcPr>
          <w:p w14:paraId="40352292" w14:textId="77777777" w:rsidR="002F3F62" w:rsidRPr="00F00B77" w:rsidRDefault="002F3F62" w:rsidP="002F3F62">
            <w:pPr>
              <w:spacing w:before="29" w:line="360" w:lineRule="auto"/>
              <w:ind w:left="17"/>
              <w:jc w:val="left"/>
              <w:rPr>
                <w:sz w:val="24"/>
                <w:szCs w:val="24"/>
              </w:rPr>
            </w:pPr>
            <w:r w:rsidRPr="00F00B77">
              <w:rPr>
                <w:rFonts w:hAnsi="宋体"/>
                <w:color w:val="000000"/>
                <w:sz w:val="24"/>
                <w:szCs w:val="24"/>
              </w:rPr>
              <w:t>固定收益投资</w:t>
            </w:r>
          </w:p>
        </w:tc>
        <w:tc>
          <w:tcPr>
            <w:tcW w:w="3058" w:type="dxa"/>
            <w:vAlign w:val="center"/>
          </w:tcPr>
          <w:p w14:paraId="517C0837"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2,066,327,030.85</w:t>
            </w:r>
          </w:p>
        </w:tc>
        <w:tc>
          <w:tcPr>
            <w:tcW w:w="1809" w:type="dxa"/>
            <w:vAlign w:val="center"/>
          </w:tcPr>
          <w:p w14:paraId="1E540345"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40.48</w:t>
            </w:r>
          </w:p>
        </w:tc>
      </w:tr>
      <w:tr w:rsidR="002F3F62" w:rsidRPr="00F00B77" w14:paraId="1C42FECB" w14:textId="77777777" w:rsidTr="001669E6">
        <w:trPr>
          <w:jc w:val="center"/>
        </w:trPr>
        <w:tc>
          <w:tcPr>
            <w:tcW w:w="884" w:type="dxa"/>
            <w:vAlign w:val="center"/>
          </w:tcPr>
          <w:p w14:paraId="71FB79B9" w14:textId="77777777" w:rsidR="002F3F62" w:rsidRPr="00F00B77" w:rsidRDefault="002F3F62" w:rsidP="002F3F62">
            <w:pPr>
              <w:spacing w:before="29" w:line="360" w:lineRule="auto"/>
              <w:ind w:left="17"/>
              <w:jc w:val="center"/>
              <w:rPr>
                <w:color w:val="000000"/>
                <w:sz w:val="24"/>
                <w:szCs w:val="24"/>
              </w:rPr>
            </w:pPr>
          </w:p>
        </w:tc>
        <w:tc>
          <w:tcPr>
            <w:tcW w:w="3117" w:type="dxa"/>
            <w:vAlign w:val="center"/>
          </w:tcPr>
          <w:p w14:paraId="5779B407" w14:textId="77777777" w:rsidR="002F3F62" w:rsidRPr="00F00B77" w:rsidRDefault="002F3F62" w:rsidP="002F3F62">
            <w:pPr>
              <w:spacing w:before="29" w:line="360" w:lineRule="auto"/>
              <w:ind w:left="17"/>
              <w:jc w:val="left"/>
              <w:rPr>
                <w:sz w:val="24"/>
                <w:szCs w:val="24"/>
              </w:rPr>
            </w:pPr>
            <w:r w:rsidRPr="00F00B77">
              <w:rPr>
                <w:rFonts w:hAnsi="宋体"/>
                <w:color w:val="000000"/>
                <w:sz w:val="24"/>
                <w:szCs w:val="24"/>
              </w:rPr>
              <w:t>其中：债券</w:t>
            </w:r>
          </w:p>
        </w:tc>
        <w:tc>
          <w:tcPr>
            <w:tcW w:w="3058" w:type="dxa"/>
            <w:vAlign w:val="center"/>
          </w:tcPr>
          <w:p w14:paraId="72FC5A44"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2,066,327,030.85</w:t>
            </w:r>
          </w:p>
        </w:tc>
        <w:tc>
          <w:tcPr>
            <w:tcW w:w="1809" w:type="dxa"/>
            <w:vAlign w:val="center"/>
          </w:tcPr>
          <w:p w14:paraId="561FC7DB"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40.48</w:t>
            </w:r>
          </w:p>
        </w:tc>
      </w:tr>
      <w:tr w:rsidR="002F3F62" w:rsidRPr="00F00B77" w14:paraId="405E3EF5" w14:textId="77777777" w:rsidTr="001669E6">
        <w:trPr>
          <w:jc w:val="center"/>
        </w:trPr>
        <w:tc>
          <w:tcPr>
            <w:tcW w:w="884" w:type="dxa"/>
            <w:vAlign w:val="center"/>
          </w:tcPr>
          <w:p w14:paraId="51356A3E" w14:textId="77777777" w:rsidR="002F3F62" w:rsidRPr="00F00B77" w:rsidRDefault="002F3F62" w:rsidP="002F3F62">
            <w:pPr>
              <w:spacing w:before="29" w:line="360" w:lineRule="auto"/>
              <w:ind w:left="17"/>
              <w:jc w:val="center"/>
              <w:rPr>
                <w:color w:val="000000"/>
                <w:sz w:val="24"/>
                <w:szCs w:val="24"/>
              </w:rPr>
            </w:pPr>
          </w:p>
        </w:tc>
        <w:tc>
          <w:tcPr>
            <w:tcW w:w="3117" w:type="dxa"/>
            <w:vAlign w:val="center"/>
          </w:tcPr>
          <w:p w14:paraId="0939A4B8" w14:textId="77777777" w:rsidR="002F3F62" w:rsidRPr="00F00B77" w:rsidRDefault="002F3F62" w:rsidP="002F3F62">
            <w:pPr>
              <w:autoSpaceDE w:val="0"/>
              <w:autoSpaceDN w:val="0"/>
              <w:adjustRightInd w:val="0"/>
              <w:spacing w:before="29" w:line="360" w:lineRule="auto"/>
              <w:ind w:leftChars="8" w:left="17" w:firstLineChars="300" w:firstLine="720"/>
              <w:jc w:val="left"/>
              <w:rPr>
                <w:color w:val="000000"/>
                <w:sz w:val="24"/>
                <w:szCs w:val="24"/>
              </w:rPr>
            </w:pPr>
            <w:r w:rsidRPr="00F00B77">
              <w:rPr>
                <w:rFonts w:hAnsi="宋体"/>
                <w:color w:val="000000"/>
                <w:sz w:val="24"/>
                <w:szCs w:val="24"/>
              </w:rPr>
              <w:t>资产支持证券</w:t>
            </w:r>
          </w:p>
        </w:tc>
        <w:tc>
          <w:tcPr>
            <w:tcW w:w="3058" w:type="dxa"/>
            <w:vAlign w:val="center"/>
          </w:tcPr>
          <w:p w14:paraId="0370D24E"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w:t>
            </w:r>
          </w:p>
        </w:tc>
        <w:tc>
          <w:tcPr>
            <w:tcW w:w="1809" w:type="dxa"/>
            <w:vAlign w:val="center"/>
          </w:tcPr>
          <w:p w14:paraId="1A40BB4D"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w:t>
            </w:r>
          </w:p>
        </w:tc>
      </w:tr>
      <w:tr w:rsidR="002F3F62" w:rsidRPr="00F00B77" w14:paraId="61041D5C" w14:textId="77777777" w:rsidTr="001669E6">
        <w:trPr>
          <w:jc w:val="center"/>
        </w:trPr>
        <w:tc>
          <w:tcPr>
            <w:tcW w:w="884" w:type="dxa"/>
            <w:vAlign w:val="center"/>
          </w:tcPr>
          <w:p w14:paraId="7AA20981" w14:textId="77777777" w:rsidR="002F3F62" w:rsidRPr="00F00B77" w:rsidRDefault="002F3F62" w:rsidP="002F3F62">
            <w:pPr>
              <w:spacing w:before="29" w:line="360" w:lineRule="auto"/>
              <w:ind w:left="17"/>
              <w:jc w:val="center"/>
              <w:rPr>
                <w:color w:val="000000"/>
                <w:sz w:val="24"/>
                <w:szCs w:val="24"/>
              </w:rPr>
            </w:pPr>
            <w:r w:rsidRPr="00F00B77">
              <w:rPr>
                <w:color w:val="000000"/>
                <w:sz w:val="24"/>
                <w:szCs w:val="24"/>
              </w:rPr>
              <w:t>2</w:t>
            </w:r>
          </w:p>
        </w:tc>
        <w:tc>
          <w:tcPr>
            <w:tcW w:w="3117" w:type="dxa"/>
            <w:vAlign w:val="center"/>
          </w:tcPr>
          <w:p w14:paraId="35538529" w14:textId="77777777" w:rsidR="002F3F62" w:rsidRPr="00F00B77" w:rsidRDefault="002F3F62" w:rsidP="002F3F62">
            <w:pPr>
              <w:spacing w:before="29" w:line="360" w:lineRule="auto"/>
              <w:ind w:left="17"/>
              <w:jc w:val="left"/>
              <w:rPr>
                <w:sz w:val="24"/>
                <w:szCs w:val="24"/>
              </w:rPr>
            </w:pPr>
            <w:r w:rsidRPr="00F00B77">
              <w:rPr>
                <w:rFonts w:hAnsi="宋体"/>
                <w:color w:val="000000"/>
                <w:sz w:val="24"/>
                <w:szCs w:val="24"/>
              </w:rPr>
              <w:t>买入返售金融资产</w:t>
            </w:r>
          </w:p>
        </w:tc>
        <w:tc>
          <w:tcPr>
            <w:tcW w:w="3058" w:type="dxa"/>
            <w:vAlign w:val="center"/>
          </w:tcPr>
          <w:p w14:paraId="602853EE"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459,194,000.00</w:t>
            </w:r>
          </w:p>
        </w:tc>
        <w:tc>
          <w:tcPr>
            <w:tcW w:w="1809" w:type="dxa"/>
            <w:vAlign w:val="center"/>
          </w:tcPr>
          <w:p w14:paraId="0628A9BB"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9.00</w:t>
            </w:r>
          </w:p>
        </w:tc>
      </w:tr>
      <w:tr w:rsidR="002F3F62" w:rsidRPr="00F00B77" w14:paraId="018DF96B" w14:textId="77777777" w:rsidTr="001669E6">
        <w:trPr>
          <w:jc w:val="center"/>
        </w:trPr>
        <w:tc>
          <w:tcPr>
            <w:tcW w:w="884" w:type="dxa"/>
            <w:vAlign w:val="center"/>
          </w:tcPr>
          <w:p w14:paraId="75E735A0" w14:textId="77777777" w:rsidR="002F3F62" w:rsidRPr="00F00B77" w:rsidRDefault="002F3F62" w:rsidP="002F3F62">
            <w:pPr>
              <w:spacing w:before="29" w:line="360" w:lineRule="auto"/>
              <w:ind w:left="17"/>
              <w:jc w:val="center"/>
              <w:rPr>
                <w:color w:val="000000"/>
                <w:sz w:val="24"/>
                <w:szCs w:val="24"/>
              </w:rPr>
            </w:pPr>
          </w:p>
        </w:tc>
        <w:tc>
          <w:tcPr>
            <w:tcW w:w="3117" w:type="dxa"/>
            <w:vAlign w:val="center"/>
          </w:tcPr>
          <w:p w14:paraId="420127D9" w14:textId="77777777" w:rsidR="002F3F62" w:rsidRPr="00F00B77" w:rsidRDefault="002F3F62" w:rsidP="002F3F62">
            <w:pPr>
              <w:spacing w:before="29" w:line="360" w:lineRule="auto"/>
              <w:ind w:left="17"/>
              <w:jc w:val="left"/>
              <w:rPr>
                <w:sz w:val="24"/>
                <w:szCs w:val="24"/>
              </w:rPr>
            </w:pPr>
            <w:r w:rsidRPr="00F00B77">
              <w:rPr>
                <w:rFonts w:hAnsi="宋体"/>
                <w:color w:val="000000"/>
                <w:sz w:val="24"/>
                <w:szCs w:val="24"/>
              </w:rPr>
              <w:t>其中：买断式回购的买入返售金融资产</w:t>
            </w:r>
          </w:p>
        </w:tc>
        <w:tc>
          <w:tcPr>
            <w:tcW w:w="3058" w:type="dxa"/>
            <w:vAlign w:val="center"/>
          </w:tcPr>
          <w:p w14:paraId="416278E3"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w:t>
            </w:r>
          </w:p>
        </w:tc>
        <w:tc>
          <w:tcPr>
            <w:tcW w:w="1809" w:type="dxa"/>
            <w:vAlign w:val="center"/>
          </w:tcPr>
          <w:p w14:paraId="79C47A1F"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w:t>
            </w:r>
          </w:p>
        </w:tc>
      </w:tr>
      <w:tr w:rsidR="002F3F62" w:rsidRPr="00F00B77" w14:paraId="42805E61" w14:textId="77777777" w:rsidTr="001669E6">
        <w:trPr>
          <w:jc w:val="center"/>
        </w:trPr>
        <w:tc>
          <w:tcPr>
            <w:tcW w:w="884" w:type="dxa"/>
            <w:vAlign w:val="center"/>
          </w:tcPr>
          <w:p w14:paraId="3EA61E9D" w14:textId="77777777" w:rsidR="002F3F62" w:rsidRPr="00F00B77" w:rsidRDefault="002F3F62" w:rsidP="002F3F62">
            <w:pPr>
              <w:spacing w:before="29" w:line="360" w:lineRule="auto"/>
              <w:ind w:left="17"/>
              <w:jc w:val="center"/>
              <w:rPr>
                <w:color w:val="000000"/>
                <w:sz w:val="24"/>
                <w:szCs w:val="24"/>
              </w:rPr>
            </w:pPr>
            <w:r w:rsidRPr="00F00B77">
              <w:rPr>
                <w:color w:val="000000"/>
                <w:sz w:val="24"/>
                <w:szCs w:val="24"/>
              </w:rPr>
              <w:t>3</w:t>
            </w:r>
          </w:p>
        </w:tc>
        <w:tc>
          <w:tcPr>
            <w:tcW w:w="3117" w:type="dxa"/>
            <w:vAlign w:val="center"/>
          </w:tcPr>
          <w:p w14:paraId="05F15557" w14:textId="77777777" w:rsidR="002F3F62" w:rsidRPr="00F00B77" w:rsidRDefault="002F3F62" w:rsidP="002F3F62">
            <w:pPr>
              <w:spacing w:before="29" w:line="360" w:lineRule="auto"/>
              <w:ind w:left="17"/>
              <w:jc w:val="left"/>
              <w:rPr>
                <w:sz w:val="24"/>
                <w:szCs w:val="24"/>
              </w:rPr>
            </w:pPr>
            <w:r w:rsidRPr="00F00B77">
              <w:rPr>
                <w:rFonts w:hAnsi="宋体"/>
                <w:color w:val="000000"/>
                <w:sz w:val="24"/>
                <w:szCs w:val="24"/>
              </w:rPr>
              <w:t>银行存款和结算备付金合计</w:t>
            </w:r>
          </w:p>
        </w:tc>
        <w:tc>
          <w:tcPr>
            <w:tcW w:w="3058" w:type="dxa"/>
            <w:vAlign w:val="center"/>
          </w:tcPr>
          <w:p w14:paraId="1663A38E"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2,548,727,952.27</w:t>
            </w:r>
          </w:p>
        </w:tc>
        <w:tc>
          <w:tcPr>
            <w:tcW w:w="1809" w:type="dxa"/>
            <w:vAlign w:val="center"/>
          </w:tcPr>
          <w:p w14:paraId="078633DD" w14:textId="77777777" w:rsidR="002F3F62" w:rsidRPr="00F00B77" w:rsidRDefault="002F3F62" w:rsidP="002F3F62">
            <w:pPr>
              <w:spacing w:before="29" w:line="360" w:lineRule="auto"/>
              <w:ind w:left="17"/>
              <w:jc w:val="right"/>
              <w:rPr>
                <w:color w:val="000000"/>
                <w:sz w:val="24"/>
                <w:szCs w:val="24"/>
              </w:rPr>
            </w:pPr>
            <w:r w:rsidRPr="000E4C40">
              <w:rPr>
                <w:color w:val="000000"/>
                <w:sz w:val="24"/>
              </w:rPr>
              <w:t>49.93</w:t>
            </w:r>
          </w:p>
        </w:tc>
      </w:tr>
      <w:tr w:rsidR="002F3F62" w:rsidRPr="00F00B77" w14:paraId="3CDCEF84" w14:textId="77777777" w:rsidTr="001669E6">
        <w:trPr>
          <w:jc w:val="center"/>
        </w:trPr>
        <w:tc>
          <w:tcPr>
            <w:tcW w:w="884" w:type="dxa"/>
            <w:vAlign w:val="center"/>
          </w:tcPr>
          <w:p w14:paraId="51B198D0" w14:textId="77777777" w:rsidR="002F3F62" w:rsidRPr="00F00B77" w:rsidRDefault="002F3F62" w:rsidP="002F3F62">
            <w:pPr>
              <w:spacing w:before="29" w:line="360" w:lineRule="auto"/>
              <w:ind w:left="17"/>
              <w:jc w:val="center"/>
              <w:rPr>
                <w:color w:val="000000"/>
                <w:sz w:val="24"/>
                <w:szCs w:val="24"/>
              </w:rPr>
            </w:pPr>
            <w:r w:rsidRPr="00F00B77">
              <w:rPr>
                <w:color w:val="000000"/>
                <w:sz w:val="24"/>
                <w:szCs w:val="24"/>
              </w:rPr>
              <w:t>4</w:t>
            </w:r>
          </w:p>
        </w:tc>
        <w:tc>
          <w:tcPr>
            <w:tcW w:w="3117" w:type="dxa"/>
            <w:vAlign w:val="center"/>
          </w:tcPr>
          <w:p w14:paraId="25403AC8" w14:textId="77777777" w:rsidR="002F3F62" w:rsidRPr="00F00B77" w:rsidRDefault="002F3F62" w:rsidP="002F3F62">
            <w:pPr>
              <w:spacing w:before="29" w:line="360" w:lineRule="auto"/>
              <w:jc w:val="left"/>
              <w:rPr>
                <w:sz w:val="24"/>
                <w:szCs w:val="24"/>
              </w:rPr>
            </w:pPr>
            <w:r w:rsidRPr="00F00B77">
              <w:rPr>
                <w:rFonts w:hAnsi="宋体"/>
                <w:color w:val="000000"/>
                <w:sz w:val="24"/>
                <w:szCs w:val="24"/>
              </w:rPr>
              <w:t>其他资产</w:t>
            </w:r>
          </w:p>
        </w:tc>
        <w:tc>
          <w:tcPr>
            <w:tcW w:w="3058" w:type="dxa"/>
            <w:vAlign w:val="center"/>
          </w:tcPr>
          <w:p w14:paraId="2C1BCE9E" w14:textId="77777777" w:rsidR="002F3F62" w:rsidRPr="00F00B77" w:rsidRDefault="002F3F62" w:rsidP="002F3F62">
            <w:pPr>
              <w:spacing w:before="29" w:line="360" w:lineRule="auto"/>
              <w:jc w:val="right"/>
              <w:rPr>
                <w:color w:val="000000"/>
                <w:sz w:val="24"/>
                <w:szCs w:val="24"/>
              </w:rPr>
            </w:pPr>
            <w:r w:rsidRPr="000E4C40">
              <w:rPr>
                <w:color w:val="000000"/>
                <w:sz w:val="24"/>
              </w:rPr>
              <w:t>30,587,638.84</w:t>
            </w:r>
          </w:p>
        </w:tc>
        <w:tc>
          <w:tcPr>
            <w:tcW w:w="1809" w:type="dxa"/>
            <w:vAlign w:val="center"/>
          </w:tcPr>
          <w:p w14:paraId="41D25392" w14:textId="77777777" w:rsidR="002F3F62" w:rsidRPr="00F00B77" w:rsidRDefault="002F3F62" w:rsidP="002F3F62">
            <w:pPr>
              <w:spacing w:before="29" w:line="360" w:lineRule="auto"/>
              <w:jc w:val="right"/>
              <w:rPr>
                <w:color w:val="000000"/>
                <w:sz w:val="24"/>
                <w:szCs w:val="24"/>
              </w:rPr>
            </w:pPr>
            <w:r w:rsidRPr="000E4C40">
              <w:rPr>
                <w:color w:val="000000"/>
                <w:sz w:val="24"/>
              </w:rPr>
              <w:t>0.60</w:t>
            </w:r>
          </w:p>
        </w:tc>
      </w:tr>
      <w:tr w:rsidR="002F3F62" w:rsidRPr="00F00B77" w14:paraId="0FCDFB9A" w14:textId="77777777" w:rsidTr="001669E6">
        <w:trPr>
          <w:jc w:val="center"/>
        </w:trPr>
        <w:tc>
          <w:tcPr>
            <w:tcW w:w="884" w:type="dxa"/>
            <w:vAlign w:val="center"/>
          </w:tcPr>
          <w:p w14:paraId="02DD6EE0" w14:textId="77777777" w:rsidR="002F3F62" w:rsidRPr="00F00B77" w:rsidRDefault="002F3F62" w:rsidP="002F3F62">
            <w:pPr>
              <w:spacing w:before="29" w:line="360" w:lineRule="auto"/>
              <w:ind w:left="17"/>
              <w:jc w:val="center"/>
              <w:rPr>
                <w:color w:val="000000"/>
                <w:sz w:val="24"/>
                <w:szCs w:val="24"/>
              </w:rPr>
            </w:pPr>
            <w:r w:rsidRPr="00F00B77">
              <w:rPr>
                <w:color w:val="000000"/>
                <w:sz w:val="24"/>
                <w:szCs w:val="24"/>
              </w:rPr>
              <w:t>5</w:t>
            </w:r>
          </w:p>
        </w:tc>
        <w:tc>
          <w:tcPr>
            <w:tcW w:w="3117" w:type="dxa"/>
            <w:vAlign w:val="center"/>
          </w:tcPr>
          <w:p w14:paraId="03F34BA3" w14:textId="77777777" w:rsidR="002F3F62" w:rsidRPr="00F00B77" w:rsidRDefault="002F3F62" w:rsidP="002F3F62">
            <w:pPr>
              <w:spacing w:before="29" w:line="360" w:lineRule="auto"/>
              <w:jc w:val="left"/>
              <w:rPr>
                <w:sz w:val="24"/>
                <w:szCs w:val="24"/>
              </w:rPr>
            </w:pPr>
            <w:r w:rsidRPr="00F00B77">
              <w:rPr>
                <w:rFonts w:hAnsi="宋体"/>
                <w:color w:val="000000"/>
                <w:sz w:val="24"/>
                <w:szCs w:val="24"/>
              </w:rPr>
              <w:t>合计</w:t>
            </w:r>
          </w:p>
        </w:tc>
        <w:tc>
          <w:tcPr>
            <w:tcW w:w="3058" w:type="dxa"/>
            <w:vAlign w:val="center"/>
          </w:tcPr>
          <w:p w14:paraId="27A971E7" w14:textId="77777777" w:rsidR="002F3F62" w:rsidRPr="00F00B77" w:rsidRDefault="002F3F62" w:rsidP="002F3F62">
            <w:pPr>
              <w:spacing w:before="29" w:line="360" w:lineRule="auto"/>
              <w:jc w:val="right"/>
              <w:rPr>
                <w:color w:val="000000"/>
                <w:sz w:val="24"/>
                <w:szCs w:val="24"/>
              </w:rPr>
            </w:pPr>
            <w:r w:rsidRPr="000E4C40">
              <w:rPr>
                <w:color w:val="000000"/>
                <w:sz w:val="24"/>
              </w:rPr>
              <w:t>5,104,836,621.96</w:t>
            </w:r>
          </w:p>
        </w:tc>
        <w:tc>
          <w:tcPr>
            <w:tcW w:w="1809" w:type="dxa"/>
            <w:vAlign w:val="center"/>
          </w:tcPr>
          <w:p w14:paraId="2A83728B" w14:textId="77777777" w:rsidR="002F3F62" w:rsidRPr="00F00B77" w:rsidRDefault="002F3F62" w:rsidP="002F3F62">
            <w:pPr>
              <w:spacing w:before="29" w:line="360" w:lineRule="auto"/>
              <w:jc w:val="right"/>
              <w:rPr>
                <w:color w:val="000000"/>
                <w:sz w:val="24"/>
                <w:szCs w:val="24"/>
              </w:rPr>
            </w:pPr>
            <w:r w:rsidRPr="000E4C40">
              <w:rPr>
                <w:color w:val="000000"/>
                <w:sz w:val="24"/>
              </w:rPr>
              <w:t>100.00</w:t>
            </w:r>
          </w:p>
        </w:tc>
      </w:tr>
    </w:tbl>
    <w:p w14:paraId="6C3A0E82"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0A4B8555"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2 </w:t>
      </w:r>
      <w:r w:rsidRPr="00F00B77">
        <w:rPr>
          <w:rFonts w:hAnsi="宋体"/>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F00B77" w14:paraId="37779583" w14:textId="77777777" w:rsidTr="001669E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0E46BF8F"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4B2F94D5"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7B6D9EF2"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占基金资产净值比例（％）</w:t>
            </w:r>
          </w:p>
        </w:tc>
      </w:tr>
      <w:tr w:rsidR="002F3F62" w:rsidRPr="00F00B77" w14:paraId="1270FFB9" w14:textId="77777777" w:rsidTr="001669E6">
        <w:trPr>
          <w:jc w:val="center"/>
        </w:trPr>
        <w:tc>
          <w:tcPr>
            <w:tcW w:w="845" w:type="dxa"/>
            <w:vMerge w:val="restart"/>
            <w:tcBorders>
              <w:top w:val="single" w:sz="8" w:space="0" w:color="000000"/>
              <w:left w:val="single" w:sz="8" w:space="0" w:color="000000"/>
              <w:right w:val="single" w:sz="8" w:space="0" w:color="000000"/>
            </w:tcBorders>
            <w:vAlign w:val="center"/>
          </w:tcPr>
          <w:p w14:paraId="01AF9624" w14:textId="77777777" w:rsidR="002F3F62" w:rsidRPr="00F00B77" w:rsidRDefault="002F3F62" w:rsidP="002F3F62">
            <w:pPr>
              <w:spacing w:before="29" w:line="360" w:lineRule="auto"/>
              <w:jc w:val="center"/>
              <w:rPr>
                <w:color w:val="000000"/>
                <w:kern w:val="0"/>
                <w:sz w:val="24"/>
                <w:szCs w:val="24"/>
              </w:rPr>
            </w:pPr>
            <w:r w:rsidRPr="00F00B77">
              <w:rPr>
                <w:color w:val="000000"/>
                <w:kern w:val="0"/>
                <w:sz w:val="24"/>
                <w:szCs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481F847F" w14:textId="77777777" w:rsidR="002F3F62" w:rsidRPr="00F00B77" w:rsidRDefault="002F3F62" w:rsidP="002F3F62">
            <w:pPr>
              <w:spacing w:before="29" w:line="360" w:lineRule="auto"/>
              <w:rPr>
                <w:sz w:val="24"/>
                <w:szCs w:val="24"/>
              </w:rPr>
            </w:pPr>
            <w:r w:rsidRPr="00F00B77">
              <w:rPr>
                <w:rFonts w:hAnsi="宋体"/>
                <w:sz w:val="24"/>
                <w:szCs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7C2AD66D" w14:textId="77777777" w:rsidR="002F3F62" w:rsidRPr="00F00B77" w:rsidRDefault="002F3F62" w:rsidP="002F3F62">
            <w:pPr>
              <w:spacing w:before="29" w:line="360" w:lineRule="auto"/>
              <w:jc w:val="right"/>
              <w:rPr>
                <w:sz w:val="24"/>
                <w:szCs w:val="24"/>
              </w:rPr>
            </w:pPr>
            <w:r w:rsidRPr="000E4C40">
              <w:rPr>
                <w:sz w:val="24"/>
              </w:rPr>
              <w:t>2.85</w:t>
            </w:r>
          </w:p>
        </w:tc>
      </w:tr>
      <w:tr w:rsidR="002F3F62" w:rsidRPr="00F00B77" w14:paraId="58A7CD5F" w14:textId="77777777" w:rsidTr="001669E6">
        <w:trPr>
          <w:trHeight w:val="712"/>
          <w:jc w:val="center"/>
        </w:trPr>
        <w:tc>
          <w:tcPr>
            <w:tcW w:w="845" w:type="dxa"/>
            <w:vMerge/>
            <w:tcBorders>
              <w:left w:val="single" w:sz="8" w:space="0" w:color="000000"/>
              <w:bottom w:val="single" w:sz="8" w:space="0" w:color="000000"/>
              <w:right w:val="single" w:sz="8" w:space="0" w:color="000000"/>
            </w:tcBorders>
            <w:vAlign w:val="center"/>
          </w:tcPr>
          <w:p w14:paraId="140F13E2" w14:textId="77777777" w:rsidR="002F3F62" w:rsidRPr="00F00B77" w:rsidRDefault="002F3F62" w:rsidP="002F3F62">
            <w:pPr>
              <w:spacing w:before="29" w:line="360" w:lineRule="auto"/>
              <w:rPr>
                <w:color w:val="000000"/>
                <w:sz w:val="24"/>
                <w:szCs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217A7702" w14:textId="77777777" w:rsidR="002F3F62" w:rsidRPr="00F00B77" w:rsidRDefault="002F3F62" w:rsidP="002F3F62">
            <w:pPr>
              <w:spacing w:before="29" w:line="360" w:lineRule="auto"/>
              <w:rPr>
                <w:sz w:val="24"/>
                <w:szCs w:val="24"/>
              </w:rPr>
            </w:pPr>
            <w:r w:rsidRPr="00F00B77">
              <w:rPr>
                <w:rFonts w:hAnsi="宋体"/>
                <w:sz w:val="24"/>
                <w:szCs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72343A27" w14:textId="77777777" w:rsidR="002F3F62" w:rsidRPr="00F00B77" w:rsidRDefault="002F3F62" w:rsidP="002F3F62">
            <w:pPr>
              <w:spacing w:before="29" w:line="360" w:lineRule="auto"/>
              <w:jc w:val="right"/>
              <w:rPr>
                <w:sz w:val="24"/>
                <w:szCs w:val="24"/>
              </w:rPr>
            </w:pPr>
            <w:r w:rsidRPr="000E4C40">
              <w:rPr>
                <w:sz w:val="24"/>
              </w:rPr>
              <w:t>0.06</w:t>
            </w:r>
          </w:p>
        </w:tc>
      </w:tr>
      <w:tr w:rsidR="00F313AE" w:rsidRPr="00F00B77" w14:paraId="39EB6E08" w14:textId="77777777" w:rsidTr="001669E6">
        <w:trPr>
          <w:jc w:val="center"/>
        </w:trPr>
        <w:tc>
          <w:tcPr>
            <w:tcW w:w="845" w:type="dxa"/>
            <w:tcBorders>
              <w:left w:val="single" w:sz="8" w:space="0" w:color="000000"/>
              <w:bottom w:val="single" w:sz="8" w:space="0" w:color="000000"/>
              <w:right w:val="single" w:sz="8" w:space="0" w:color="000000"/>
            </w:tcBorders>
            <w:vAlign w:val="center"/>
          </w:tcPr>
          <w:p w14:paraId="387EA23C" w14:textId="77777777" w:rsidR="00F313AE" w:rsidRPr="00F00B77" w:rsidRDefault="00F313AE" w:rsidP="0088371F">
            <w:pPr>
              <w:spacing w:before="29" w:line="360" w:lineRule="auto"/>
              <w:jc w:val="center"/>
              <w:rPr>
                <w:color w:val="000000"/>
                <w:sz w:val="24"/>
                <w:szCs w:val="24"/>
              </w:rPr>
            </w:pPr>
            <w:r w:rsidRPr="00F00B77">
              <w:rPr>
                <w:rFonts w:hAnsi="宋体"/>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6D22A0C6" w14:textId="77777777" w:rsidR="00F313AE" w:rsidRPr="00F00B77" w:rsidRDefault="00F313AE" w:rsidP="0088371F">
            <w:pPr>
              <w:spacing w:before="29" w:line="360" w:lineRule="auto"/>
              <w:jc w:val="center"/>
              <w:rPr>
                <w:sz w:val="24"/>
                <w:szCs w:val="24"/>
              </w:rPr>
            </w:pPr>
            <w:r w:rsidRPr="00F00B77">
              <w:rPr>
                <w:rFonts w:hAnsi="宋体"/>
                <w:sz w:val="24"/>
                <w:szCs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47EC8FC" w14:textId="77777777" w:rsidR="00F313AE" w:rsidRPr="00F00B77" w:rsidRDefault="00F313AE" w:rsidP="0088371F">
            <w:pPr>
              <w:spacing w:before="29" w:line="360" w:lineRule="auto"/>
              <w:jc w:val="center"/>
              <w:rPr>
                <w:sz w:val="24"/>
                <w:szCs w:val="24"/>
              </w:rPr>
            </w:pPr>
            <w:r w:rsidRPr="00F00B77">
              <w:rPr>
                <w:rFonts w:hAnsi="宋体"/>
                <w:sz w:val="24"/>
                <w:szCs w:val="24"/>
              </w:rPr>
              <w:t>金额</w:t>
            </w:r>
            <w:r w:rsidRPr="00F00B77">
              <w:rPr>
                <w:rFonts w:hAnsi="宋体"/>
                <w:color w:val="000000"/>
                <w:kern w:val="0"/>
                <w:sz w:val="24"/>
                <w:szCs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6EF14B87" w14:textId="77777777" w:rsidR="00F313AE" w:rsidRPr="00F00B77" w:rsidRDefault="00F313AE" w:rsidP="0088371F">
            <w:pPr>
              <w:spacing w:before="29" w:line="360" w:lineRule="auto"/>
              <w:jc w:val="center"/>
              <w:rPr>
                <w:sz w:val="24"/>
                <w:szCs w:val="24"/>
              </w:rPr>
            </w:pPr>
            <w:r w:rsidRPr="00F00B77">
              <w:rPr>
                <w:rFonts w:hAnsi="宋体"/>
                <w:color w:val="000000"/>
                <w:kern w:val="0"/>
                <w:sz w:val="24"/>
                <w:szCs w:val="24"/>
              </w:rPr>
              <w:t>占基金资产净值的比例（％）</w:t>
            </w:r>
          </w:p>
        </w:tc>
      </w:tr>
      <w:tr w:rsidR="002F3F62" w:rsidRPr="00F00B77" w14:paraId="66D7CB94" w14:textId="77777777" w:rsidTr="001669E6">
        <w:trPr>
          <w:jc w:val="center"/>
        </w:trPr>
        <w:tc>
          <w:tcPr>
            <w:tcW w:w="845" w:type="dxa"/>
            <w:vMerge w:val="restart"/>
            <w:tcBorders>
              <w:top w:val="single" w:sz="8" w:space="0" w:color="000000"/>
              <w:left w:val="single" w:sz="8" w:space="0" w:color="000000"/>
              <w:right w:val="single" w:sz="8" w:space="0" w:color="000000"/>
            </w:tcBorders>
            <w:vAlign w:val="center"/>
          </w:tcPr>
          <w:p w14:paraId="17E909A4" w14:textId="77777777" w:rsidR="002F3F62" w:rsidRPr="00F00B77" w:rsidRDefault="002F3F62" w:rsidP="002F3F62">
            <w:pPr>
              <w:spacing w:before="29" w:line="360" w:lineRule="auto"/>
              <w:jc w:val="center"/>
              <w:rPr>
                <w:color w:val="000000"/>
                <w:sz w:val="24"/>
                <w:szCs w:val="24"/>
              </w:rPr>
            </w:pPr>
            <w:r w:rsidRPr="00F00B77">
              <w:rPr>
                <w:color w:val="000000"/>
                <w:sz w:val="24"/>
                <w:szCs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62239F29" w14:textId="77777777" w:rsidR="002F3F62" w:rsidRPr="00F00B77" w:rsidRDefault="002F3F62" w:rsidP="002F3F62">
            <w:pPr>
              <w:spacing w:before="29" w:line="360" w:lineRule="auto"/>
              <w:rPr>
                <w:sz w:val="24"/>
                <w:szCs w:val="24"/>
              </w:rPr>
            </w:pPr>
            <w:r w:rsidRPr="00F00B77">
              <w:rPr>
                <w:rFonts w:hAnsi="宋体"/>
                <w:sz w:val="24"/>
                <w:szCs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0B9DC5C9" w14:textId="77777777" w:rsidR="002F3F62" w:rsidRPr="00F00B77" w:rsidRDefault="002F3F62" w:rsidP="002F3F62">
            <w:pPr>
              <w:spacing w:before="29" w:line="360" w:lineRule="auto"/>
              <w:jc w:val="right"/>
              <w:rPr>
                <w:sz w:val="24"/>
                <w:szCs w:val="24"/>
              </w:rPr>
            </w:pPr>
            <w:r w:rsidRPr="000E4C40">
              <w:rPr>
                <w:sz w:val="24"/>
              </w:rPr>
              <w:t>196,372,173.22</w:t>
            </w:r>
          </w:p>
        </w:tc>
        <w:tc>
          <w:tcPr>
            <w:tcW w:w="2079" w:type="dxa"/>
            <w:tcBorders>
              <w:top w:val="single" w:sz="8" w:space="0" w:color="000000"/>
              <w:left w:val="single" w:sz="8" w:space="0" w:color="000000"/>
              <w:bottom w:val="single" w:sz="8" w:space="0" w:color="000000"/>
              <w:right w:val="single" w:sz="8" w:space="0" w:color="000000"/>
            </w:tcBorders>
            <w:vAlign w:val="center"/>
          </w:tcPr>
          <w:p w14:paraId="3EB953FC" w14:textId="77777777" w:rsidR="002F3F62" w:rsidRPr="00F00B77" w:rsidRDefault="002F3F62" w:rsidP="002F3F62">
            <w:pPr>
              <w:spacing w:before="29" w:line="360" w:lineRule="auto"/>
              <w:jc w:val="right"/>
              <w:rPr>
                <w:sz w:val="24"/>
                <w:szCs w:val="24"/>
              </w:rPr>
            </w:pPr>
            <w:r w:rsidRPr="000E4C40">
              <w:rPr>
                <w:sz w:val="24"/>
              </w:rPr>
              <w:t>4.00</w:t>
            </w:r>
          </w:p>
        </w:tc>
      </w:tr>
      <w:tr w:rsidR="002F3F62" w:rsidRPr="00F00B77" w14:paraId="3A3EF991" w14:textId="77777777" w:rsidTr="001669E6">
        <w:trPr>
          <w:jc w:val="center"/>
        </w:trPr>
        <w:tc>
          <w:tcPr>
            <w:tcW w:w="845" w:type="dxa"/>
            <w:vMerge/>
            <w:tcBorders>
              <w:left w:val="single" w:sz="8" w:space="0" w:color="000000"/>
              <w:bottom w:val="single" w:sz="8" w:space="0" w:color="000000"/>
              <w:right w:val="single" w:sz="8" w:space="0" w:color="000000"/>
            </w:tcBorders>
            <w:vAlign w:val="center"/>
          </w:tcPr>
          <w:p w14:paraId="7FA9CF38" w14:textId="77777777" w:rsidR="002F3F62" w:rsidRPr="00F00B77" w:rsidRDefault="002F3F62" w:rsidP="002F3F62">
            <w:pPr>
              <w:spacing w:before="29" w:line="360" w:lineRule="auto"/>
              <w:jc w:val="center"/>
              <w:rPr>
                <w:color w:val="000000"/>
                <w:sz w:val="24"/>
                <w:szCs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307F8B1C" w14:textId="77777777" w:rsidR="002F3F62" w:rsidRPr="00F00B77" w:rsidRDefault="002F3F62" w:rsidP="002F3F62">
            <w:pPr>
              <w:spacing w:before="29" w:line="360" w:lineRule="auto"/>
              <w:rPr>
                <w:sz w:val="24"/>
                <w:szCs w:val="24"/>
              </w:rPr>
            </w:pPr>
            <w:r w:rsidRPr="00F00B77">
              <w:rPr>
                <w:rFonts w:hAnsi="宋体"/>
                <w:sz w:val="24"/>
                <w:szCs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28087D13" w14:textId="77777777" w:rsidR="002F3F62" w:rsidRPr="00F00B77" w:rsidRDefault="002F3F62" w:rsidP="002F3F62">
            <w:pPr>
              <w:spacing w:before="29" w:line="360" w:lineRule="auto"/>
              <w:jc w:val="right"/>
              <w:rPr>
                <w:sz w:val="24"/>
                <w:szCs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68B31BD0" w14:textId="77777777" w:rsidR="002F3F62" w:rsidRPr="00F00B77" w:rsidRDefault="002F3F62" w:rsidP="002F3F62">
            <w:pPr>
              <w:spacing w:before="29" w:line="360" w:lineRule="auto"/>
              <w:jc w:val="right"/>
              <w:rPr>
                <w:sz w:val="24"/>
                <w:szCs w:val="24"/>
              </w:rPr>
            </w:pPr>
            <w:r w:rsidRPr="000E4C40">
              <w:rPr>
                <w:sz w:val="24"/>
              </w:rPr>
              <w:t>-</w:t>
            </w:r>
          </w:p>
        </w:tc>
      </w:tr>
    </w:tbl>
    <w:p w14:paraId="1CF904F2"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注：报告期内债券回购融资余额占基金资产净值的比例为报告期内每个银行间市场交易日融资余额占资产净值比例的简单平均值。</w:t>
      </w:r>
    </w:p>
    <w:p w14:paraId="183F8684" w14:textId="77777777" w:rsidR="00F313AE" w:rsidRPr="00F00B77" w:rsidRDefault="00F313AE" w:rsidP="0088371F">
      <w:pPr>
        <w:spacing w:before="29" w:line="360" w:lineRule="auto"/>
        <w:rPr>
          <w:sz w:val="24"/>
          <w:szCs w:val="24"/>
        </w:rPr>
      </w:pPr>
    </w:p>
    <w:p w14:paraId="58183E2F" w14:textId="77777777" w:rsidR="00F313AE" w:rsidRPr="00F00B77" w:rsidRDefault="00F313AE" w:rsidP="0088371F">
      <w:pPr>
        <w:spacing w:before="29" w:line="360" w:lineRule="auto"/>
        <w:rPr>
          <w:b/>
          <w:color w:val="000000"/>
          <w:kern w:val="0"/>
          <w:sz w:val="24"/>
          <w:szCs w:val="24"/>
        </w:rPr>
      </w:pPr>
      <w:r w:rsidRPr="00F00B77">
        <w:rPr>
          <w:rFonts w:hAnsi="宋体"/>
          <w:b/>
          <w:color w:val="000000"/>
          <w:kern w:val="0"/>
          <w:sz w:val="24"/>
          <w:szCs w:val="24"/>
        </w:rPr>
        <w:t>债券正回购的资金余额超过基金资产净值的</w:t>
      </w:r>
      <w:r w:rsidRPr="00F00B77">
        <w:rPr>
          <w:b/>
          <w:color w:val="000000"/>
          <w:kern w:val="0"/>
          <w:sz w:val="24"/>
          <w:szCs w:val="24"/>
        </w:rPr>
        <w:t>20</w:t>
      </w:r>
      <w:r w:rsidRPr="00F00B77">
        <w:rPr>
          <w:rFonts w:hAnsi="宋体"/>
          <w:b/>
          <w:color w:val="000000"/>
          <w:kern w:val="0"/>
          <w:sz w:val="24"/>
          <w:szCs w:val="24"/>
        </w:rPr>
        <w:t>％的说明</w:t>
      </w:r>
    </w:p>
    <w:p w14:paraId="35166ECF"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本基金本报告期内债券正回购的资金余额未超过资产净值的</w:t>
      </w:r>
      <w:r w:rsidRPr="00F00B77">
        <w:rPr>
          <w:color w:val="000000"/>
          <w:sz w:val="24"/>
          <w:szCs w:val="24"/>
        </w:rPr>
        <w:t>20%</w:t>
      </w:r>
      <w:r w:rsidRPr="00F00B77">
        <w:rPr>
          <w:color w:val="000000"/>
          <w:sz w:val="24"/>
          <w:szCs w:val="24"/>
        </w:rPr>
        <w:t>。</w:t>
      </w:r>
    </w:p>
    <w:p w14:paraId="38A5DDF5" w14:textId="77777777" w:rsidR="00F313AE" w:rsidRPr="00F00B77" w:rsidRDefault="00F313AE" w:rsidP="0088371F">
      <w:pPr>
        <w:spacing w:before="29" w:line="360" w:lineRule="auto"/>
        <w:rPr>
          <w:b/>
          <w:color w:val="000000"/>
          <w:kern w:val="0"/>
          <w:sz w:val="24"/>
          <w:szCs w:val="24"/>
        </w:rPr>
      </w:pPr>
    </w:p>
    <w:p w14:paraId="4E40C2EA"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 </w:t>
      </w:r>
      <w:r w:rsidRPr="00F00B77">
        <w:rPr>
          <w:rFonts w:hAnsi="宋体"/>
          <w:b/>
          <w:color w:val="000000"/>
          <w:kern w:val="0"/>
          <w:sz w:val="24"/>
          <w:szCs w:val="24"/>
        </w:rPr>
        <w:t>基金投资组合平均剩余期限</w:t>
      </w:r>
    </w:p>
    <w:p w14:paraId="25826CB7"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3.1 </w:t>
      </w:r>
      <w:r w:rsidRPr="00F00B77">
        <w:rPr>
          <w:rFonts w:hAnsi="宋体"/>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313AE" w:rsidRPr="00F00B77" w14:paraId="15AAA122"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7917CED"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43725EC6"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天数</w:t>
            </w:r>
          </w:p>
        </w:tc>
      </w:tr>
      <w:tr w:rsidR="002F3F62" w:rsidRPr="00F00B77" w14:paraId="13BF01A8"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DF4489A" w14:textId="77777777" w:rsidR="002F3F62" w:rsidRPr="00F00B77" w:rsidRDefault="002F3F62" w:rsidP="002F3F62">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F921F14" w14:textId="77777777" w:rsidR="002F3F62" w:rsidRPr="00F00B77" w:rsidRDefault="002F3F62" w:rsidP="002F3F62">
            <w:pPr>
              <w:spacing w:before="29" w:line="360" w:lineRule="auto"/>
              <w:ind w:right="120"/>
              <w:jc w:val="right"/>
              <w:rPr>
                <w:sz w:val="24"/>
                <w:szCs w:val="24"/>
              </w:rPr>
            </w:pPr>
            <w:r w:rsidRPr="000E4C40">
              <w:rPr>
                <w:sz w:val="24"/>
              </w:rPr>
              <w:t>105</w:t>
            </w:r>
          </w:p>
        </w:tc>
      </w:tr>
      <w:tr w:rsidR="002F3F62" w:rsidRPr="00F00B77" w14:paraId="68E4488C"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1AF5722" w14:textId="77777777" w:rsidR="002F3F62" w:rsidRPr="00F00B77" w:rsidRDefault="002F3F62" w:rsidP="002F3F62">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EAE89AB" w14:textId="77777777" w:rsidR="002F3F62" w:rsidRPr="00F00B77" w:rsidRDefault="002F3F62" w:rsidP="002F3F62">
            <w:pPr>
              <w:spacing w:before="29" w:line="360" w:lineRule="auto"/>
              <w:ind w:right="120"/>
              <w:jc w:val="right"/>
              <w:rPr>
                <w:color w:val="000000"/>
                <w:sz w:val="24"/>
                <w:szCs w:val="24"/>
              </w:rPr>
            </w:pPr>
            <w:r w:rsidRPr="000E4C40">
              <w:rPr>
                <w:color w:val="000000"/>
                <w:sz w:val="24"/>
              </w:rPr>
              <w:t>108</w:t>
            </w:r>
          </w:p>
        </w:tc>
      </w:tr>
      <w:tr w:rsidR="002F3F62" w:rsidRPr="00F00B77" w14:paraId="46BCC05C"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8C0247D" w14:textId="77777777" w:rsidR="002F3F62" w:rsidRPr="00F00B77" w:rsidRDefault="002F3F62" w:rsidP="002F3F62">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1E448C08" w14:textId="77777777" w:rsidR="002F3F62" w:rsidRPr="00F00B77" w:rsidRDefault="002F3F62" w:rsidP="002F3F62">
            <w:pPr>
              <w:spacing w:before="29" w:line="360" w:lineRule="auto"/>
              <w:ind w:right="120"/>
              <w:jc w:val="right"/>
              <w:rPr>
                <w:sz w:val="24"/>
                <w:szCs w:val="24"/>
              </w:rPr>
            </w:pPr>
            <w:r w:rsidRPr="000E4C40">
              <w:rPr>
                <w:sz w:val="24"/>
              </w:rPr>
              <w:t>52</w:t>
            </w:r>
          </w:p>
        </w:tc>
      </w:tr>
    </w:tbl>
    <w:p w14:paraId="522C5EC4" w14:textId="77777777" w:rsidR="00F313AE" w:rsidRPr="00F00B77" w:rsidRDefault="00F313AE" w:rsidP="0088371F">
      <w:pPr>
        <w:spacing w:before="29" w:line="360" w:lineRule="auto"/>
        <w:rPr>
          <w:b/>
          <w:sz w:val="24"/>
          <w:szCs w:val="24"/>
        </w:rPr>
      </w:pPr>
    </w:p>
    <w:p w14:paraId="0B3C5AC6" w14:textId="77777777" w:rsidR="00F313AE" w:rsidRPr="00F00B77" w:rsidRDefault="00F313AE" w:rsidP="0088371F">
      <w:pPr>
        <w:spacing w:before="29" w:line="360" w:lineRule="auto"/>
        <w:rPr>
          <w:b/>
          <w:color w:val="000000"/>
          <w:kern w:val="0"/>
          <w:sz w:val="24"/>
          <w:szCs w:val="24"/>
        </w:rPr>
      </w:pPr>
      <w:r w:rsidRPr="00F00B77">
        <w:rPr>
          <w:rFonts w:hAnsi="宋体"/>
          <w:b/>
          <w:color w:val="000000"/>
          <w:kern w:val="0"/>
          <w:sz w:val="24"/>
          <w:szCs w:val="24"/>
        </w:rPr>
        <w:t>报告期内投资组合平均剩余期限超过</w:t>
      </w:r>
      <w:r w:rsidRPr="00F00B77">
        <w:rPr>
          <w:b/>
          <w:color w:val="000000"/>
          <w:kern w:val="0"/>
          <w:sz w:val="24"/>
          <w:szCs w:val="24"/>
        </w:rPr>
        <w:t>120</w:t>
      </w:r>
      <w:r w:rsidRPr="00F00B77">
        <w:rPr>
          <w:rFonts w:hAnsi="宋体"/>
          <w:b/>
          <w:color w:val="000000"/>
          <w:kern w:val="0"/>
          <w:sz w:val="24"/>
          <w:szCs w:val="24"/>
        </w:rPr>
        <w:t>天情况说明</w:t>
      </w:r>
    </w:p>
    <w:p w14:paraId="2573220B" w14:textId="77777777" w:rsidR="00F313AE" w:rsidRPr="00F00B77" w:rsidRDefault="00F313AE" w:rsidP="0088371F">
      <w:pPr>
        <w:adjustRightInd w:val="0"/>
        <w:spacing w:before="29" w:line="360" w:lineRule="auto"/>
        <w:rPr>
          <w:kern w:val="0"/>
          <w:sz w:val="24"/>
          <w:szCs w:val="24"/>
        </w:rPr>
      </w:pPr>
      <w:r w:rsidRPr="00F00B77">
        <w:rPr>
          <w:kern w:val="0"/>
          <w:sz w:val="24"/>
          <w:szCs w:val="24"/>
        </w:rPr>
        <w:t>本基金本报告期内投资组合平均剩余期限未超过</w:t>
      </w:r>
      <w:r w:rsidRPr="00F00B77">
        <w:rPr>
          <w:kern w:val="0"/>
          <w:sz w:val="24"/>
          <w:szCs w:val="24"/>
        </w:rPr>
        <w:t>120</w:t>
      </w:r>
      <w:r w:rsidRPr="00F00B77">
        <w:rPr>
          <w:kern w:val="0"/>
          <w:sz w:val="24"/>
          <w:szCs w:val="24"/>
        </w:rPr>
        <w:t>天。</w:t>
      </w:r>
    </w:p>
    <w:p w14:paraId="4CEDB7BE" w14:textId="77777777" w:rsidR="00F313AE" w:rsidRPr="00F00B77" w:rsidRDefault="00F313AE" w:rsidP="0088371F">
      <w:pPr>
        <w:adjustRightInd w:val="0"/>
        <w:spacing w:before="29" w:line="360" w:lineRule="auto"/>
        <w:rPr>
          <w:sz w:val="24"/>
          <w:szCs w:val="24"/>
        </w:rPr>
      </w:pPr>
    </w:p>
    <w:p w14:paraId="56AED342"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3.2 </w:t>
      </w:r>
      <w:r w:rsidRPr="00F00B77">
        <w:rPr>
          <w:rFonts w:hAnsi="宋体"/>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F00B77" w14:paraId="6257A7DD"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BEB5FA6"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5FC12085"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0F097785"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793ADDB0"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各期限负债占基金资产净值的比例（％）</w:t>
            </w:r>
          </w:p>
        </w:tc>
      </w:tr>
      <w:tr w:rsidR="002F3F62" w:rsidRPr="00F00B77" w14:paraId="21A938AA"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7CFBE19" w14:textId="77777777" w:rsidR="002F3F62" w:rsidRPr="00F00B77" w:rsidRDefault="002F3F62" w:rsidP="002F3F62">
            <w:pPr>
              <w:autoSpaceDE w:val="0"/>
              <w:autoSpaceDN w:val="0"/>
              <w:adjustRightInd w:val="0"/>
              <w:spacing w:before="29" w:line="360" w:lineRule="auto"/>
              <w:ind w:left="15"/>
              <w:jc w:val="center"/>
              <w:rPr>
                <w:color w:val="000000"/>
                <w:kern w:val="0"/>
                <w:sz w:val="24"/>
                <w:szCs w:val="24"/>
              </w:rPr>
            </w:pPr>
            <w:r w:rsidRPr="00F00B77">
              <w:rPr>
                <w:color w:val="000000"/>
                <w:sz w:val="24"/>
                <w:szCs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57BCA5BD" w14:textId="77777777" w:rsidR="002F3F62" w:rsidRPr="00F00B77" w:rsidRDefault="002F3F62" w:rsidP="002F3F62">
            <w:pPr>
              <w:autoSpaceDE w:val="0"/>
              <w:autoSpaceDN w:val="0"/>
              <w:adjustRightInd w:val="0"/>
              <w:spacing w:before="29" w:line="360" w:lineRule="auto"/>
              <w:ind w:left="15"/>
              <w:jc w:val="left"/>
              <w:rPr>
                <w:color w:val="000000"/>
                <w:kern w:val="0"/>
                <w:sz w:val="24"/>
                <w:szCs w:val="24"/>
              </w:rPr>
            </w:pPr>
            <w:r w:rsidRPr="00F00B77">
              <w:rPr>
                <w:color w:val="000000"/>
                <w:sz w:val="24"/>
                <w:szCs w:val="24"/>
              </w:rPr>
              <w:t>30</w:t>
            </w:r>
            <w:r w:rsidRPr="00F00B77">
              <w:rPr>
                <w:rFonts w:hAnsi="宋体"/>
                <w:color w:val="000000"/>
                <w:sz w:val="24"/>
                <w:szCs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7B2F29A2"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15.07</w:t>
            </w:r>
          </w:p>
        </w:tc>
        <w:tc>
          <w:tcPr>
            <w:tcW w:w="2352" w:type="dxa"/>
            <w:tcBorders>
              <w:top w:val="single" w:sz="8" w:space="0" w:color="000000"/>
              <w:left w:val="single" w:sz="8" w:space="0" w:color="000000"/>
              <w:bottom w:val="single" w:sz="8" w:space="0" w:color="000000"/>
              <w:right w:val="single" w:sz="8" w:space="0" w:color="000000"/>
            </w:tcBorders>
            <w:vAlign w:val="center"/>
          </w:tcPr>
          <w:p w14:paraId="5B5D3438"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4.00</w:t>
            </w:r>
          </w:p>
        </w:tc>
      </w:tr>
      <w:tr w:rsidR="002F3F62" w:rsidRPr="00F00B77" w14:paraId="2D19F057"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3EF8FF2"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48722DFA" w14:textId="77777777" w:rsidR="002F3F62" w:rsidRPr="00F00B77" w:rsidRDefault="002F3F62" w:rsidP="002F3F62">
            <w:pPr>
              <w:autoSpaceDE w:val="0"/>
              <w:autoSpaceDN w:val="0"/>
              <w:adjustRightInd w:val="0"/>
              <w:spacing w:before="29" w:line="360" w:lineRule="auto"/>
              <w:ind w:left="15"/>
              <w:jc w:val="left"/>
              <w:rPr>
                <w:color w:val="000000"/>
                <w:kern w:val="0"/>
                <w:sz w:val="24"/>
                <w:szCs w:val="24"/>
              </w:rPr>
            </w:pPr>
            <w:r w:rsidRPr="00F00B77">
              <w:rPr>
                <w:rFonts w:hAnsi="宋体"/>
                <w:color w:val="000000"/>
                <w:sz w:val="24"/>
                <w:szCs w:val="24"/>
              </w:rPr>
              <w:t>其中：剩余存续期超过</w:t>
            </w:r>
            <w:r w:rsidRPr="00F00B77">
              <w:rPr>
                <w:color w:val="000000"/>
                <w:sz w:val="24"/>
                <w:szCs w:val="24"/>
              </w:rPr>
              <w:t>397</w:t>
            </w:r>
            <w:r w:rsidRPr="00F00B77">
              <w:rPr>
                <w:rFonts w:hAnsi="宋体"/>
                <w:color w:val="000000"/>
                <w:sz w:val="24"/>
                <w:szCs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F5A9B6C"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320962A4"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2F3F62" w:rsidRPr="00F00B77" w14:paraId="5698E7E1"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7260D60"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r w:rsidRPr="00F00B77">
              <w:rPr>
                <w:color w:val="000000"/>
                <w:sz w:val="24"/>
                <w:szCs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69DBF88F" w14:textId="77777777" w:rsidR="002F3F62" w:rsidRPr="00F00B77" w:rsidRDefault="002F3F62" w:rsidP="002F3F62">
            <w:pPr>
              <w:autoSpaceDE w:val="0"/>
              <w:autoSpaceDN w:val="0"/>
              <w:adjustRightInd w:val="0"/>
              <w:spacing w:before="29" w:line="360" w:lineRule="auto"/>
              <w:ind w:left="15"/>
              <w:jc w:val="left"/>
              <w:rPr>
                <w:color w:val="000000"/>
                <w:kern w:val="0"/>
                <w:sz w:val="24"/>
                <w:szCs w:val="24"/>
              </w:rPr>
            </w:pPr>
            <w:r w:rsidRPr="00F00B77">
              <w:rPr>
                <w:color w:val="000000"/>
                <w:sz w:val="24"/>
                <w:szCs w:val="24"/>
              </w:rPr>
              <w:t>30</w:t>
            </w:r>
            <w:r w:rsidRPr="00F00B77">
              <w:rPr>
                <w:rFonts w:hAnsi="宋体"/>
                <w:color w:val="000000"/>
                <w:sz w:val="24"/>
                <w:szCs w:val="24"/>
              </w:rPr>
              <w:t>天</w:t>
            </w:r>
            <w:r w:rsidRPr="00F00B77">
              <w:rPr>
                <w:color w:val="000000"/>
                <w:sz w:val="24"/>
                <w:szCs w:val="24"/>
              </w:rPr>
              <w:t>(</w:t>
            </w:r>
            <w:r w:rsidRPr="00F00B77">
              <w:rPr>
                <w:rFonts w:hAnsi="宋体"/>
                <w:color w:val="000000"/>
                <w:sz w:val="24"/>
                <w:szCs w:val="24"/>
              </w:rPr>
              <w:t>含</w:t>
            </w:r>
            <w:r w:rsidRPr="00F00B77">
              <w:rPr>
                <w:color w:val="000000"/>
                <w:sz w:val="24"/>
                <w:szCs w:val="24"/>
              </w:rPr>
              <w:t>)—60</w:t>
            </w:r>
            <w:r w:rsidRPr="00F00B77">
              <w:rPr>
                <w:rFonts w:hAnsi="宋体"/>
                <w:color w:val="000000"/>
                <w:sz w:val="24"/>
                <w:szCs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6DB7A3D"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12.44</w:t>
            </w:r>
          </w:p>
        </w:tc>
        <w:tc>
          <w:tcPr>
            <w:tcW w:w="2352" w:type="dxa"/>
            <w:tcBorders>
              <w:top w:val="single" w:sz="8" w:space="0" w:color="000000"/>
              <w:left w:val="single" w:sz="8" w:space="0" w:color="000000"/>
              <w:bottom w:val="single" w:sz="8" w:space="0" w:color="000000"/>
              <w:right w:val="single" w:sz="8" w:space="0" w:color="000000"/>
            </w:tcBorders>
            <w:vAlign w:val="center"/>
          </w:tcPr>
          <w:p w14:paraId="1CED4C68"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2F3F62" w:rsidRPr="00F00B77" w14:paraId="4C1BD0FB"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304821F"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1F00C1DF" w14:textId="77777777" w:rsidR="002F3F62" w:rsidRPr="00F00B77" w:rsidRDefault="002F3F62" w:rsidP="002F3F62">
            <w:pPr>
              <w:autoSpaceDE w:val="0"/>
              <w:autoSpaceDN w:val="0"/>
              <w:adjustRightInd w:val="0"/>
              <w:spacing w:before="29" w:line="360" w:lineRule="auto"/>
              <w:ind w:left="15"/>
              <w:jc w:val="left"/>
              <w:rPr>
                <w:color w:val="000000"/>
                <w:kern w:val="0"/>
                <w:sz w:val="24"/>
                <w:szCs w:val="24"/>
              </w:rPr>
            </w:pPr>
            <w:r w:rsidRPr="00F00B77">
              <w:rPr>
                <w:rFonts w:hAnsi="宋体"/>
                <w:color w:val="000000"/>
                <w:sz w:val="24"/>
                <w:szCs w:val="24"/>
              </w:rPr>
              <w:t>其中：剩余存续期超过</w:t>
            </w:r>
            <w:r w:rsidRPr="00F00B77">
              <w:rPr>
                <w:color w:val="000000"/>
                <w:sz w:val="24"/>
                <w:szCs w:val="24"/>
              </w:rPr>
              <w:t>397</w:t>
            </w:r>
            <w:r w:rsidRPr="00F00B77">
              <w:rPr>
                <w:rFonts w:hAnsi="宋体"/>
                <w:color w:val="000000"/>
                <w:sz w:val="24"/>
                <w:szCs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7B1A3CFC"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38A2797F"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2F3F62" w:rsidRPr="00F00B77" w14:paraId="3CF8AA03"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22D10D6"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r w:rsidRPr="00F00B77">
              <w:rPr>
                <w:color w:val="000000"/>
                <w:sz w:val="24"/>
                <w:szCs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75EBD1E8" w14:textId="77777777" w:rsidR="002F3F62" w:rsidRPr="00F00B77" w:rsidRDefault="002F3F62" w:rsidP="002F3F62">
            <w:pPr>
              <w:autoSpaceDE w:val="0"/>
              <w:autoSpaceDN w:val="0"/>
              <w:adjustRightInd w:val="0"/>
              <w:spacing w:before="29" w:line="360" w:lineRule="auto"/>
              <w:ind w:left="15"/>
              <w:jc w:val="left"/>
              <w:rPr>
                <w:color w:val="000000"/>
                <w:sz w:val="24"/>
                <w:szCs w:val="24"/>
              </w:rPr>
            </w:pPr>
            <w:r w:rsidRPr="00F00B77">
              <w:rPr>
                <w:color w:val="000000"/>
                <w:sz w:val="24"/>
                <w:szCs w:val="24"/>
              </w:rPr>
              <w:t>60</w:t>
            </w:r>
            <w:r w:rsidRPr="00F00B77">
              <w:rPr>
                <w:rFonts w:hAnsi="宋体"/>
                <w:color w:val="000000"/>
                <w:sz w:val="24"/>
                <w:szCs w:val="24"/>
              </w:rPr>
              <w:t>天</w:t>
            </w:r>
            <w:r w:rsidRPr="00F00B77">
              <w:rPr>
                <w:color w:val="000000"/>
                <w:sz w:val="24"/>
                <w:szCs w:val="24"/>
              </w:rPr>
              <w:t>(</w:t>
            </w:r>
            <w:r w:rsidRPr="00F00B77">
              <w:rPr>
                <w:rFonts w:hAnsi="宋体"/>
                <w:color w:val="000000"/>
                <w:sz w:val="24"/>
                <w:szCs w:val="24"/>
              </w:rPr>
              <w:t>含</w:t>
            </w:r>
            <w:r w:rsidRPr="00F00B77">
              <w:rPr>
                <w:color w:val="000000"/>
                <w:sz w:val="24"/>
                <w:szCs w:val="24"/>
              </w:rPr>
              <w:t>)—90</w:t>
            </w:r>
            <w:r w:rsidRPr="00F00B77">
              <w:rPr>
                <w:rFonts w:hAnsi="宋体"/>
                <w:color w:val="000000"/>
                <w:sz w:val="24"/>
                <w:szCs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72E0AE42"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37.08</w:t>
            </w:r>
          </w:p>
        </w:tc>
        <w:tc>
          <w:tcPr>
            <w:tcW w:w="2352" w:type="dxa"/>
            <w:tcBorders>
              <w:top w:val="single" w:sz="8" w:space="0" w:color="000000"/>
              <w:left w:val="single" w:sz="8" w:space="0" w:color="000000"/>
              <w:bottom w:val="single" w:sz="8" w:space="0" w:color="000000"/>
              <w:right w:val="single" w:sz="8" w:space="0" w:color="000000"/>
            </w:tcBorders>
            <w:vAlign w:val="center"/>
          </w:tcPr>
          <w:p w14:paraId="308A1948"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2F3F62" w:rsidRPr="00F00B77" w14:paraId="63E837CA"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A9EFA2D"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FF055F5" w14:textId="77777777" w:rsidR="002F3F62" w:rsidRPr="00F00B77" w:rsidRDefault="002F3F62" w:rsidP="002F3F62">
            <w:pPr>
              <w:autoSpaceDE w:val="0"/>
              <w:autoSpaceDN w:val="0"/>
              <w:adjustRightInd w:val="0"/>
              <w:spacing w:before="29" w:line="360" w:lineRule="auto"/>
              <w:ind w:left="15"/>
              <w:jc w:val="left"/>
              <w:rPr>
                <w:color w:val="000000"/>
                <w:sz w:val="24"/>
                <w:szCs w:val="24"/>
              </w:rPr>
            </w:pPr>
            <w:r w:rsidRPr="00F00B77">
              <w:rPr>
                <w:rFonts w:hAnsi="宋体"/>
                <w:color w:val="000000"/>
                <w:sz w:val="24"/>
                <w:szCs w:val="24"/>
              </w:rPr>
              <w:t>其中：剩余存续期超过</w:t>
            </w:r>
            <w:r w:rsidRPr="00F00B77">
              <w:rPr>
                <w:color w:val="000000"/>
                <w:sz w:val="24"/>
                <w:szCs w:val="24"/>
              </w:rPr>
              <w:t>397</w:t>
            </w:r>
            <w:r w:rsidRPr="00F00B77">
              <w:rPr>
                <w:rFonts w:hAnsi="宋体"/>
                <w:color w:val="000000"/>
                <w:sz w:val="24"/>
                <w:szCs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21E6807"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389AE15"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2F3F62" w:rsidRPr="00F00B77" w14:paraId="768BAF32"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EB12A41"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r w:rsidRPr="00F00B77">
              <w:rPr>
                <w:color w:val="000000"/>
                <w:sz w:val="24"/>
                <w:szCs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4DAEF2B4" w14:textId="77777777" w:rsidR="002F3F62" w:rsidRPr="00F00B77" w:rsidRDefault="002F3F62" w:rsidP="002F3F62">
            <w:pPr>
              <w:autoSpaceDE w:val="0"/>
              <w:autoSpaceDN w:val="0"/>
              <w:adjustRightInd w:val="0"/>
              <w:spacing w:before="29" w:line="360" w:lineRule="auto"/>
              <w:ind w:left="15"/>
              <w:jc w:val="left"/>
              <w:rPr>
                <w:color w:val="000000"/>
                <w:sz w:val="24"/>
                <w:szCs w:val="24"/>
              </w:rPr>
            </w:pPr>
            <w:r w:rsidRPr="00F00B77">
              <w:rPr>
                <w:color w:val="000000"/>
                <w:sz w:val="24"/>
                <w:szCs w:val="24"/>
              </w:rPr>
              <w:t>90</w:t>
            </w:r>
            <w:r w:rsidRPr="00F00B77">
              <w:rPr>
                <w:rFonts w:hAnsi="宋体"/>
                <w:color w:val="000000"/>
                <w:sz w:val="24"/>
                <w:szCs w:val="24"/>
              </w:rPr>
              <w:t>天</w:t>
            </w:r>
            <w:r w:rsidRPr="00F00B77">
              <w:rPr>
                <w:color w:val="000000"/>
                <w:sz w:val="24"/>
                <w:szCs w:val="24"/>
              </w:rPr>
              <w:t>(</w:t>
            </w:r>
            <w:r w:rsidRPr="00F00B77">
              <w:rPr>
                <w:rFonts w:hAnsi="宋体"/>
                <w:color w:val="000000"/>
                <w:sz w:val="24"/>
                <w:szCs w:val="24"/>
              </w:rPr>
              <w:t>含</w:t>
            </w:r>
            <w:r w:rsidRPr="00F00B77">
              <w:rPr>
                <w:color w:val="000000"/>
                <w:sz w:val="24"/>
                <w:szCs w:val="24"/>
              </w:rPr>
              <w:t>)—120</w:t>
            </w:r>
            <w:r w:rsidRPr="00F00B77">
              <w:rPr>
                <w:rFonts w:hAnsi="宋体"/>
                <w:color w:val="000000"/>
                <w:sz w:val="24"/>
                <w:szCs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4BA1BD3B"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5695">
              <w:rPr>
                <w:color w:val="000000"/>
                <w:sz w:val="24"/>
              </w:rPr>
              <w:t>8.64</w:t>
            </w:r>
          </w:p>
        </w:tc>
        <w:tc>
          <w:tcPr>
            <w:tcW w:w="2352" w:type="dxa"/>
            <w:tcBorders>
              <w:top w:val="single" w:sz="8" w:space="0" w:color="000000"/>
              <w:left w:val="single" w:sz="8" w:space="0" w:color="000000"/>
              <w:bottom w:val="single" w:sz="8" w:space="0" w:color="000000"/>
              <w:right w:val="single" w:sz="8" w:space="0" w:color="000000"/>
            </w:tcBorders>
            <w:vAlign w:val="center"/>
          </w:tcPr>
          <w:p w14:paraId="16E5521C"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2F3F62" w:rsidRPr="00F00B77" w14:paraId="0819E840"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7CD05C0"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F6288DE" w14:textId="77777777" w:rsidR="002F3F62" w:rsidRPr="00F00B77" w:rsidRDefault="002F3F62" w:rsidP="002F3F62">
            <w:pPr>
              <w:autoSpaceDE w:val="0"/>
              <w:autoSpaceDN w:val="0"/>
              <w:adjustRightInd w:val="0"/>
              <w:spacing w:before="29" w:line="360" w:lineRule="auto"/>
              <w:ind w:left="15"/>
              <w:jc w:val="left"/>
              <w:rPr>
                <w:color w:val="000000"/>
                <w:sz w:val="24"/>
                <w:szCs w:val="24"/>
              </w:rPr>
            </w:pPr>
            <w:r w:rsidRPr="00F00B77">
              <w:rPr>
                <w:rFonts w:hAnsi="宋体"/>
                <w:color w:val="000000"/>
                <w:sz w:val="24"/>
                <w:szCs w:val="24"/>
              </w:rPr>
              <w:t>其中：剩余存续期超过</w:t>
            </w:r>
            <w:r w:rsidRPr="00F00B77">
              <w:rPr>
                <w:color w:val="000000"/>
                <w:sz w:val="24"/>
                <w:szCs w:val="24"/>
              </w:rPr>
              <w:t>397</w:t>
            </w:r>
            <w:r w:rsidRPr="00F00B77">
              <w:rPr>
                <w:rFonts w:hAnsi="宋体"/>
                <w:color w:val="000000"/>
                <w:sz w:val="24"/>
                <w:szCs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22978A0"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C057302"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2F3F62" w:rsidRPr="00F00B77" w14:paraId="1D04D1E3"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4EF8E87"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r w:rsidRPr="00F00B77">
              <w:rPr>
                <w:color w:val="000000"/>
                <w:sz w:val="24"/>
                <w:szCs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553BC27C" w14:textId="77777777" w:rsidR="002F3F62" w:rsidRPr="00F00B77" w:rsidRDefault="002F3F62" w:rsidP="002F3F62">
            <w:pPr>
              <w:autoSpaceDE w:val="0"/>
              <w:autoSpaceDN w:val="0"/>
              <w:adjustRightInd w:val="0"/>
              <w:spacing w:before="29" w:line="360" w:lineRule="auto"/>
              <w:ind w:left="15"/>
              <w:jc w:val="left"/>
              <w:rPr>
                <w:color w:val="000000"/>
                <w:sz w:val="24"/>
                <w:szCs w:val="24"/>
              </w:rPr>
            </w:pPr>
            <w:r w:rsidRPr="00F00B77">
              <w:rPr>
                <w:color w:val="000000"/>
                <w:sz w:val="24"/>
                <w:szCs w:val="24"/>
              </w:rPr>
              <w:t>120</w:t>
            </w:r>
            <w:r w:rsidRPr="00F00B77">
              <w:rPr>
                <w:rFonts w:hAnsi="宋体"/>
                <w:color w:val="000000"/>
                <w:sz w:val="24"/>
                <w:szCs w:val="24"/>
              </w:rPr>
              <w:t>天</w:t>
            </w:r>
            <w:r w:rsidRPr="00F00B77">
              <w:rPr>
                <w:color w:val="000000"/>
                <w:sz w:val="24"/>
                <w:szCs w:val="24"/>
              </w:rPr>
              <w:t>(</w:t>
            </w:r>
            <w:r w:rsidRPr="00F00B77">
              <w:rPr>
                <w:rFonts w:hAnsi="宋体"/>
                <w:color w:val="000000"/>
                <w:sz w:val="24"/>
                <w:szCs w:val="24"/>
              </w:rPr>
              <w:t>含</w:t>
            </w:r>
            <w:r w:rsidRPr="00F00B77">
              <w:rPr>
                <w:color w:val="000000"/>
                <w:sz w:val="24"/>
                <w:szCs w:val="24"/>
              </w:rPr>
              <w:t>)—397</w:t>
            </w:r>
            <w:r w:rsidRPr="00F00B77">
              <w:rPr>
                <w:rFonts w:hAnsi="宋体"/>
                <w:color w:val="000000"/>
                <w:sz w:val="24"/>
                <w:szCs w:val="24"/>
              </w:rPr>
              <w:t>天</w:t>
            </w:r>
            <w:r w:rsidRPr="00F00B77">
              <w:rPr>
                <w:rFonts w:hAnsi="宋体"/>
                <w:color w:val="000000"/>
                <w:kern w:val="0"/>
                <w:sz w:val="24"/>
                <w:szCs w:val="24"/>
              </w:rPr>
              <w:t>（</w:t>
            </w:r>
            <w:r w:rsidRPr="00F00B77">
              <w:rPr>
                <w:rFonts w:hAnsi="宋体"/>
                <w:color w:val="000000"/>
                <w:sz w:val="24"/>
                <w:szCs w:val="24"/>
              </w:rPr>
              <w:t>含</w:t>
            </w:r>
            <w:r w:rsidRPr="00F00B77">
              <w:rPr>
                <w:rFonts w:hAnsi="宋体"/>
                <w:color w:val="000000"/>
                <w:kern w:val="0"/>
                <w:sz w:val="24"/>
                <w:szCs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70A0E908"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5695">
              <w:rPr>
                <w:color w:val="000000"/>
                <w:sz w:val="24"/>
              </w:rPr>
              <w:t>30.21</w:t>
            </w:r>
          </w:p>
        </w:tc>
        <w:tc>
          <w:tcPr>
            <w:tcW w:w="2352" w:type="dxa"/>
            <w:tcBorders>
              <w:top w:val="single" w:sz="8" w:space="0" w:color="000000"/>
              <w:left w:val="single" w:sz="8" w:space="0" w:color="000000"/>
              <w:bottom w:val="single" w:sz="8" w:space="0" w:color="000000"/>
              <w:right w:val="single" w:sz="8" w:space="0" w:color="000000"/>
            </w:tcBorders>
            <w:vAlign w:val="center"/>
          </w:tcPr>
          <w:p w14:paraId="6818DDE0"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2F3F62" w:rsidRPr="00F00B77" w14:paraId="21A0AEE0"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CF4C070" w14:textId="77777777" w:rsidR="002F3F62" w:rsidRPr="00F00B77" w:rsidRDefault="002F3F62" w:rsidP="002F3F62">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48773C3" w14:textId="77777777" w:rsidR="002F3F62" w:rsidRPr="00F00B77" w:rsidRDefault="002F3F62" w:rsidP="002F3F62">
            <w:pPr>
              <w:autoSpaceDE w:val="0"/>
              <w:autoSpaceDN w:val="0"/>
              <w:adjustRightInd w:val="0"/>
              <w:spacing w:before="29" w:line="360" w:lineRule="auto"/>
              <w:ind w:left="15"/>
              <w:jc w:val="left"/>
              <w:rPr>
                <w:color w:val="000000"/>
                <w:sz w:val="24"/>
                <w:szCs w:val="24"/>
              </w:rPr>
            </w:pPr>
            <w:r w:rsidRPr="00F00B77">
              <w:rPr>
                <w:rFonts w:hAnsi="宋体"/>
                <w:color w:val="000000"/>
                <w:sz w:val="24"/>
                <w:szCs w:val="24"/>
              </w:rPr>
              <w:t>其中：剩余存续期超过</w:t>
            </w:r>
            <w:r w:rsidRPr="00F00B77">
              <w:rPr>
                <w:color w:val="000000"/>
                <w:sz w:val="24"/>
                <w:szCs w:val="24"/>
              </w:rPr>
              <w:t>397</w:t>
            </w:r>
            <w:r w:rsidRPr="00F00B77">
              <w:rPr>
                <w:rFonts w:hAnsi="宋体"/>
                <w:color w:val="000000"/>
                <w:sz w:val="24"/>
                <w:szCs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B70C8F8"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0DAB6B9" w14:textId="77777777" w:rsidR="002F3F62" w:rsidRPr="00F00B77" w:rsidRDefault="002F3F62" w:rsidP="002F3F62">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D8285D" w:rsidRPr="00F00B77" w14:paraId="430847CB" w14:textId="77777777" w:rsidTr="002F3F62">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2C618EC8" w14:textId="77777777" w:rsidR="00D8285D" w:rsidRPr="00F00B77" w:rsidRDefault="00D8285D" w:rsidP="00D8285D">
            <w:pPr>
              <w:autoSpaceDE w:val="0"/>
              <w:autoSpaceDN w:val="0"/>
              <w:adjustRightInd w:val="0"/>
              <w:spacing w:before="29" w:line="360" w:lineRule="auto"/>
              <w:ind w:left="15"/>
              <w:jc w:val="center"/>
              <w:rPr>
                <w:color w:val="000000"/>
                <w:sz w:val="24"/>
                <w:szCs w:val="24"/>
              </w:rPr>
            </w:pPr>
            <w:r w:rsidRPr="00F00B77">
              <w:rPr>
                <w:rFonts w:hAnsi="宋体"/>
                <w:color w:val="000000"/>
                <w:sz w:val="24"/>
                <w:szCs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35AF6C78" w14:textId="77777777" w:rsidR="00D8285D" w:rsidRPr="00F00B77" w:rsidRDefault="00D8285D" w:rsidP="00D8285D">
            <w:pPr>
              <w:autoSpaceDE w:val="0"/>
              <w:autoSpaceDN w:val="0"/>
              <w:adjustRightInd w:val="0"/>
              <w:spacing w:before="29" w:line="360" w:lineRule="auto"/>
              <w:ind w:left="15"/>
              <w:jc w:val="right"/>
              <w:rPr>
                <w:color w:val="000000"/>
                <w:kern w:val="0"/>
                <w:sz w:val="24"/>
                <w:szCs w:val="24"/>
              </w:rPr>
            </w:pPr>
            <w:r w:rsidRPr="000E4C40">
              <w:rPr>
                <w:color w:val="000000"/>
                <w:sz w:val="24"/>
              </w:rPr>
              <w:t>103.44</w:t>
            </w:r>
          </w:p>
        </w:tc>
        <w:tc>
          <w:tcPr>
            <w:tcW w:w="2352" w:type="dxa"/>
            <w:tcBorders>
              <w:top w:val="single" w:sz="8" w:space="0" w:color="000000"/>
              <w:left w:val="single" w:sz="8" w:space="0" w:color="000000"/>
              <w:bottom w:val="single" w:sz="8" w:space="0" w:color="000000"/>
              <w:right w:val="single" w:sz="8" w:space="0" w:color="000000"/>
            </w:tcBorders>
            <w:vAlign w:val="center"/>
          </w:tcPr>
          <w:p w14:paraId="25E0FAF5" w14:textId="77777777" w:rsidR="00D8285D" w:rsidRPr="00F00B77" w:rsidRDefault="00D8285D" w:rsidP="00D8285D">
            <w:pPr>
              <w:autoSpaceDE w:val="0"/>
              <w:autoSpaceDN w:val="0"/>
              <w:adjustRightInd w:val="0"/>
              <w:spacing w:before="29" w:line="360" w:lineRule="auto"/>
              <w:ind w:left="15"/>
              <w:jc w:val="right"/>
              <w:rPr>
                <w:color w:val="000000"/>
                <w:kern w:val="0"/>
                <w:sz w:val="24"/>
                <w:szCs w:val="24"/>
              </w:rPr>
            </w:pPr>
            <w:r w:rsidRPr="000E4C40">
              <w:rPr>
                <w:color w:val="000000"/>
                <w:sz w:val="24"/>
              </w:rPr>
              <w:t>4.00</w:t>
            </w:r>
          </w:p>
        </w:tc>
      </w:tr>
    </w:tbl>
    <w:p w14:paraId="2FB718D4" w14:textId="77777777" w:rsidR="00F313AE" w:rsidRPr="00F00B77" w:rsidRDefault="00F313AE" w:rsidP="0088371F">
      <w:pPr>
        <w:spacing w:before="29" w:line="360" w:lineRule="auto"/>
        <w:rPr>
          <w:color w:val="000000"/>
          <w:kern w:val="0"/>
          <w:sz w:val="24"/>
          <w:szCs w:val="24"/>
        </w:rPr>
      </w:pPr>
    </w:p>
    <w:p w14:paraId="1E404DF1" w14:textId="77777777" w:rsidR="00F313AE" w:rsidRPr="00F00B77" w:rsidRDefault="00F313AE" w:rsidP="00D80722">
      <w:pPr>
        <w:spacing w:line="360" w:lineRule="auto"/>
        <w:rPr>
          <w:rFonts w:ascii="宋体" w:hAnsi="宋体" w:cs="Arial"/>
          <w:b/>
          <w:bCs/>
          <w:color w:val="000000"/>
          <w:kern w:val="0"/>
          <w:sz w:val="24"/>
          <w:szCs w:val="24"/>
        </w:rPr>
      </w:pPr>
      <w:r w:rsidRPr="00F00B77">
        <w:rPr>
          <w:rFonts w:ascii="宋体" w:hAnsi="宋体" w:cs="Arial" w:hint="eastAsia"/>
          <w:b/>
          <w:bCs/>
          <w:color w:val="000000"/>
          <w:kern w:val="0"/>
          <w:sz w:val="24"/>
          <w:szCs w:val="24"/>
        </w:rPr>
        <w:t>4</w:t>
      </w:r>
      <w:r w:rsidRPr="00F00B77">
        <w:rPr>
          <w:rFonts w:ascii="宋体" w:hAnsi="宋体" w:hint="eastAsia"/>
          <w:b/>
          <w:bCs/>
          <w:color w:val="000000"/>
          <w:sz w:val="24"/>
          <w:szCs w:val="24"/>
        </w:rPr>
        <w:t>报告期内投资组合平均剩余存续期超过240天情况说明</w:t>
      </w:r>
    </w:p>
    <w:p w14:paraId="23FAD09F" w14:textId="77777777" w:rsidR="00F313AE" w:rsidRPr="00F00B77" w:rsidRDefault="00F313AE" w:rsidP="00F4542E">
      <w:pPr>
        <w:autoSpaceDE w:val="0"/>
        <w:autoSpaceDN w:val="0"/>
        <w:adjustRightInd w:val="0"/>
        <w:spacing w:line="360" w:lineRule="auto"/>
        <w:jc w:val="left"/>
        <w:rPr>
          <w:rFonts w:ascii="宋体" w:hAnsi="宋体"/>
          <w:color w:val="000000"/>
          <w:sz w:val="24"/>
          <w:szCs w:val="24"/>
        </w:rPr>
      </w:pPr>
      <w:r w:rsidRPr="00F00B77">
        <w:rPr>
          <w:rFonts w:ascii="宋体" w:hAnsi="宋体" w:hint="eastAsia"/>
          <w:color w:val="000000"/>
          <w:sz w:val="24"/>
          <w:szCs w:val="24"/>
        </w:rPr>
        <w:t>本基金本报告期内投资组合平均剩余存续期未超过240天。</w:t>
      </w:r>
    </w:p>
    <w:p w14:paraId="682234D5" w14:textId="77777777" w:rsidR="00F313AE" w:rsidRPr="00F00B77" w:rsidRDefault="00F313AE" w:rsidP="0088371F">
      <w:pPr>
        <w:spacing w:before="29" w:line="360" w:lineRule="auto"/>
        <w:rPr>
          <w:color w:val="000000"/>
          <w:kern w:val="0"/>
          <w:sz w:val="24"/>
          <w:szCs w:val="24"/>
        </w:rPr>
      </w:pPr>
    </w:p>
    <w:p w14:paraId="0351BDC1"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5 </w:t>
      </w:r>
      <w:r w:rsidRPr="00F00B77">
        <w:rPr>
          <w:rFonts w:hAnsi="宋体"/>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F00B77" w14:paraId="602F56A5" w14:textId="77777777" w:rsidTr="001669E6">
        <w:trPr>
          <w:jc w:val="center"/>
        </w:trPr>
        <w:tc>
          <w:tcPr>
            <w:tcW w:w="786" w:type="dxa"/>
            <w:vAlign w:val="center"/>
          </w:tcPr>
          <w:p w14:paraId="71E93794"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序号</w:t>
            </w:r>
          </w:p>
        </w:tc>
        <w:tc>
          <w:tcPr>
            <w:tcW w:w="3096" w:type="dxa"/>
            <w:vAlign w:val="center"/>
          </w:tcPr>
          <w:p w14:paraId="1B0617E4"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债券品种</w:t>
            </w:r>
          </w:p>
        </w:tc>
        <w:tc>
          <w:tcPr>
            <w:tcW w:w="3097" w:type="dxa"/>
            <w:vAlign w:val="center"/>
          </w:tcPr>
          <w:p w14:paraId="53CF3841" w14:textId="77777777" w:rsidR="00F313AE" w:rsidRPr="00F00B77" w:rsidRDefault="00F313AE" w:rsidP="0088371F">
            <w:pPr>
              <w:spacing w:before="29" w:line="360" w:lineRule="auto"/>
              <w:ind w:left="17"/>
              <w:jc w:val="center"/>
              <w:rPr>
                <w:color w:val="000000"/>
                <w:sz w:val="24"/>
                <w:szCs w:val="24"/>
              </w:rPr>
            </w:pPr>
            <w:r w:rsidRPr="00F00B77">
              <w:rPr>
                <w:rFonts w:hAnsi="宋体"/>
                <w:sz w:val="24"/>
                <w:szCs w:val="24"/>
              </w:rPr>
              <w:t>摊余成本（元）</w:t>
            </w:r>
          </w:p>
        </w:tc>
        <w:tc>
          <w:tcPr>
            <w:tcW w:w="1889" w:type="dxa"/>
            <w:vAlign w:val="center"/>
          </w:tcPr>
          <w:p w14:paraId="4FADF8D1"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占基金资产净值比例</w:t>
            </w:r>
            <w:r w:rsidRPr="00F00B77">
              <w:rPr>
                <w:rFonts w:hAnsi="宋体"/>
                <w:color w:val="000000"/>
                <w:kern w:val="0"/>
                <w:sz w:val="24"/>
                <w:szCs w:val="24"/>
              </w:rPr>
              <w:t>（％）</w:t>
            </w:r>
          </w:p>
        </w:tc>
      </w:tr>
      <w:tr w:rsidR="00480801" w:rsidRPr="00F00B77" w14:paraId="36C37DF5" w14:textId="77777777" w:rsidTr="001669E6">
        <w:trPr>
          <w:jc w:val="center"/>
        </w:trPr>
        <w:tc>
          <w:tcPr>
            <w:tcW w:w="786" w:type="dxa"/>
            <w:vAlign w:val="center"/>
          </w:tcPr>
          <w:p w14:paraId="131BE74A"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1</w:t>
            </w:r>
          </w:p>
        </w:tc>
        <w:tc>
          <w:tcPr>
            <w:tcW w:w="3096" w:type="dxa"/>
            <w:vAlign w:val="center"/>
          </w:tcPr>
          <w:p w14:paraId="3084B236"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国家债券</w:t>
            </w:r>
          </w:p>
        </w:tc>
        <w:tc>
          <w:tcPr>
            <w:tcW w:w="3097" w:type="dxa"/>
            <w:vAlign w:val="center"/>
          </w:tcPr>
          <w:p w14:paraId="6DB5A186"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99,208,160.49</w:t>
            </w:r>
          </w:p>
        </w:tc>
        <w:tc>
          <w:tcPr>
            <w:tcW w:w="1889" w:type="dxa"/>
            <w:vAlign w:val="center"/>
          </w:tcPr>
          <w:p w14:paraId="6C027EB3"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2.02</w:t>
            </w:r>
          </w:p>
        </w:tc>
      </w:tr>
      <w:tr w:rsidR="00480801" w:rsidRPr="00F00B77" w14:paraId="6B4EB9EB" w14:textId="77777777" w:rsidTr="001669E6">
        <w:trPr>
          <w:jc w:val="center"/>
        </w:trPr>
        <w:tc>
          <w:tcPr>
            <w:tcW w:w="786" w:type="dxa"/>
            <w:vAlign w:val="center"/>
          </w:tcPr>
          <w:p w14:paraId="04C3ED42"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2</w:t>
            </w:r>
          </w:p>
        </w:tc>
        <w:tc>
          <w:tcPr>
            <w:tcW w:w="3096" w:type="dxa"/>
            <w:vAlign w:val="center"/>
          </w:tcPr>
          <w:p w14:paraId="6B71BADD"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央行票据</w:t>
            </w:r>
          </w:p>
        </w:tc>
        <w:tc>
          <w:tcPr>
            <w:tcW w:w="3097" w:type="dxa"/>
            <w:vAlign w:val="center"/>
          </w:tcPr>
          <w:p w14:paraId="051AB1D7"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c>
          <w:tcPr>
            <w:tcW w:w="1889" w:type="dxa"/>
            <w:vAlign w:val="center"/>
          </w:tcPr>
          <w:p w14:paraId="6C253AD4"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r>
      <w:tr w:rsidR="00480801" w:rsidRPr="00F00B77" w14:paraId="0A9273A3" w14:textId="77777777" w:rsidTr="001669E6">
        <w:trPr>
          <w:jc w:val="center"/>
        </w:trPr>
        <w:tc>
          <w:tcPr>
            <w:tcW w:w="786" w:type="dxa"/>
            <w:vAlign w:val="center"/>
          </w:tcPr>
          <w:p w14:paraId="463F6395"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3</w:t>
            </w:r>
          </w:p>
        </w:tc>
        <w:tc>
          <w:tcPr>
            <w:tcW w:w="3096" w:type="dxa"/>
            <w:vAlign w:val="center"/>
          </w:tcPr>
          <w:p w14:paraId="08DC24AC"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金融债券</w:t>
            </w:r>
          </w:p>
        </w:tc>
        <w:tc>
          <w:tcPr>
            <w:tcW w:w="3097" w:type="dxa"/>
            <w:vAlign w:val="center"/>
          </w:tcPr>
          <w:p w14:paraId="00779049"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174,626,950.57</w:t>
            </w:r>
          </w:p>
        </w:tc>
        <w:tc>
          <w:tcPr>
            <w:tcW w:w="1889" w:type="dxa"/>
            <w:vAlign w:val="center"/>
          </w:tcPr>
          <w:p w14:paraId="05E70409"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3.56</w:t>
            </w:r>
          </w:p>
        </w:tc>
      </w:tr>
      <w:tr w:rsidR="00480801" w:rsidRPr="00F00B77" w14:paraId="0D41225F" w14:textId="77777777" w:rsidTr="001669E6">
        <w:trPr>
          <w:jc w:val="center"/>
        </w:trPr>
        <w:tc>
          <w:tcPr>
            <w:tcW w:w="786" w:type="dxa"/>
            <w:vAlign w:val="center"/>
          </w:tcPr>
          <w:p w14:paraId="2F6AF330" w14:textId="77777777" w:rsidR="00480801" w:rsidRPr="00F00B77" w:rsidRDefault="00480801" w:rsidP="00480801">
            <w:pPr>
              <w:spacing w:before="29" w:line="360" w:lineRule="auto"/>
              <w:ind w:left="17"/>
              <w:jc w:val="center"/>
              <w:rPr>
                <w:color w:val="000000"/>
                <w:sz w:val="24"/>
                <w:szCs w:val="24"/>
              </w:rPr>
            </w:pPr>
          </w:p>
        </w:tc>
        <w:tc>
          <w:tcPr>
            <w:tcW w:w="3096" w:type="dxa"/>
            <w:vAlign w:val="center"/>
          </w:tcPr>
          <w:p w14:paraId="35005123"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其中：政策性金融债</w:t>
            </w:r>
          </w:p>
        </w:tc>
        <w:tc>
          <w:tcPr>
            <w:tcW w:w="3097" w:type="dxa"/>
            <w:vAlign w:val="center"/>
          </w:tcPr>
          <w:p w14:paraId="68356974"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174,626,950.57</w:t>
            </w:r>
          </w:p>
        </w:tc>
        <w:tc>
          <w:tcPr>
            <w:tcW w:w="1889" w:type="dxa"/>
            <w:vAlign w:val="center"/>
          </w:tcPr>
          <w:p w14:paraId="641B7AC1"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3.56</w:t>
            </w:r>
          </w:p>
        </w:tc>
      </w:tr>
      <w:tr w:rsidR="00480801" w:rsidRPr="00F00B77" w14:paraId="7B94A609" w14:textId="77777777" w:rsidTr="001669E6">
        <w:trPr>
          <w:jc w:val="center"/>
        </w:trPr>
        <w:tc>
          <w:tcPr>
            <w:tcW w:w="786" w:type="dxa"/>
            <w:vAlign w:val="center"/>
          </w:tcPr>
          <w:p w14:paraId="16D04B57"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4</w:t>
            </w:r>
          </w:p>
        </w:tc>
        <w:tc>
          <w:tcPr>
            <w:tcW w:w="3096" w:type="dxa"/>
            <w:vAlign w:val="center"/>
          </w:tcPr>
          <w:p w14:paraId="4FE6FE41"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企业债券</w:t>
            </w:r>
          </w:p>
        </w:tc>
        <w:tc>
          <w:tcPr>
            <w:tcW w:w="3097" w:type="dxa"/>
            <w:vAlign w:val="center"/>
          </w:tcPr>
          <w:p w14:paraId="6BB4DF8C"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c>
          <w:tcPr>
            <w:tcW w:w="1889" w:type="dxa"/>
            <w:vAlign w:val="center"/>
          </w:tcPr>
          <w:p w14:paraId="14F0F932"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r>
      <w:tr w:rsidR="00480801" w:rsidRPr="00F00B77" w14:paraId="1B3933FD" w14:textId="77777777" w:rsidTr="001669E6">
        <w:trPr>
          <w:jc w:val="center"/>
        </w:trPr>
        <w:tc>
          <w:tcPr>
            <w:tcW w:w="786" w:type="dxa"/>
            <w:vAlign w:val="center"/>
          </w:tcPr>
          <w:p w14:paraId="10B2B44A"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5</w:t>
            </w:r>
          </w:p>
        </w:tc>
        <w:tc>
          <w:tcPr>
            <w:tcW w:w="3096" w:type="dxa"/>
            <w:vAlign w:val="center"/>
          </w:tcPr>
          <w:p w14:paraId="32BB28AA"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企业短期融资券</w:t>
            </w:r>
          </w:p>
        </w:tc>
        <w:tc>
          <w:tcPr>
            <w:tcW w:w="3097" w:type="dxa"/>
            <w:vAlign w:val="center"/>
          </w:tcPr>
          <w:p w14:paraId="5113DAEC"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370,103,629.98</w:t>
            </w:r>
          </w:p>
        </w:tc>
        <w:tc>
          <w:tcPr>
            <w:tcW w:w="1889" w:type="dxa"/>
            <w:vAlign w:val="center"/>
          </w:tcPr>
          <w:p w14:paraId="01C26F6C"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7.54</w:t>
            </w:r>
          </w:p>
        </w:tc>
      </w:tr>
      <w:tr w:rsidR="00480801" w:rsidRPr="00F00B77" w14:paraId="2E12EBCA" w14:textId="77777777" w:rsidTr="001669E6">
        <w:trPr>
          <w:jc w:val="center"/>
        </w:trPr>
        <w:tc>
          <w:tcPr>
            <w:tcW w:w="786" w:type="dxa"/>
            <w:vAlign w:val="center"/>
          </w:tcPr>
          <w:p w14:paraId="7C8C3BC3"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6</w:t>
            </w:r>
          </w:p>
        </w:tc>
        <w:tc>
          <w:tcPr>
            <w:tcW w:w="3096" w:type="dxa"/>
            <w:vAlign w:val="center"/>
          </w:tcPr>
          <w:p w14:paraId="2ADDAA4B"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中期票据</w:t>
            </w:r>
          </w:p>
        </w:tc>
        <w:tc>
          <w:tcPr>
            <w:tcW w:w="3097" w:type="dxa"/>
            <w:vAlign w:val="center"/>
          </w:tcPr>
          <w:p w14:paraId="14DABBDE"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c>
          <w:tcPr>
            <w:tcW w:w="1889" w:type="dxa"/>
            <w:vAlign w:val="center"/>
          </w:tcPr>
          <w:p w14:paraId="2665E51A"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r>
      <w:tr w:rsidR="00480801" w:rsidRPr="00F00B77" w14:paraId="50005633" w14:textId="77777777" w:rsidTr="001669E6">
        <w:trPr>
          <w:jc w:val="center"/>
        </w:trPr>
        <w:tc>
          <w:tcPr>
            <w:tcW w:w="786" w:type="dxa"/>
            <w:vAlign w:val="center"/>
          </w:tcPr>
          <w:p w14:paraId="26EC79F4" w14:textId="77777777" w:rsidR="00480801" w:rsidRPr="00F00B77" w:rsidRDefault="00480801" w:rsidP="00480801">
            <w:pPr>
              <w:spacing w:before="29" w:line="360" w:lineRule="auto"/>
              <w:ind w:left="17"/>
              <w:jc w:val="center"/>
              <w:rPr>
                <w:color w:val="000000"/>
                <w:sz w:val="24"/>
                <w:szCs w:val="24"/>
              </w:rPr>
            </w:pPr>
            <w:r w:rsidRPr="00F00B77">
              <w:rPr>
                <w:rFonts w:hint="eastAsia"/>
                <w:color w:val="000000"/>
                <w:sz w:val="24"/>
                <w:szCs w:val="24"/>
              </w:rPr>
              <w:t>7</w:t>
            </w:r>
          </w:p>
        </w:tc>
        <w:tc>
          <w:tcPr>
            <w:tcW w:w="3096" w:type="dxa"/>
            <w:vAlign w:val="center"/>
          </w:tcPr>
          <w:p w14:paraId="590F49C0" w14:textId="77777777" w:rsidR="00480801" w:rsidRPr="00F00B77" w:rsidRDefault="00480801" w:rsidP="00480801">
            <w:pPr>
              <w:spacing w:before="29" w:line="360" w:lineRule="auto"/>
              <w:ind w:left="17"/>
              <w:jc w:val="left"/>
              <w:rPr>
                <w:color w:val="000000"/>
                <w:sz w:val="24"/>
                <w:szCs w:val="24"/>
              </w:rPr>
            </w:pPr>
            <w:r w:rsidRPr="00F00B77">
              <w:rPr>
                <w:rFonts w:hint="eastAsia"/>
                <w:color w:val="000000"/>
                <w:sz w:val="24"/>
                <w:szCs w:val="24"/>
              </w:rPr>
              <w:t>同业存单</w:t>
            </w:r>
          </w:p>
        </w:tc>
        <w:tc>
          <w:tcPr>
            <w:tcW w:w="3097" w:type="dxa"/>
            <w:vAlign w:val="center"/>
          </w:tcPr>
          <w:p w14:paraId="3A8D28DC" w14:textId="77777777" w:rsidR="00480801" w:rsidRPr="00F00B77" w:rsidRDefault="00480801" w:rsidP="00480801">
            <w:pPr>
              <w:spacing w:before="29" w:line="360" w:lineRule="auto"/>
              <w:ind w:left="17"/>
              <w:jc w:val="right"/>
              <w:rPr>
                <w:color w:val="000000"/>
                <w:sz w:val="24"/>
                <w:szCs w:val="24"/>
              </w:rPr>
            </w:pPr>
            <w:r w:rsidRPr="00432A2C">
              <w:rPr>
                <w:rFonts w:hint="eastAsia"/>
                <w:color w:val="000000"/>
                <w:sz w:val="24"/>
              </w:rPr>
              <w:t>1,422,388,289.81</w:t>
            </w:r>
          </w:p>
        </w:tc>
        <w:tc>
          <w:tcPr>
            <w:tcW w:w="1889" w:type="dxa"/>
            <w:vAlign w:val="center"/>
          </w:tcPr>
          <w:p w14:paraId="54655F28" w14:textId="77777777" w:rsidR="00480801" w:rsidRPr="00F00B77" w:rsidRDefault="00480801" w:rsidP="00480801">
            <w:pPr>
              <w:spacing w:before="29" w:line="360" w:lineRule="auto"/>
              <w:ind w:left="17"/>
              <w:jc w:val="right"/>
              <w:rPr>
                <w:color w:val="000000"/>
                <w:sz w:val="24"/>
                <w:szCs w:val="24"/>
              </w:rPr>
            </w:pPr>
            <w:r w:rsidRPr="00432A2C">
              <w:rPr>
                <w:rFonts w:hint="eastAsia"/>
                <w:color w:val="000000"/>
                <w:sz w:val="24"/>
              </w:rPr>
              <w:t>29.00</w:t>
            </w:r>
          </w:p>
        </w:tc>
      </w:tr>
      <w:tr w:rsidR="00480801" w:rsidRPr="00F00B77" w14:paraId="66CC4768" w14:textId="77777777" w:rsidTr="001669E6">
        <w:trPr>
          <w:jc w:val="center"/>
        </w:trPr>
        <w:tc>
          <w:tcPr>
            <w:tcW w:w="786" w:type="dxa"/>
            <w:vAlign w:val="center"/>
          </w:tcPr>
          <w:p w14:paraId="37F7C61C"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8</w:t>
            </w:r>
          </w:p>
        </w:tc>
        <w:tc>
          <w:tcPr>
            <w:tcW w:w="3096" w:type="dxa"/>
            <w:vAlign w:val="center"/>
          </w:tcPr>
          <w:p w14:paraId="3777E302"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其他</w:t>
            </w:r>
          </w:p>
        </w:tc>
        <w:tc>
          <w:tcPr>
            <w:tcW w:w="3097" w:type="dxa"/>
            <w:vAlign w:val="center"/>
          </w:tcPr>
          <w:p w14:paraId="0D4C9E78"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c>
          <w:tcPr>
            <w:tcW w:w="1889" w:type="dxa"/>
            <w:vAlign w:val="center"/>
          </w:tcPr>
          <w:p w14:paraId="4F6813CC"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r>
      <w:tr w:rsidR="00480801" w:rsidRPr="00F00B77" w14:paraId="1C14F461" w14:textId="77777777" w:rsidTr="001669E6">
        <w:trPr>
          <w:jc w:val="center"/>
        </w:trPr>
        <w:tc>
          <w:tcPr>
            <w:tcW w:w="786" w:type="dxa"/>
            <w:vAlign w:val="center"/>
          </w:tcPr>
          <w:p w14:paraId="45DC59DE"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9</w:t>
            </w:r>
          </w:p>
        </w:tc>
        <w:tc>
          <w:tcPr>
            <w:tcW w:w="3096" w:type="dxa"/>
            <w:vAlign w:val="center"/>
          </w:tcPr>
          <w:p w14:paraId="31706182"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合计</w:t>
            </w:r>
          </w:p>
        </w:tc>
        <w:tc>
          <w:tcPr>
            <w:tcW w:w="3097" w:type="dxa"/>
            <w:vAlign w:val="center"/>
          </w:tcPr>
          <w:p w14:paraId="3F59731F"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2,066,327,030.85</w:t>
            </w:r>
          </w:p>
        </w:tc>
        <w:tc>
          <w:tcPr>
            <w:tcW w:w="1889" w:type="dxa"/>
            <w:vAlign w:val="center"/>
          </w:tcPr>
          <w:p w14:paraId="65A23D42"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42.12</w:t>
            </w:r>
          </w:p>
        </w:tc>
      </w:tr>
      <w:tr w:rsidR="00480801" w:rsidRPr="00F00B77" w14:paraId="361F4257" w14:textId="77777777" w:rsidTr="001669E6">
        <w:trPr>
          <w:jc w:val="center"/>
        </w:trPr>
        <w:tc>
          <w:tcPr>
            <w:tcW w:w="786" w:type="dxa"/>
            <w:vAlign w:val="center"/>
          </w:tcPr>
          <w:p w14:paraId="6AEFFA30" w14:textId="77777777" w:rsidR="00480801" w:rsidRPr="00F00B77" w:rsidRDefault="00480801" w:rsidP="00480801">
            <w:pPr>
              <w:spacing w:before="29" w:line="360" w:lineRule="auto"/>
              <w:ind w:left="17"/>
              <w:jc w:val="center"/>
              <w:rPr>
                <w:color w:val="000000"/>
                <w:sz w:val="24"/>
                <w:szCs w:val="24"/>
              </w:rPr>
            </w:pPr>
            <w:r w:rsidRPr="00F00B77">
              <w:rPr>
                <w:color w:val="000000"/>
                <w:sz w:val="24"/>
                <w:szCs w:val="24"/>
              </w:rPr>
              <w:t>10</w:t>
            </w:r>
          </w:p>
        </w:tc>
        <w:tc>
          <w:tcPr>
            <w:tcW w:w="3096" w:type="dxa"/>
            <w:vAlign w:val="center"/>
          </w:tcPr>
          <w:p w14:paraId="135DF22F" w14:textId="77777777" w:rsidR="00480801" w:rsidRPr="00F00B77" w:rsidRDefault="00480801" w:rsidP="00480801">
            <w:pPr>
              <w:spacing w:before="29" w:line="360" w:lineRule="auto"/>
              <w:ind w:left="17"/>
              <w:jc w:val="left"/>
              <w:rPr>
                <w:color w:val="000000"/>
                <w:sz w:val="24"/>
                <w:szCs w:val="24"/>
              </w:rPr>
            </w:pPr>
            <w:r w:rsidRPr="00F00B77">
              <w:rPr>
                <w:rFonts w:hAnsi="宋体"/>
                <w:color w:val="000000"/>
                <w:sz w:val="24"/>
                <w:szCs w:val="24"/>
              </w:rPr>
              <w:t>剩余存续期超过</w:t>
            </w:r>
            <w:r w:rsidRPr="00F00B77">
              <w:rPr>
                <w:color w:val="000000"/>
                <w:sz w:val="24"/>
                <w:szCs w:val="24"/>
              </w:rPr>
              <w:t>397</w:t>
            </w:r>
            <w:r w:rsidRPr="00F00B77">
              <w:rPr>
                <w:rFonts w:hAnsi="宋体"/>
                <w:color w:val="000000"/>
                <w:sz w:val="24"/>
                <w:szCs w:val="24"/>
              </w:rPr>
              <w:t>天的浮动利率债券</w:t>
            </w:r>
          </w:p>
        </w:tc>
        <w:tc>
          <w:tcPr>
            <w:tcW w:w="3097" w:type="dxa"/>
            <w:vAlign w:val="center"/>
          </w:tcPr>
          <w:p w14:paraId="1620BA89"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c>
          <w:tcPr>
            <w:tcW w:w="1889" w:type="dxa"/>
            <w:vAlign w:val="center"/>
          </w:tcPr>
          <w:p w14:paraId="00A0DBDC" w14:textId="77777777" w:rsidR="00480801" w:rsidRPr="00F00B77" w:rsidRDefault="00480801" w:rsidP="00480801">
            <w:pPr>
              <w:spacing w:before="29" w:line="360" w:lineRule="auto"/>
              <w:ind w:left="17"/>
              <w:jc w:val="right"/>
              <w:rPr>
                <w:color w:val="000000"/>
                <w:sz w:val="24"/>
                <w:szCs w:val="24"/>
              </w:rPr>
            </w:pPr>
            <w:r w:rsidRPr="000E4C40">
              <w:rPr>
                <w:color w:val="000000"/>
                <w:sz w:val="24"/>
              </w:rPr>
              <w:t>-</w:t>
            </w:r>
          </w:p>
        </w:tc>
      </w:tr>
    </w:tbl>
    <w:p w14:paraId="6840DF04" w14:textId="77777777" w:rsidR="00F313AE" w:rsidRPr="00F00B77" w:rsidRDefault="00F313AE" w:rsidP="0088371F">
      <w:pPr>
        <w:spacing w:before="29" w:line="360" w:lineRule="auto"/>
        <w:rPr>
          <w:b/>
          <w:color w:val="000000"/>
          <w:kern w:val="0"/>
          <w:sz w:val="24"/>
          <w:szCs w:val="24"/>
        </w:rPr>
      </w:pPr>
    </w:p>
    <w:p w14:paraId="1BB898D6"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6 </w:t>
      </w:r>
      <w:r w:rsidRPr="00F00B77">
        <w:rPr>
          <w:rFonts w:hAnsi="宋体"/>
          <w:b/>
          <w:color w:val="000000"/>
          <w:kern w:val="0"/>
          <w:sz w:val="24"/>
          <w:szCs w:val="24"/>
        </w:rPr>
        <w:t>报告期末按摊余成本占基金资产净值比例大小排序的前十名债券投资明细</w:t>
      </w:r>
    </w:p>
    <w:tbl>
      <w:tblPr>
        <w:tblW w:w="10407" w:type="dxa"/>
        <w:tblLook w:val="04A0" w:firstRow="1" w:lastRow="0" w:firstColumn="1" w:lastColumn="0" w:noHBand="0" w:noVBand="1"/>
      </w:tblPr>
      <w:tblGrid>
        <w:gridCol w:w="699"/>
        <w:gridCol w:w="2359"/>
        <w:gridCol w:w="1244"/>
        <w:gridCol w:w="1191"/>
        <w:gridCol w:w="1903"/>
        <w:gridCol w:w="3011"/>
      </w:tblGrid>
      <w:tr w:rsidR="006B35CA" w:rsidRPr="000E4C40" w14:paraId="15394265" w14:textId="77777777" w:rsidTr="006B35CA">
        <w:tc>
          <w:tcPr>
            <w:tcW w:w="0" w:type="auto"/>
            <w:tcBorders>
              <w:top w:val="single" w:sz="4" w:space="0" w:color="000000"/>
              <w:left w:val="single" w:sz="4" w:space="0" w:color="000000"/>
              <w:bottom w:val="single" w:sz="4" w:space="0" w:color="000000"/>
              <w:right w:val="single" w:sz="4" w:space="0" w:color="000000"/>
            </w:tcBorders>
          </w:tcPr>
          <w:p w14:paraId="13CC114D" w14:textId="77777777" w:rsidR="006B35CA" w:rsidRPr="006B35CA" w:rsidRDefault="006B35CA" w:rsidP="00545F2A">
            <w:pPr>
              <w:autoSpaceDE w:val="0"/>
              <w:autoSpaceDN w:val="0"/>
              <w:adjustRightInd w:val="0"/>
              <w:spacing w:before="29" w:line="288" w:lineRule="auto"/>
              <w:ind w:left="15"/>
              <w:jc w:val="center"/>
              <w:rPr>
                <w:color w:val="000000"/>
                <w:sz w:val="24"/>
                <w:szCs w:val="24"/>
              </w:rPr>
            </w:pPr>
            <w:r w:rsidRPr="006B35CA">
              <w:rPr>
                <w:color w:val="000000"/>
                <w:sz w:val="24"/>
                <w:szCs w:val="24"/>
              </w:rPr>
              <w:t>序号</w:t>
            </w:r>
          </w:p>
        </w:tc>
        <w:tc>
          <w:tcPr>
            <w:tcW w:w="2359" w:type="dxa"/>
            <w:tcBorders>
              <w:top w:val="single" w:sz="4" w:space="0" w:color="000000"/>
              <w:left w:val="single" w:sz="4" w:space="0" w:color="000000"/>
              <w:bottom w:val="single" w:sz="4" w:space="0" w:color="000000"/>
              <w:right w:val="single" w:sz="4" w:space="0" w:color="000000"/>
            </w:tcBorders>
          </w:tcPr>
          <w:p w14:paraId="16C07C5C" w14:textId="77777777" w:rsidR="006B35CA" w:rsidRPr="006B35CA" w:rsidRDefault="006B35CA" w:rsidP="00545F2A">
            <w:pPr>
              <w:autoSpaceDE w:val="0"/>
              <w:autoSpaceDN w:val="0"/>
              <w:adjustRightInd w:val="0"/>
              <w:spacing w:before="29" w:line="288" w:lineRule="auto"/>
              <w:ind w:left="15"/>
              <w:jc w:val="center"/>
              <w:rPr>
                <w:color w:val="000000"/>
                <w:sz w:val="24"/>
                <w:szCs w:val="24"/>
              </w:rPr>
            </w:pPr>
            <w:r w:rsidRPr="006B35CA">
              <w:rPr>
                <w:color w:val="000000"/>
                <w:sz w:val="24"/>
                <w:szCs w:val="24"/>
              </w:rPr>
              <w:t>债券代码</w:t>
            </w:r>
          </w:p>
        </w:tc>
        <w:tc>
          <w:tcPr>
            <w:tcW w:w="1244" w:type="dxa"/>
            <w:tcBorders>
              <w:top w:val="single" w:sz="4" w:space="0" w:color="000000"/>
              <w:left w:val="single" w:sz="4" w:space="0" w:color="000000"/>
              <w:bottom w:val="single" w:sz="4" w:space="0" w:color="000000"/>
              <w:right w:val="single" w:sz="4" w:space="0" w:color="000000"/>
            </w:tcBorders>
          </w:tcPr>
          <w:p w14:paraId="716F908A" w14:textId="77777777" w:rsidR="006B35CA" w:rsidRPr="006B35CA" w:rsidRDefault="006B35CA" w:rsidP="00545F2A">
            <w:pPr>
              <w:autoSpaceDE w:val="0"/>
              <w:autoSpaceDN w:val="0"/>
              <w:adjustRightInd w:val="0"/>
              <w:spacing w:before="29" w:line="288" w:lineRule="auto"/>
              <w:ind w:left="15"/>
              <w:jc w:val="center"/>
              <w:rPr>
                <w:color w:val="000000"/>
                <w:sz w:val="24"/>
                <w:szCs w:val="24"/>
              </w:rPr>
            </w:pPr>
            <w:r w:rsidRPr="006B35CA">
              <w:rPr>
                <w:color w:val="000000"/>
                <w:sz w:val="24"/>
                <w:szCs w:val="24"/>
              </w:rPr>
              <w:t>债券名称</w:t>
            </w:r>
          </w:p>
        </w:tc>
        <w:tc>
          <w:tcPr>
            <w:tcW w:w="0" w:type="auto"/>
            <w:tcBorders>
              <w:top w:val="single" w:sz="4" w:space="0" w:color="000000"/>
              <w:left w:val="single" w:sz="4" w:space="0" w:color="000000"/>
              <w:bottom w:val="single" w:sz="4" w:space="0" w:color="000000"/>
              <w:right w:val="single" w:sz="4" w:space="0" w:color="000000"/>
            </w:tcBorders>
          </w:tcPr>
          <w:p w14:paraId="6008E409" w14:textId="77777777" w:rsidR="006B35CA" w:rsidRPr="006B35CA" w:rsidRDefault="006B35CA" w:rsidP="00545F2A">
            <w:pPr>
              <w:autoSpaceDE w:val="0"/>
              <w:autoSpaceDN w:val="0"/>
              <w:adjustRightInd w:val="0"/>
              <w:spacing w:before="29" w:line="288" w:lineRule="auto"/>
              <w:ind w:left="15"/>
              <w:jc w:val="center"/>
              <w:rPr>
                <w:color w:val="000000"/>
                <w:sz w:val="24"/>
                <w:szCs w:val="24"/>
              </w:rPr>
            </w:pPr>
            <w:r w:rsidRPr="006B35CA">
              <w:rPr>
                <w:color w:val="000000"/>
                <w:sz w:val="24"/>
                <w:szCs w:val="24"/>
              </w:rPr>
              <w:t>债券数量</w:t>
            </w:r>
          </w:p>
          <w:p w14:paraId="5021084F" w14:textId="77777777" w:rsidR="006B35CA" w:rsidRPr="006B35CA" w:rsidRDefault="006B35CA" w:rsidP="00545F2A">
            <w:pPr>
              <w:autoSpaceDE w:val="0"/>
              <w:autoSpaceDN w:val="0"/>
              <w:adjustRightInd w:val="0"/>
              <w:spacing w:before="29" w:line="288" w:lineRule="auto"/>
              <w:ind w:left="15"/>
              <w:jc w:val="center"/>
              <w:rPr>
                <w:color w:val="000000"/>
                <w:sz w:val="24"/>
                <w:szCs w:val="24"/>
              </w:rPr>
            </w:pPr>
            <w:r w:rsidRPr="006B35CA">
              <w:rPr>
                <w:color w:val="000000"/>
                <w:sz w:val="24"/>
                <w:szCs w:val="24"/>
              </w:rPr>
              <w:t>(</w:t>
            </w:r>
            <w:r w:rsidRPr="006B35CA">
              <w:rPr>
                <w:color w:val="000000"/>
                <w:sz w:val="24"/>
                <w:szCs w:val="24"/>
              </w:rPr>
              <w:t>张</w:t>
            </w:r>
            <w:r w:rsidRPr="006B35CA">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1E488CC7" w14:textId="77777777" w:rsidR="006B35CA" w:rsidRPr="006B35CA" w:rsidRDefault="006B35CA" w:rsidP="00545F2A">
            <w:pPr>
              <w:autoSpaceDE w:val="0"/>
              <w:autoSpaceDN w:val="0"/>
              <w:adjustRightInd w:val="0"/>
              <w:spacing w:before="29" w:line="288" w:lineRule="auto"/>
              <w:ind w:left="15"/>
              <w:jc w:val="center"/>
              <w:rPr>
                <w:color w:val="000000"/>
                <w:sz w:val="24"/>
                <w:szCs w:val="24"/>
              </w:rPr>
            </w:pPr>
            <w:r w:rsidRPr="006B35CA">
              <w:rPr>
                <w:color w:val="000000"/>
                <w:sz w:val="24"/>
                <w:szCs w:val="24"/>
              </w:rPr>
              <w:t>摊余成本（元）</w:t>
            </w:r>
          </w:p>
        </w:tc>
        <w:tc>
          <w:tcPr>
            <w:tcW w:w="0" w:type="auto"/>
            <w:tcBorders>
              <w:top w:val="single" w:sz="4" w:space="0" w:color="000000"/>
              <w:left w:val="single" w:sz="4" w:space="0" w:color="000000"/>
              <w:bottom w:val="single" w:sz="4" w:space="0" w:color="000000"/>
              <w:right w:val="single" w:sz="4" w:space="0" w:color="000000"/>
            </w:tcBorders>
          </w:tcPr>
          <w:p w14:paraId="604D6C1B" w14:textId="77777777" w:rsidR="006B35CA" w:rsidRPr="006B35CA" w:rsidRDefault="006B35CA" w:rsidP="00545F2A">
            <w:pPr>
              <w:autoSpaceDE w:val="0"/>
              <w:autoSpaceDN w:val="0"/>
              <w:adjustRightInd w:val="0"/>
              <w:spacing w:before="29" w:line="288" w:lineRule="auto"/>
              <w:ind w:left="15"/>
              <w:jc w:val="center"/>
              <w:rPr>
                <w:color w:val="000000"/>
                <w:sz w:val="24"/>
                <w:szCs w:val="24"/>
              </w:rPr>
            </w:pPr>
            <w:r w:rsidRPr="006B35CA">
              <w:rPr>
                <w:color w:val="000000"/>
                <w:sz w:val="24"/>
                <w:szCs w:val="24"/>
              </w:rPr>
              <w:t>占基金资产净值比例（％）</w:t>
            </w:r>
          </w:p>
        </w:tc>
      </w:tr>
      <w:tr w:rsidR="006B35CA" w14:paraId="43C4596B" w14:textId="77777777" w:rsidTr="006B35CA">
        <w:tc>
          <w:tcPr>
            <w:tcW w:w="0" w:type="auto"/>
            <w:tcBorders>
              <w:top w:val="single" w:sz="4" w:space="0" w:color="000000"/>
              <w:left w:val="single" w:sz="4" w:space="0" w:color="000000"/>
              <w:bottom w:val="single" w:sz="4" w:space="0" w:color="000000"/>
              <w:right w:val="single" w:sz="4" w:space="0" w:color="000000"/>
            </w:tcBorders>
          </w:tcPr>
          <w:p w14:paraId="50B4D676"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w:t>
            </w:r>
          </w:p>
        </w:tc>
        <w:tc>
          <w:tcPr>
            <w:tcW w:w="2359" w:type="dxa"/>
            <w:tcBorders>
              <w:top w:val="single" w:sz="4" w:space="0" w:color="000000"/>
              <w:left w:val="single" w:sz="4" w:space="0" w:color="000000"/>
              <w:bottom w:val="single" w:sz="4" w:space="0" w:color="000000"/>
              <w:right w:val="single" w:sz="4" w:space="0" w:color="000000"/>
            </w:tcBorders>
          </w:tcPr>
          <w:p w14:paraId="4494486E"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111799948</w:t>
            </w:r>
          </w:p>
        </w:tc>
        <w:tc>
          <w:tcPr>
            <w:tcW w:w="1244" w:type="dxa"/>
            <w:tcBorders>
              <w:top w:val="single" w:sz="4" w:space="0" w:color="000000"/>
              <w:left w:val="single" w:sz="4" w:space="0" w:color="000000"/>
              <w:bottom w:val="single" w:sz="4" w:space="0" w:color="000000"/>
              <w:right w:val="single" w:sz="4" w:space="0" w:color="000000"/>
            </w:tcBorders>
          </w:tcPr>
          <w:p w14:paraId="07AB7C74"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长沙银行</w:t>
            </w:r>
            <w:r w:rsidRPr="006B35CA">
              <w:rPr>
                <w:color w:val="000000"/>
                <w:sz w:val="24"/>
                <w:szCs w:val="24"/>
              </w:rPr>
              <w:t>CD058</w:t>
            </w:r>
          </w:p>
        </w:tc>
        <w:tc>
          <w:tcPr>
            <w:tcW w:w="0" w:type="auto"/>
            <w:tcBorders>
              <w:top w:val="single" w:sz="4" w:space="0" w:color="000000"/>
              <w:left w:val="single" w:sz="4" w:space="0" w:color="000000"/>
              <w:bottom w:val="single" w:sz="4" w:space="0" w:color="000000"/>
              <w:right w:val="single" w:sz="4" w:space="0" w:color="000000"/>
            </w:tcBorders>
          </w:tcPr>
          <w:p w14:paraId="58D23579"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1,500,000</w:t>
            </w:r>
          </w:p>
        </w:tc>
        <w:tc>
          <w:tcPr>
            <w:tcW w:w="0" w:type="auto"/>
            <w:tcBorders>
              <w:top w:val="single" w:sz="4" w:space="0" w:color="000000"/>
              <w:left w:val="single" w:sz="4" w:space="0" w:color="000000"/>
              <w:bottom w:val="single" w:sz="4" w:space="0" w:color="000000"/>
              <w:right w:val="single" w:sz="4" w:space="0" w:color="000000"/>
            </w:tcBorders>
          </w:tcPr>
          <w:p w14:paraId="135A39CD"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148,387,623.84</w:t>
            </w:r>
          </w:p>
        </w:tc>
        <w:tc>
          <w:tcPr>
            <w:tcW w:w="0" w:type="auto"/>
            <w:tcBorders>
              <w:top w:val="single" w:sz="4" w:space="0" w:color="000000"/>
              <w:left w:val="single" w:sz="4" w:space="0" w:color="000000"/>
              <w:bottom w:val="single" w:sz="4" w:space="0" w:color="000000"/>
              <w:right w:val="single" w:sz="4" w:space="0" w:color="000000"/>
            </w:tcBorders>
          </w:tcPr>
          <w:p w14:paraId="076834F5"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3.02</w:t>
            </w:r>
          </w:p>
        </w:tc>
      </w:tr>
      <w:tr w:rsidR="006B35CA" w14:paraId="3CB33145" w14:textId="77777777" w:rsidTr="006B35CA">
        <w:tc>
          <w:tcPr>
            <w:tcW w:w="0" w:type="auto"/>
            <w:tcBorders>
              <w:top w:val="single" w:sz="4" w:space="0" w:color="000000"/>
              <w:left w:val="single" w:sz="4" w:space="0" w:color="000000"/>
              <w:bottom w:val="single" w:sz="4" w:space="0" w:color="000000"/>
              <w:right w:val="single" w:sz="4" w:space="0" w:color="000000"/>
            </w:tcBorders>
          </w:tcPr>
          <w:p w14:paraId="5EA74379"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2</w:t>
            </w:r>
          </w:p>
        </w:tc>
        <w:tc>
          <w:tcPr>
            <w:tcW w:w="2359" w:type="dxa"/>
            <w:tcBorders>
              <w:top w:val="single" w:sz="4" w:space="0" w:color="000000"/>
              <w:left w:val="single" w:sz="4" w:space="0" w:color="000000"/>
              <w:bottom w:val="single" w:sz="4" w:space="0" w:color="000000"/>
              <w:right w:val="single" w:sz="4" w:space="0" w:color="000000"/>
            </w:tcBorders>
          </w:tcPr>
          <w:p w14:paraId="51D45E7C"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111713048</w:t>
            </w:r>
          </w:p>
        </w:tc>
        <w:tc>
          <w:tcPr>
            <w:tcW w:w="1244" w:type="dxa"/>
            <w:tcBorders>
              <w:top w:val="single" w:sz="4" w:space="0" w:color="000000"/>
              <w:left w:val="single" w:sz="4" w:space="0" w:color="000000"/>
              <w:bottom w:val="single" w:sz="4" w:space="0" w:color="000000"/>
              <w:right w:val="single" w:sz="4" w:space="0" w:color="000000"/>
            </w:tcBorders>
          </w:tcPr>
          <w:p w14:paraId="5B39999B"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浙商银行</w:t>
            </w:r>
            <w:r w:rsidRPr="006B35CA">
              <w:rPr>
                <w:color w:val="000000"/>
                <w:sz w:val="24"/>
                <w:szCs w:val="24"/>
              </w:rPr>
              <w:t>CD048</w:t>
            </w:r>
          </w:p>
        </w:tc>
        <w:tc>
          <w:tcPr>
            <w:tcW w:w="0" w:type="auto"/>
            <w:tcBorders>
              <w:top w:val="single" w:sz="4" w:space="0" w:color="000000"/>
              <w:left w:val="single" w:sz="4" w:space="0" w:color="000000"/>
              <w:bottom w:val="single" w:sz="4" w:space="0" w:color="000000"/>
              <w:right w:val="single" w:sz="4" w:space="0" w:color="000000"/>
            </w:tcBorders>
          </w:tcPr>
          <w:p w14:paraId="4BC6B1FD"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1,500,000</w:t>
            </w:r>
          </w:p>
        </w:tc>
        <w:tc>
          <w:tcPr>
            <w:tcW w:w="0" w:type="auto"/>
            <w:tcBorders>
              <w:top w:val="single" w:sz="4" w:space="0" w:color="000000"/>
              <w:left w:val="single" w:sz="4" w:space="0" w:color="000000"/>
              <w:bottom w:val="single" w:sz="4" w:space="0" w:color="000000"/>
              <w:right w:val="single" w:sz="4" w:space="0" w:color="000000"/>
            </w:tcBorders>
          </w:tcPr>
          <w:p w14:paraId="20A71938"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146,684,525.58</w:t>
            </w:r>
          </w:p>
        </w:tc>
        <w:tc>
          <w:tcPr>
            <w:tcW w:w="0" w:type="auto"/>
            <w:tcBorders>
              <w:top w:val="single" w:sz="4" w:space="0" w:color="000000"/>
              <w:left w:val="single" w:sz="4" w:space="0" w:color="000000"/>
              <w:bottom w:val="single" w:sz="4" w:space="0" w:color="000000"/>
              <w:right w:val="single" w:sz="4" w:space="0" w:color="000000"/>
            </w:tcBorders>
          </w:tcPr>
          <w:p w14:paraId="457F38CF"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2.99</w:t>
            </w:r>
          </w:p>
        </w:tc>
      </w:tr>
      <w:tr w:rsidR="006B35CA" w14:paraId="2DE8C426" w14:textId="77777777" w:rsidTr="006B35CA">
        <w:tc>
          <w:tcPr>
            <w:tcW w:w="0" w:type="auto"/>
            <w:tcBorders>
              <w:top w:val="single" w:sz="4" w:space="0" w:color="000000"/>
              <w:left w:val="single" w:sz="4" w:space="0" w:color="000000"/>
              <w:bottom w:val="single" w:sz="4" w:space="0" w:color="000000"/>
              <w:right w:val="single" w:sz="4" w:space="0" w:color="000000"/>
            </w:tcBorders>
          </w:tcPr>
          <w:p w14:paraId="4175F643"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3</w:t>
            </w:r>
          </w:p>
        </w:tc>
        <w:tc>
          <w:tcPr>
            <w:tcW w:w="2359" w:type="dxa"/>
            <w:tcBorders>
              <w:top w:val="single" w:sz="4" w:space="0" w:color="000000"/>
              <w:left w:val="single" w:sz="4" w:space="0" w:color="000000"/>
              <w:bottom w:val="single" w:sz="4" w:space="0" w:color="000000"/>
              <w:right w:val="single" w:sz="4" w:space="0" w:color="000000"/>
            </w:tcBorders>
          </w:tcPr>
          <w:p w14:paraId="65754C24"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111780064</w:t>
            </w:r>
          </w:p>
        </w:tc>
        <w:tc>
          <w:tcPr>
            <w:tcW w:w="1244" w:type="dxa"/>
            <w:tcBorders>
              <w:top w:val="single" w:sz="4" w:space="0" w:color="000000"/>
              <w:left w:val="single" w:sz="4" w:space="0" w:color="000000"/>
              <w:bottom w:val="single" w:sz="4" w:space="0" w:color="000000"/>
              <w:right w:val="single" w:sz="4" w:space="0" w:color="000000"/>
            </w:tcBorders>
          </w:tcPr>
          <w:p w14:paraId="5FF6FF2E"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中原银行</w:t>
            </w:r>
            <w:r w:rsidRPr="006B35CA">
              <w:rPr>
                <w:color w:val="000000"/>
                <w:sz w:val="24"/>
                <w:szCs w:val="24"/>
              </w:rPr>
              <w:t>CD135</w:t>
            </w:r>
          </w:p>
        </w:tc>
        <w:tc>
          <w:tcPr>
            <w:tcW w:w="0" w:type="auto"/>
            <w:tcBorders>
              <w:top w:val="single" w:sz="4" w:space="0" w:color="000000"/>
              <w:left w:val="single" w:sz="4" w:space="0" w:color="000000"/>
              <w:bottom w:val="single" w:sz="4" w:space="0" w:color="000000"/>
              <w:right w:val="single" w:sz="4" w:space="0" w:color="000000"/>
            </w:tcBorders>
          </w:tcPr>
          <w:p w14:paraId="21A87C74"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1,500,000</w:t>
            </w:r>
          </w:p>
        </w:tc>
        <w:tc>
          <w:tcPr>
            <w:tcW w:w="0" w:type="auto"/>
            <w:tcBorders>
              <w:top w:val="single" w:sz="4" w:space="0" w:color="000000"/>
              <w:left w:val="single" w:sz="4" w:space="0" w:color="000000"/>
              <w:bottom w:val="single" w:sz="4" w:space="0" w:color="000000"/>
              <w:right w:val="single" w:sz="4" w:space="0" w:color="000000"/>
            </w:tcBorders>
          </w:tcPr>
          <w:p w14:paraId="57BB2177"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146,665,465.42</w:t>
            </w:r>
          </w:p>
        </w:tc>
        <w:tc>
          <w:tcPr>
            <w:tcW w:w="0" w:type="auto"/>
            <w:tcBorders>
              <w:top w:val="single" w:sz="4" w:space="0" w:color="000000"/>
              <w:left w:val="single" w:sz="4" w:space="0" w:color="000000"/>
              <w:bottom w:val="single" w:sz="4" w:space="0" w:color="000000"/>
              <w:right w:val="single" w:sz="4" w:space="0" w:color="000000"/>
            </w:tcBorders>
          </w:tcPr>
          <w:p w14:paraId="40FFBC54"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2.99</w:t>
            </w:r>
          </w:p>
        </w:tc>
      </w:tr>
      <w:tr w:rsidR="006B35CA" w14:paraId="2F05F5E0" w14:textId="77777777" w:rsidTr="006B35CA">
        <w:tc>
          <w:tcPr>
            <w:tcW w:w="0" w:type="auto"/>
            <w:tcBorders>
              <w:top w:val="single" w:sz="4" w:space="0" w:color="000000"/>
              <w:left w:val="single" w:sz="4" w:space="0" w:color="000000"/>
              <w:bottom w:val="single" w:sz="4" w:space="0" w:color="000000"/>
              <w:right w:val="single" w:sz="4" w:space="0" w:color="000000"/>
            </w:tcBorders>
          </w:tcPr>
          <w:p w14:paraId="55B9B348"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4</w:t>
            </w:r>
          </w:p>
        </w:tc>
        <w:tc>
          <w:tcPr>
            <w:tcW w:w="2359" w:type="dxa"/>
            <w:tcBorders>
              <w:top w:val="single" w:sz="4" w:space="0" w:color="000000"/>
              <w:left w:val="single" w:sz="4" w:space="0" w:color="000000"/>
              <w:bottom w:val="single" w:sz="4" w:space="0" w:color="000000"/>
              <w:right w:val="single" w:sz="4" w:space="0" w:color="000000"/>
            </w:tcBorders>
          </w:tcPr>
          <w:p w14:paraId="501FA3F4"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111780057</w:t>
            </w:r>
          </w:p>
        </w:tc>
        <w:tc>
          <w:tcPr>
            <w:tcW w:w="1244" w:type="dxa"/>
            <w:tcBorders>
              <w:top w:val="single" w:sz="4" w:space="0" w:color="000000"/>
              <w:left w:val="single" w:sz="4" w:space="0" w:color="000000"/>
              <w:bottom w:val="single" w:sz="4" w:space="0" w:color="000000"/>
              <w:right w:val="single" w:sz="4" w:space="0" w:color="000000"/>
            </w:tcBorders>
          </w:tcPr>
          <w:p w14:paraId="68E19677"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华融湘江银行</w:t>
            </w:r>
            <w:r w:rsidRPr="006B35CA">
              <w:rPr>
                <w:color w:val="000000"/>
                <w:sz w:val="24"/>
                <w:szCs w:val="24"/>
              </w:rPr>
              <w:t>CD065</w:t>
            </w:r>
          </w:p>
        </w:tc>
        <w:tc>
          <w:tcPr>
            <w:tcW w:w="0" w:type="auto"/>
            <w:tcBorders>
              <w:top w:val="single" w:sz="4" w:space="0" w:color="000000"/>
              <w:left w:val="single" w:sz="4" w:space="0" w:color="000000"/>
              <w:bottom w:val="single" w:sz="4" w:space="0" w:color="000000"/>
              <w:right w:val="single" w:sz="4" w:space="0" w:color="000000"/>
            </w:tcBorders>
          </w:tcPr>
          <w:p w14:paraId="3156305E"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1,500,000</w:t>
            </w:r>
          </w:p>
        </w:tc>
        <w:tc>
          <w:tcPr>
            <w:tcW w:w="0" w:type="auto"/>
            <w:tcBorders>
              <w:top w:val="single" w:sz="4" w:space="0" w:color="000000"/>
              <w:left w:val="single" w:sz="4" w:space="0" w:color="000000"/>
              <w:bottom w:val="single" w:sz="4" w:space="0" w:color="000000"/>
              <w:right w:val="single" w:sz="4" w:space="0" w:color="000000"/>
            </w:tcBorders>
          </w:tcPr>
          <w:p w14:paraId="528A5785"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144,907,916.28</w:t>
            </w:r>
          </w:p>
        </w:tc>
        <w:tc>
          <w:tcPr>
            <w:tcW w:w="0" w:type="auto"/>
            <w:tcBorders>
              <w:top w:val="single" w:sz="4" w:space="0" w:color="000000"/>
              <w:left w:val="single" w:sz="4" w:space="0" w:color="000000"/>
              <w:bottom w:val="single" w:sz="4" w:space="0" w:color="000000"/>
              <w:right w:val="single" w:sz="4" w:space="0" w:color="000000"/>
            </w:tcBorders>
          </w:tcPr>
          <w:p w14:paraId="204C6D33"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2.95</w:t>
            </w:r>
          </w:p>
        </w:tc>
      </w:tr>
      <w:tr w:rsidR="006B35CA" w14:paraId="34D9E396" w14:textId="77777777" w:rsidTr="006B35CA">
        <w:tc>
          <w:tcPr>
            <w:tcW w:w="0" w:type="auto"/>
            <w:tcBorders>
              <w:top w:val="single" w:sz="4" w:space="0" w:color="000000"/>
              <w:left w:val="single" w:sz="4" w:space="0" w:color="000000"/>
              <w:bottom w:val="single" w:sz="4" w:space="0" w:color="000000"/>
              <w:right w:val="single" w:sz="4" w:space="0" w:color="000000"/>
            </w:tcBorders>
          </w:tcPr>
          <w:p w14:paraId="12B65CA2"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5</w:t>
            </w:r>
          </w:p>
        </w:tc>
        <w:tc>
          <w:tcPr>
            <w:tcW w:w="2359" w:type="dxa"/>
            <w:tcBorders>
              <w:top w:val="single" w:sz="4" w:space="0" w:color="000000"/>
              <w:left w:val="single" w:sz="4" w:space="0" w:color="000000"/>
              <w:bottom w:val="single" w:sz="4" w:space="0" w:color="000000"/>
              <w:right w:val="single" w:sz="4" w:space="0" w:color="000000"/>
            </w:tcBorders>
          </w:tcPr>
          <w:p w14:paraId="790C668D"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011758060</w:t>
            </w:r>
          </w:p>
        </w:tc>
        <w:tc>
          <w:tcPr>
            <w:tcW w:w="1244" w:type="dxa"/>
            <w:tcBorders>
              <w:top w:val="single" w:sz="4" w:space="0" w:color="000000"/>
              <w:left w:val="single" w:sz="4" w:space="0" w:color="000000"/>
              <w:bottom w:val="single" w:sz="4" w:space="0" w:color="000000"/>
              <w:right w:val="single" w:sz="4" w:space="0" w:color="000000"/>
            </w:tcBorders>
          </w:tcPr>
          <w:p w14:paraId="6BC715CC"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中航资本</w:t>
            </w:r>
            <w:r w:rsidRPr="006B35CA">
              <w:rPr>
                <w:color w:val="000000"/>
                <w:sz w:val="24"/>
                <w:szCs w:val="24"/>
              </w:rPr>
              <w:t>SCP001</w:t>
            </w:r>
          </w:p>
        </w:tc>
        <w:tc>
          <w:tcPr>
            <w:tcW w:w="0" w:type="auto"/>
            <w:tcBorders>
              <w:top w:val="single" w:sz="4" w:space="0" w:color="000000"/>
              <w:left w:val="single" w:sz="4" w:space="0" w:color="000000"/>
              <w:bottom w:val="single" w:sz="4" w:space="0" w:color="000000"/>
              <w:right w:val="single" w:sz="4" w:space="0" w:color="000000"/>
            </w:tcBorders>
          </w:tcPr>
          <w:p w14:paraId="4F9C2693"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1,000,000</w:t>
            </w:r>
          </w:p>
        </w:tc>
        <w:tc>
          <w:tcPr>
            <w:tcW w:w="0" w:type="auto"/>
            <w:tcBorders>
              <w:top w:val="single" w:sz="4" w:space="0" w:color="000000"/>
              <w:left w:val="single" w:sz="4" w:space="0" w:color="000000"/>
              <w:bottom w:val="single" w:sz="4" w:space="0" w:color="000000"/>
              <w:right w:val="single" w:sz="4" w:space="0" w:color="000000"/>
            </w:tcBorders>
          </w:tcPr>
          <w:p w14:paraId="3480ABCC"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100,088,165.82</w:t>
            </w:r>
          </w:p>
        </w:tc>
        <w:tc>
          <w:tcPr>
            <w:tcW w:w="0" w:type="auto"/>
            <w:tcBorders>
              <w:top w:val="single" w:sz="4" w:space="0" w:color="000000"/>
              <w:left w:val="single" w:sz="4" w:space="0" w:color="000000"/>
              <w:bottom w:val="single" w:sz="4" w:space="0" w:color="000000"/>
              <w:right w:val="single" w:sz="4" w:space="0" w:color="000000"/>
            </w:tcBorders>
          </w:tcPr>
          <w:p w14:paraId="474B7525"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2.04</w:t>
            </w:r>
          </w:p>
        </w:tc>
      </w:tr>
      <w:tr w:rsidR="006B35CA" w14:paraId="0BABF829" w14:textId="77777777" w:rsidTr="006B35CA">
        <w:tc>
          <w:tcPr>
            <w:tcW w:w="0" w:type="auto"/>
            <w:tcBorders>
              <w:top w:val="single" w:sz="4" w:space="0" w:color="000000"/>
              <w:left w:val="single" w:sz="4" w:space="0" w:color="000000"/>
              <w:bottom w:val="single" w:sz="4" w:space="0" w:color="000000"/>
              <w:right w:val="single" w:sz="4" w:space="0" w:color="000000"/>
            </w:tcBorders>
          </w:tcPr>
          <w:p w14:paraId="25FCAE7C"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6</w:t>
            </w:r>
          </w:p>
        </w:tc>
        <w:tc>
          <w:tcPr>
            <w:tcW w:w="2359" w:type="dxa"/>
            <w:tcBorders>
              <w:top w:val="single" w:sz="4" w:space="0" w:color="000000"/>
              <w:left w:val="single" w:sz="4" w:space="0" w:color="000000"/>
              <w:bottom w:val="single" w:sz="4" w:space="0" w:color="000000"/>
              <w:right w:val="single" w:sz="4" w:space="0" w:color="000000"/>
            </w:tcBorders>
          </w:tcPr>
          <w:p w14:paraId="69BE9F57"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179930</w:t>
            </w:r>
          </w:p>
        </w:tc>
        <w:tc>
          <w:tcPr>
            <w:tcW w:w="1244" w:type="dxa"/>
            <w:tcBorders>
              <w:top w:val="single" w:sz="4" w:space="0" w:color="000000"/>
              <w:left w:val="single" w:sz="4" w:space="0" w:color="000000"/>
              <w:bottom w:val="single" w:sz="4" w:space="0" w:color="000000"/>
              <w:right w:val="single" w:sz="4" w:space="0" w:color="000000"/>
            </w:tcBorders>
          </w:tcPr>
          <w:p w14:paraId="50F3B3B5"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贴现国债</w:t>
            </w:r>
            <w:r w:rsidRPr="006B35CA">
              <w:rPr>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tcPr>
          <w:p w14:paraId="3041FE32"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1,000,000</w:t>
            </w:r>
          </w:p>
        </w:tc>
        <w:tc>
          <w:tcPr>
            <w:tcW w:w="0" w:type="auto"/>
            <w:tcBorders>
              <w:top w:val="single" w:sz="4" w:space="0" w:color="000000"/>
              <w:left w:val="single" w:sz="4" w:space="0" w:color="000000"/>
              <w:bottom w:val="single" w:sz="4" w:space="0" w:color="000000"/>
              <w:right w:val="single" w:sz="4" w:space="0" w:color="000000"/>
            </w:tcBorders>
          </w:tcPr>
          <w:p w14:paraId="6EC19D07"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99,208,160.49</w:t>
            </w:r>
          </w:p>
        </w:tc>
        <w:tc>
          <w:tcPr>
            <w:tcW w:w="0" w:type="auto"/>
            <w:tcBorders>
              <w:top w:val="single" w:sz="4" w:space="0" w:color="000000"/>
              <w:left w:val="single" w:sz="4" w:space="0" w:color="000000"/>
              <w:bottom w:val="single" w:sz="4" w:space="0" w:color="000000"/>
              <w:right w:val="single" w:sz="4" w:space="0" w:color="000000"/>
            </w:tcBorders>
          </w:tcPr>
          <w:p w14:paraId="14B1FFB8"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2.02</w:t>
            </w:r>
          </w:p>
        </w:tc>
      </w:tr>
      <w:tr w:rsidR="006B35CA" w14:paraId="352A5DE8" w14:textId="77777777" w:rsidTr="006B35CA">
        <w:tc>
          <w:tcPr>
            <w:tcW w:w="0" w:type="auto"/>
            <w:tcBorders>
              <w:top w:val="single" w:sz="4" w:space="0" w:color="000000"/>
              <w:left w:val="single" w:sz="4" w:space="0" w:color="000000"/>
              <w:bottom w:val="single" w:sz="4" w:space="0" w:color="000000"/>
              <w:right w:val="single" w:sz="4" w:space="0" w:color="000000"/>
            </w:tcBorders>
          </w:tcPr>
          <w:p w14:paraId="5F5BE6DA"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7</w:t>
            </w:r>
          </w:p>
        </w:tc>
        <w:tc>
          <w:tcPr>
            <w:tcW w:w="2359" w:type="dxa"/>
            <w:tcBorders>
              <w:top w:val="single" w:sz="4" w:space="0" w:color="000000"/>
              <w:left w:val="single" w:sz="4" w:space="0" w:color="000000"/>
              <w:bottom w:val="single" w:sz="4" w:space="0" w:color="000000"/>
              <w:right w:val="single" w:sz="4" w:space="0" w:color="000000"/>
            </w:tcBorders>
          </w:tcPr>
          <w:p w14:paraId="63B42E9B"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111714189</w:t>
            </w:r>
          </w:p>
        </w:tc>
        <w:tc>
          <w:tcPr>
            <w:tcW w:w="1244" w:type="dxa"/>
            <w:tcBorders>
              <w:top w:val="single" w:sz="4" w:space="0" w:color="000000"/>
              <w:left w:val="single" w:sz="4" w:space="0" w:color="000000"/>
              <w:bottom w:val="single" w:sz="4" w:space="0" w:color="000000"/>
              <w:right w:val="single" w:sz="4" w:space="0" w:color="000000"/>
            </w:tcBorders>
          </w:tcPr>
          <w:p w14:paraId="126CE25A"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江苏银行</w:t>
            </w:r>
            <w:r w:rsidRPr="006B35CA">
              <w:rPr>
                <w:color w:val="000000"/>
                <w:sz w:val="24"/>
                <w:szCs w:val="24"/>
              </w:rPr>
              <w:t>CD189</w:t>
            </w:r>
          </w:p>
        </w:tc>
        <w:tc>
          <w:tcPr>
            <w:tcW w:w="0" w:type="auto"/>
            <w:tcBorders>
              <w:top w:val="single" w:sz="4" w:space="0" w:color="000000"/>
              <w:left w:val="single" w:sz="4" w:space="0" w:color="000000"/>
              <w:bottom w:val="single" w:sz="4" w:space="0" w:color="000000"/>
              <w:right w:val="single" w:sz="4" w:space="0" w:color="000000"/>
            </w:tcBorders>
          </w:tcPr>
          <w:p w14:paraId="76345BB4"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1,000,000</w:t>
            </w:r>
          </w:p>
        </w:tc>
        <w:tc>
          <w:tcPr>
            <w:tcW w:w="0" w:type="auto"/>
            <w:tcBorders>
              <w:top w:val="single" w:sz="4" w:space="0" w:color="000000"/>
              <w:left w:val="single" w:sz="4" w:space="0" w:color="000000"/>
              <w:bottom w:val="single" w:sz="4" w:space="0" w:color="000000"/>
              <w:right w:val="single" w:sz="4" w:space="0" w:color="000000"/>
            </w:tcBorders>
          </w:tcPr>
          <w:p w14:paraId="51AEED65"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96,692,672.00</w:t>
            </w:r>
          </w:p>
        </w:tc>
        <w:tc>
          <w:tcPr>
            <w:tcW w:w="0" w:type="auto"/>
            <w:tcBorders>
              <w:top w:val="single" w:sz="4" w:space="0" w:color="000000"/>
              <w:left w:val="single" w:sz="4" w:space="0" w:color="000000"/>
              <w:bottom w:val="single" w:sz="4" w:space="0" w:color="000000"/>
              <w:right w:val="single" w:sz="4" w:space="0" w:color="000000"/>
            </w:tcBorders>
          </w:tcPr>
          <w:p w14:paraId="3ED60FD6"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1.97</w:t>
            </w:r>
          </w:p>
        </w:tc>
      </w:tr>
      <w:tr w:rsidR="006B35CA" w14:paraId="50DEE644" w14:textId="77777777" w:rsidTr="006B35CA">
        <w:tc>
          <w:tcPr>
            <w:tcW w:w="0" w:type="auto"/>
            <w:tcBorders>
              <w:top w:val="single" w:sz="4" w:space="0" w:color="000000"/>
              <w:left w:val="single" w:sz="4" w:space="0" w:color="000000"/>
              <w:bottom w:val="single" w:sz="4" w:space="0" w:color="000000"/>
              <w:right w:val="single" w:sz="4" w:space="0" w:color="000000"/>
            </w:tcBorders>
          </w:tcPr>
          <w:p w14:paraId="35616CF7"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8</w:t>
            </w:r>
          </w:p>
        </w:tc>
        <w:tc>
          <w:tcPr>
            <w:tcW w:w="2359" w:type="dxa"/>
            <w:tcBorders>
              <w:top w:val="single" w:sz="4" w:space="0" w:color="000000"/>
              <w:left w:val="single" w:sz="4" w:space="0" w:color="000000"/>
              <w:bottom w:val="single" w:sz="4" w:space="0" w:color="000000"/>
              <w:right w:val="single" w:sz="4" w:space="0" w:color="000000"/>
            </w:tcBorders>
          </w:tcPr>
          <w:p w14:paraId="759E17D8"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111780069</w:t>
            </w:r>
          </w:p>
        </w:tc>
        <w:tc>
          <w:tcPr>
            <w:tcW w:w="1244" w:type="dxa"/>
            <w:tcBorders>
              <w:top w:val="single" w:sz="4" w:space="0" w:color="000000"/>
              <w:left w:val="single" w:sz="4" w:space="0" w:color="000000"/>
              <w:bottom w:val="single" w:sz="4" w:space="0" w:color="000000"/>
              <w:right w:val="single" w:sz="4" w:space="0" w:color="000000"/>
            </w:tcBorders>
          </w:tcPr>
          <w:p w14:paraId="4D05AAAF"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锦州银行</w:t>
            </w:r>
            <w:r w:rsidRPr="006B35CA">
              <w:rPr>
                <w:color w:val="000000"/>
                <w:sz w:val="24"/>
                <w:szCs w:val="24"/>
              </w:rPr>
              <w:t>CD172</w:t>
            </w:r>
          </w:p>
        </w:tc>
        <w:tc>
          <w:tcPr>
            <w:tcW w:w="0" w:type="auto"/>
            <w:tcBorders>
              <w:top w:val="single" w:sz="4" w:space="0" w:color="000000"/>
              <w:left w:val="single" w:sz="4" w:space="0" w:color="000000"/>
              <w:bottom w:val="single" w:sz="4" w:space="0" w:color="000000"/>
              <w:right w:val="single" w:sz="4" w:space="0" w:color="000000"/>
            </w:tcBorders>
          </w:tcPr>
          <w:p w14:paraId="6D71E718"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1,000,000</w:t>
            </w:r>
          </w:p>
        </w:tc>
        <w:tc>
          <w:tcPr>
            <w:tcW w:w="0" w:type="auto"/>
            <w:tcBorders>
              <w:top w:val="single" w:sz="4" w:space="0" w:color="000000"/>
              <w:left w:val="single" w:sz="4" w:space="0" w:color="000000"/>
              <w:bottom w:val="single" w:sz="4" w:space="0" w:color="000000"/>
              <w:right w:val="single" w:sz="4" w:space="0" w:color="000000"/>
            </w:tcBorders>
          </w:tcPr>
          <w:p w14:paraId="45BB76A9"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96,591,869.04</w:t>
            </w:r>
          </w:p>
        </w:tc>
        <w:tc>
          <w:tcPr>
            <w:tcW w:w="0" w:type="auto"/>
            <w:tcBorders>
              <w:top w:val="single" w:sz="4" w:space="0" w:color="000000"/>
              <w:left w:val="single" w:sz="4" w:space="0" w:color="000000"/>
              <w:bottom w:val="single" w:sz="4" w:space="0" w:color="000000"/>
              <w:right w:val="single" w:sz="4" w:space="0" w:color="000000"/>
            </w:tcBorders>
          </w:tcPr>
          <w:p w14:paraId="43C3FD72"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1.97</w:t>
            </w:r>
          </w:p>
        </w:tc>
      </w:tr>
      <w:tr w:rsidR="006B35CA" w14:paraId="1EE74A5C" w14:textId="77777777" w:rsidTr="006B35CA">
        <w:tc>
          <w:tcPr>
            <w:tcW w:w="0" w:type="auto"/>
            <w:tcBorders>
              <w:top w:val="single" w:sz="4" w:space="0" w:color="000000"/>
              <w:left w:val="single" w:sz="4" w:space="0" w:color="000000"/>
              <w:bottom w:val="single" w:sz="4" w:space="0" w:color="000000"/>
              <w:right w:val="single" w:sz="4" w:space="0" w:color="000000"/>
            </w:tcBorders>
          </w:tcPr>
          <w:p w14:paraId="12348F1B"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9</w:t>
            </w:r>
          </w:p>
        </w:tc>
        <w:tc>
          <w:tcPr>
            <w:tcW w:w="2359" w:type="dxa"/>
            <w:tcBorders>
              <w:top w:val="single" w:sz="4" w:space="0" w:color="000000"/>
              <w:left w:val="single" w:sz="4" w:space="0" w:color="000000"/>
              <w:bottom w:val="single" w:sz="4" w:space="0" w:color="000000"/>
              <w:right w:val="single" w:sz="4" w:space="0" w:color="000000"/>
            </w:tcBorders>
          </w:tcPr>
          <w:p w14:paraId="0562AE78"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111780048</w:t>
            </w:r>
          </w:p>
        </w:tc>
        <w:tc>
          <w:tcPr>
            <w:tcW w:w="1244" w:type="dxa"/>
            <w:tcBorders>
              <w:top w:val="single" w:sz="4" w:space="0" w:color="000000"/>
              <w:left w:val="single" w:sz="4" w:space="0" w:color="000000"/>
              <w:bottom w:val="single" w:sz="4" w:space="0" w:color="000000"/>
              <w:right w:val="single" w:sz="4" w:space="0" w:color="000000"/>
            </w:tcBorders>
          </w:tcPr>
          <w:p w14:paraId="35CBD2CA"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乌鲁木齐银行</w:t>
            </w:r>
            <w:r w:rsidRPr="006B35CA">
              <w:rPr>
                <w:color w:val="000000"/>
                <w:sz w:val="24"/>
                <w:szCs w:val="24"/>
              </w:rPr>
              <w:t>CD026</w:t>
            </w:r>
          </w:p>
        </w:tc>
        <w:tc>
          <w:tcPr>
            <w:tcW w:w="0" w:type="auto"/>
            <w:tcBorders>
              <w:top w:val="single" w:sz="4" w:space="0" w:color="000000"/>
              <w:left w:val="single" w:sz="4" w:space="0" w:color="000000"/>
              <w:bottom w:val="single" w:sz="4" w:space="0" w:color="000000"/>
              <w:right w:val="single" w:sz="4" w:space="0" w:color="000000"/>
            </w:tcBorders>
          </w:tcPr>
          <w:p w14:paraId="676254C4"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1,000,000</w:t>
            </w:r>
          </w:p>
        </w:tc>
        <w:tc>
          <w:tcPr>
            <w:tcW w:w="0" w:type="auto"/>
            <w:tcBorders>
              <w:top w:val="single" w:sz="4" w:space="0" w:color="000000"/>
              <w:left w:val="single" w:sz="4" w:space="0" w:color="000000"/>
              <w:bottom w:val="single" w:sz="4" w:space="0" w:color="000000"/>
              <w:right w:val="single" w:sz="4" w:space="0" w:color="000000"/>
            </w:tcBorders>
          </w:tcPr>
          <w:p w14:paraId="425AC4AF"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96,558,395.78</w:t>
            </w:r>
          </w:p>
        </w:tc>
        <w:tc>
          <w:tcPr>
            <w:tcW w:w="0" w:type="auto"/>
            <w:tcBorders>
              <w:top w:val="single" w:sz="4" w:space="0" w:color="000000"/>
              <w:left w:val="single" w:sz="4" w:space="0" w:color="000000"/>
              <w:bottom w:val="single" w:sz="4" w:space="0" w:color="000000"/>
              <w:right w:val="single" w:sz="4" w:space="0" w:color="000000"/>
            </w:tcBorders>
          </w:tcPr>
          <w:p w14:paraId="2F38537A"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1.97</w:t>
            </w:r>
          </w:p>
        </w:tc>
      </w:tr>
      <w:tr w:rsidR="006B35CA" w14:paraId="18F7A39E" w14:textId="77777777" w:rsidTr="006B35CA">
        <w:tc>
          <w:tcPr>
            <w:tcW w:w="0" w:type="auto"/>
            <w:tcBorders>
              <w:top w:val="single" w:sz="4" w:space="0" w:color="000000"/>
              <w:left w:val="single" w:sz="4" w:space="0" w:color="000000"/>
              <w:bottom w:val="single" w:sz="4" w:space="0" w:color="000000"/>
              <w:right w:val="single" w:sz="4" w:space="0" w:color="000000"/>
            </w:tcBorders>
          </w:tcPr>
          <w:p w14:paraId="2A1C7980"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10</w:t>
            </w:r>
          </w:p>
        </w:tc>
        <w:tc>
          <w:tcPr>
            <w:tcW w:w="2359" w:type="dxa"/>
            <w:tcBorders>
              <w:top w:val="single" w:sz="4" w:space="0" w:color="000000"/>
              <w:left w:val="single" w:sz="4" w:space="0" w:color="000000"/>
              <w:bottom w:val="single" w:sz="4" w:space="0" w:color="000000"/>
              <w:right w:val="single" w:sz="4" w:space="0" w:color="000000"/>
            </w:tcBorders>
          </w:tcPr>
          <w:p w14:paraId="216DE151"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170401</w:t>
            </w:r>
          </w:p>
        </w:tc>
        <w:tc>
          <w:tcPr>
            <w:tcW w:w="1244" w:type="dxa"/>
            <w:tcBorders>
              <w:top w:val="single" w:sz="4" w:space="0" w:color="000000"/>
              <w:left w:val="single" w:sz="4" w:space="0" w:color="000000"/>
              <w:bottom w:val="single" w:sz="4" w:space="0" w:color="000000"/>
              <w:right w:val="single" w:sz="4" w:space="0" w:color="000000"/>
            </w:tcBorders>
          </w:tcPr>
          <w:p w14:paraId="0F69B4A6"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17</w:t>
            </w:r>
            <w:r w:rsidRPr="006B35CA">
              <w:rPr>
                <w:color w:val="000000"/>
                <w:sz w:val="24"/>
                <w:szCs w:val="24"/>
              </w:rPr>
              <w:t>农发</w:t>
            </w:r>
            <w:r w:rsidRPr="006B35CA">
              <w:rPr>
                <w:color w:val="000000"/>
                <w:sz w:val="24"/>
                <w:szCs w:val="24"/>
              </w:rPr>
              <w:t>01</w:t>
            </w:r>
          </w:p>
        </w:tc>
        <w:tc>
          <w:tcPr>
            <w:tcW w:w="0" w:type="auto"/>
            <w:tcBorders>
              <w:top w:val="single" w:sz="4" w:space="0" w:color="000000"/>
              <w:left w:val="single" w:sz="4" w:space="0" w:color="000000"/>
              <w:bottom w:val="single" w:sz="4" w:space="0" w:color="000000"/>
              <w:right w:val="single" w:sz="4" w:space="0" w:color="000000"/>
            </w:tcBorders>
          </w:tcPr>
          <w:p w14:paraId="6543FE13"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800,000</w:t>
            </w:r>
          </w:p>
        </w:tc>
        <w:tc>
          <w:tcPr>
            <w:tcW w:w="0" w:type="auto"/>
            <w:tcBorders>
              <w:top w:val="single" w:sz="4" w:space="0" w:color="000000"/>
              <w:left w:val="single" w:sz="4" w:space="0" w:color="000000"/>
              <w:bottom w:val="single" w:sz="4" w:space="0" w:color="000000"/>
              <w:right w:val="single" w:sz="4" w:space="0" w:color="000000"/>
            </w:tcBorders>
          </w:tcPr>
          <w:p w14:paraId="7C76FA76"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79,870,296.04</w:t>
            </w:r>
          </w:p>
        </w:tc>
        <w:tc>
          <w:tcPr>
            <w:tcW w:w="0" w:type="auto"/>
            <w:tcBorders>
              <w:top w:val="single" w:sz="4" w:space="0" w:color="000000"/>
              <w:left w:val="single" w:sz="4" w:space="0" w:color="000000"/>
              <w:bottom w:val="single" w:sz="4" w:space="0" w:color="000000"/>
              <w:right w:val="single" w:sz="4" w:space="0" w:color="000000"/>
            </w:tcBorders>
          </w:tcPr>
          <w:p w14:paraId="7B737FB8" w14:textId="77777777" w:rsidR="006B35CA" w:rsidRPr="006B35CA" w:rsidRDefault="006B35CA" w:rsidP="006B35CA">
            <w:pPr>
              <w:autoSpaceDE w:val="0"/>
              <w:autoSpaceDN w:val="0"/>
              <w:adjustRightInd w:val="0"/>
              <w:spacing w:before="29" w:line="288" w:lineRule="auto"/>
              <w:ind w:left="15"/>
              <w:jc w:val="center"/>
              <w:rPr>
                <w:color w:val="000000"/>
                <w:sz w:val="24"/>
                <w:szCs w:val="24"/>
              </w:rPr>
            </w:pPr>
            <w:r w:rsidRPr="006B35CA">
              <w:rPr>
                <w:color w:val="000000"/>
                <w:sz w:val="24"/>
                <w:szCs w:val="24"/>
              </w:rPr>
              <w:t>1.63</w:t>
            </w:r>
          </w:p>
        </w:tc>
      </w:tr>
    </w:tbl>
    <w:p w14:paraId="6F4C9BEB"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69067710"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7 “</w:t>
      </w:r>
      <w:r w:rsidRPr="00F00B77">
        <w:rPr>
          <w:rFonts w:hAnsi="宋体"/>
          <w:b/>
          <w:color w:val="000000"/>
          <w:kern w:val="0"/>
          <w:sz w:val="24"/>
          <w:szCs w:val="24"/>
        </w:rPr>
        <w:t>影子定价</w:t>
      </w:r>
      <w:r w:rsidRPr="00F00B77">
        <w:rPr>
          <w:b/>
          <w:color w:val="000000"/>
          <w:kern w:val="0"/>
          <w:sz w:val="24"/>
          <w:szCs w:val="24"/>
        </w:rPr>
        <w:t>”</w:t>
      </w:r>
      <w:r w:rsidRPr="00F00B77">
        <w:rPr>
          <w:rFonts w:hAnsi="宋体"/>
          <w:b/>
          <w:color w:val="000000"/>
          <w:kern w:val="0"/>
          <w:sz w:val="24"/>
          <w:szCs w:val="24"/>
        </w:rPr>
        <w:t>与</w:t>
      </w:r>
      <w:r w:rsidRPr="00F00B77">
        <w:rPr>
          <w:b/>
          <w:color w:val="000000"/>
          <w:kern w:val="0"/>
          <w:sz w:val="24"/>
          <w:szCs w:val="24"/>
        </w:rPr>
        <w:t>“</w:t>
      </w:r>
      <w:r w:rsidRPr="00F00B77">
        <w:rPr>
          <w:rFonts w:hAnsi="宋体"/>
          <w:b/>
          <w:color w:val="000000"/>
          <w:kern w:val="0"/>
          <w:sz w:val="24"/>
          <w:szCs w:val="24"/>
        </w:rPr>
        <w:t>摊余成本法</w:t>
      </w:r>
      <w:r w:rsidRPr="00F00B77">
        <w:rPr>
          <w:b/>
          <w:color w:val="000000"/>
          <w:kern w:val="0"/>
          <w:sz w:val="24"/>
          <w:szCs w:val="24"/>
        </w:rPr>
        <w:t>”</w:t>
      </w:r>
      <w:r w:rsidRPr="00F00B77">
        <w:rPr>
          <w:rFonts w:hAnsi="宋体"/>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F00B77" w14:paraId="20E4DA80"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381281D8"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390C1DED"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偏离情况</w:t>
            </w:r>
          </w:p>
        </w:tc>
      </w:tr>
      <w:tr w:rsidR="006B35CA" w:rsidRPr="00F00B77" w14:paraId="43653CA1"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069F2C55"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报告期内偏离度的绝对值在</w:t>
            </w:r>
            <w:r w:rsidRPr="00F00B77">
              <w:rPr>
                <w:color w:val="000000"/>
                <w:kern w:val="0"/>
                <w:sz w:val="24"/>
                <w:szCs w:val="24"/>
              </w:rPr>
              <w:t>0.25(</w:t>
            </w:r>
            <w:r w:rsidRPr="00F00B77">
              <w:rPr>
                <w:rFonts w:hAnsi="宋体"/>
                <w:color w:val="000000"/>
                <w:kern w:val="0"/>
                <w:sz w:val="24"/>
                <w:szCs w:val="24"/>
              </w:rPr>
              <w:t>含</w:t>
            </w:r>
            <w:r w:rsidRPr="00F00B77">
              <w:rPr>
                <w:color w:val="000000"/>
                <w:kern w:val="0"/>
                <w:sz w:val="24"/>
                <w:szCs w:val="24"/>
              </w:rPr>
              <w:t>)-0.5%</w:t>
            </w:r>
            <w:r w:rsidRPr="00F00B77">
              <w:rPr>
                <w:rFonts w:hAnsi="宋体"/>
                <w:color w:val="000000"/>
                <w:kern w:val="0"/>
                <w:sz w:val="24"/>
                <w:szCs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23746577" w14:textId="77777777" w:rsidR="006B35CA" w:rsidRPr="00F00B77" w:rsidRDefault="006B35CA" w:rsidP="006B35CA">
            <w:pPr>
              <w:spacing w:before="29" w:line="360" w:lineRule="auto"/>
              <w:jc w:val="right"/>
              <w:rPr>
                <w:sz w:val="24"/>
                <w:szCs w:val="24"/>
              </w:rPr>
            </w:pPr>
            <w:r w:rsidRPr="000E4C40">
              <w:rPr>
                <w:color w:val="000000"/>
                <w:sz w:val="24"/>
              </w:rPr>
              <w:t>0</w:t>
            </w:r>
            <w:r w:rsidRPr="000E4C40">
              <w:rPr>
                <w:rFonts w:hAnsi="宋体"/>
                <w:color w:val="000000"/>
                <w:sz w:val="24"/>
              </w:rPr>
              <w:t>次</w:t>
            </w:r>
          </w:p>
        </w:tc>
      </w:tr>
      <w:tr w:rsidR="006B35CA" w:rsidRPr="00F00B77" w14:paraId="490BFC0B"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DD3C162"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5FAE9EB9" w14:textId="77777777" w:rsidR="006B35CA" w:rsidRPr="00F00B77" w:rsidRDefault="006B35CA" w:rsidP="006B35CA">
            <w:pPr>
              <w:spacing w:before="29" w:line="360" w:lineRule="auto"/>
              <w:jc w:val="right"/>
              <w:rPr>
                <w:sz w:val="24"/>
                <w:szCs w:val="24"/>
              </w:rPr>
            </w:pPr>
            <w:r w:rsidRPr="000E4C40">
              <w:rPr>
                <w:color w:val="000000"/>
                <w:sz w:val="24"/>
              </w:rPr>
              <w:t>0.0303%</w:t>
            </w:r>
          </w:p>
        </w:tc>
      </w:tr>
      <w:tr w:rsidR="006B35CA" w:rsidRPr="00F00B77" w14:paraId="76CB0104"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BD10DDB"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4E0D7EEC" w14:textId="77777777" w:rsidR="006B35CA" w:rsidRPr="00F00B77" w:rsidRDefault="006B35CA" w:rsidP="006B35CA">
            <w:pPr>
              <w:spacing w:before="29" w:line="360" w:lineRule="auto"/>
              <w:jc w:val="right"/>
              <w:rPr>
                <w:sz w:val="24"/>
                <w:szCs w:val="24"/>
              </w:rPr>
            </w:pPr>
            <w:r w:rsidRPr="000E4C40">
              <w:rPr>
                <w:color w:val="000000"/>
                <w:sz w:val="24"/>
              </w:rPr>
              <w:t>-0.0236%</w:t>
            </w:r>
          </w:p>
        </w:tc>
      </w:tr>
      <w:tr w:rsidR="006B35CA" w:rsidRPr="00F00B77" w14:paraId="3A1E70CD"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4F2FC20"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58BF3343" w14:textId="77777777" w:rsidR="006B35CA" w:rsidRPr="00F00B77" w:rsidRDefault="006B35CA" w:rsidP="006B35CA">
            <w:pPr>
              <w:spacing w:before="29" w:line="360" w:lineRule="auto"/>
              <w:jc w:val="right"/>
              <w:rPr>
                <w:sz w:val="24"/>
                <w:szCs w:val="24"/>
              </w:rPr>
            </w:pPr>
            <w:r w:rsidRPr="000E4C40">
              <w:rPr>
                <w:color w:val="000000"/>
                <w:sz w:val="24"/>
              </w:rPr>
              <w:t>0.0124%</w:t>
            </w:r>
          </w:p>
        </w:tc>
      </w:tr>
    </w:tbl>
    <w:p w14:paraId="3CDA2BAF"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18CAAFCB" w14:textId="77777777" w:rsidR="00F313AE" w:rsidRPr="00F00B77" w:rsidRDefault="00F313AE" w:rsidP="00D80722">
      <w:pPr>
        <w:spacing w:line="360" w:lineRule="auto"/>
        <w:rPr>
          <w:rFonts w:ascii="宋体" w:hAnsi="宋体" w:cs="Arial"/>
          <w:b/>
          <w:bCs/>
          <w:color w:val="000000"/>
          <w:kern w:val="0"/>
          <w:sz w:val="24"/>
          <w:szCs w:val="24"/>
        </w:rPr>
      </w:pPr>
      <w:r w:rsidRPr="00F00B77">
        <w:rPr>
          <w:rFonts w:ascii="宋体" w:hAnsi="宋体" w:hint="eastAsia"/>
          <w:b/>
          <w:bCs/>
          <w:color w:val="000000"/>
          <w:sz w:val="24"/>
          <w:szCs w:val="24"/>
        </w:rPr>
        <w:t>报告期内负偏离度的绝对值达到0.25%情况说明</w:t>
      </w:r>
    </w:p>
    <w:p w14:paraId="32C6C2B5" w14:textId="77777777" w:rsidR="00F313AE" w:rsidRPr="00F00B77" w:rsidRDefault="00F313AE" w:rsidP="00F4542E">
      <w:pPr>
        <w:autoSpaceDE w:val="0"/>
        <w:autoSpaceDN w:val="0"/>
        <w:adjustRightInd w:val="0"/>
        <w:spacing w:line="360" w:lineRule="auto"/>
        <w:jc w:val="left"/>
        <w:rPr>
          <w:color w:val="000000"/>
          <w:sz w:val="24"/>
          <w:szCs w:val="24"/>
        </w:rPr>
      </w:pPr>
      <w:r w:rsidRPr="00F00B77">
        <w:rPr>
          <w:color w:val="000000"/>
          <w:sz w:val="24"/>
          <w:szCs w:val="24"/>
        </w:rPr>
        <w:t>本基金本报告期内未存在负偏离度的绝对值达到</w:t>
      </w:r>
      <w:r w:rsidRPr="00F00B77">
        <w:rPr>
          <w:color w:val="000000"/>
          <w:sz w:val="24"/>
          <w:szCs w:val="24"/>
        </w:rPr>
        <w:t>0.25%</w:t>
      </w:r>
      <w:r w:rsidRPr="00F00B77">
        <w:rPr>
          <w:color w:val="000000"/>
          <w:sz w:val="24"/>
          <w:szCs w:val="24"/>
        </w:rPr>
        <w:t>情况。</w:t>
      </w:r>
    </w:p>
    <w:p w14:paraId="0E2869EE" w14:textId="77777777" w:rsidR="00F313AE" w:rsidRPr="00F00B77" w:rsidRDefault="00F313AE" w:rsidP="00F4542E">
      <w:pPr>
        <w:autoSpaceDE w:val="0"/>
        <w:autoSpaceDN w:val="0"/>
        <w:adjustRightInd w:val="0"/>
        <w:spacing w:line="360" w:lineRule="auto"/>
        <w:jc w:val="left"/>
        <w:rPr>
          <w:rFonts w:ascii="宋体" w:hAnsi="宋体"/>
          <w:color w:val="000000"/>
          <w:sz w:val="24"/>
          <w:szCs w:val="24"/>
        </w:rPr>
      </w:pPr>
    </w:p>
    <w:p w14:paraId="3F749093" w14:textId="77777777" w:rsidR="00F313AE" w:rsidRPr="00F00B77" w:rsidRDefault="00F313AE" w:rsidP="00502ED4">
      <w:pPr>
        <w:spacing w:line="360" w:lineRule="auto"/>
        <w:rPr>
          <w:rFonts w:ascii="宋体" w:hAnsi="宋体" w:cs="Arial"/>
          <w:b/>
          <w:bCs/>
          <w:color w:val="000000"/>
          <w:kern w:val="0"/>
          <w:sz w:val="24"/>
          <w:szCs w:val="24"/>
        </w:rPr>
      </w:pPr>
      <w:r w:rsidRPr="00F00B77">
        <w:rPr>
          <w:rFonts w:ascii="宋体" w:hAnsi="宋体" w:hint="eastAsia"/>
          <w:b/>
          <w:bCs/>
          <w:color w:val="000000"/>
          <w:sz w:val="24"/>
          <w:szCs w:val="24"/>
        </w:rPr>
        <w:t>报告期内正偏离度的绝对值达到0.5%情况说明</w:t>
      </w:r>
    </w:p>
    <w:p w14:paraId="75DB2B52" w14:textId="77777777" w:rsidR="00F313AE" w:rsidRPr="00F00B77" w:rsidRDefault="00F313AE" w:rsidP="00BA7A10">
      <w:pPr>
        <w:autoSpaceDE w:val="0"/>
        <w:autoSpaceDN w:val="0"/>
        <w:adjustRightInd w:val="0"/>
        <w:spacing w:line="360" w:lineRule="auto"/>
        <w:jc w:val="left"/>
        <w:rPr>
          <w:color w:val="000000"/>
          <w:sz w:val="24"/>
          <w:szCs w:val="24"/>
        </w:rPr>
      </w:pPr>
      <w:r w:rsidRPr="00F00B77">
        <w:rPr>
          <w:color w:val="000000"/>
          <w:sz w:val="24"/>
          <w:szCs w:val="24"/>
        </w:rPr>
        <w:t>本基金本报告期内未存在正偏离度的绝对值达到</w:t>
      </w:r>
      <w:r w:rsidRPr="00F00B77">
        <w:rPr>
          <w:color w:val="000000"/>
          <w:sz w:val="24"/>
          <w:szCs w:val="24"/>
        </w:rPr>
        <w:t>0.50%</w:t>
      </w:r>
      <w:r w:rsidRPr="00F00B77">
        <w:rPr>
          <w:color w:val="000000"/>
          <w:sz w:val="24"/>
          <w:szCs w:val="24"/>
        </w:rPr>
        <w:t>情况。</w:t>
      </w:r>
    </w:p>
    <w:p w14:paraId="7419D369"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1DD04F45"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8 </w:t>
      </w:r>
      <w:r w:rsidRPr="00F00B77">
        <w:rPr>
          <w:rFonts w:hAnsi="宋体"/>
          <w:b/>
          <w:color w:val="000000"/>
          <w:kern w:val="0"/>
          <w:sz w:val="24"/>
          <w:szCs w:val="24"/>
        </w:rPr>
        <w:t>报告期末按公允价值占基金资产净值比例大小排序的前十名资产支持证券投资明细</w:t>
      </w:r>
    </w:p>
    <w:p w14:paraId="5B7DC1BD"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本基金本报告期末未持有资产支持证券。</w:t>
      </w:r>
    </w:p>
    <w:p w14:paraId="027E47EE"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419A27E3"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9 </w:t>
      </w:r>
      <w:r w:rsidRPr="00F00B77">
        <w:rPr>
          <w:rFonts w:hAnsi="宋体"/>
          <w:b/>
          <w:color w:val="000000"/>
          <w:kern w:val="0"/>
          <w:sz w:val="24"/>
          <w:szCs w:val="24"/>
        </w:rPr>
        <w:t>投资组合报告附注</w:t>
      </w:r>
    </w:p>
    <w:p w14:paraId="51F912AC" w14:textId="77777777" w:rsidR="00F313AE" w:rsidRPr="00F00B77" w:rsidRDefault="00F313AE" w:rsidP="0088371F">
      <w:pPr>
        <w:spacing w:before="29" w:line="360" w:lineRule="auto"/>
        <w:rPr>
          <w:sz w:val="24"/>
          <w:szCs w:val="24"/>
        </w:rPr>
      </w:pPr>
      <w:r w:rsidRPr="00F00B77">
        <w:rPr>
          <w:sz w:val="24"/>
          <w:szCs w:val="24"/>
        </w:rPr>
        <w:t xml:space="preserve">9.1 </w:t>
      </w:r>
      <w:r w:rsidRPr="00F00B77">
        <w:rPr>
          <w:rFonts w:hAnsi="宋体"/>
          <w:sz w:val="24"/>
          <w:szCs w:val="24"/>
        </w:rPr>
        <w:t>基金计价方法说明</w:t>
      </w:r>
    </w:p>
    <w:p w14:paraId="5B4E2DD8" w14:textId="77777777" w:rsidR="00F313AE" w:rsidRPr="00F00B77" w:rsidRDefault="00F313AE" w:rsidP="0088371F">
      <w:pPr>
        <w:spacing w:before="29" w:line="360" w:lineRule="auto"/>
        <w:rPr>
          <w:color w:val="000000"/>
          <w:sz w:val="24"/>
          <w:szCs w:val="24"/>
        </w:rPr>
      </w:pPr>
      <w:r w:rsidRPr="00F00B77">
        <w:rPr>
          <w:color w:val="000000"/>
          <w:sz w:val="24"/>
          <w:szCs w:val="24"/>
        </w:rPr>
        <w:t>本基金采用摊余成本法计价，即计价对象以买入成本列示，按票面利率或商定利率并考虑其买入时的溢价与折价，在其剩余期限内按照实际利率和摊余成本逐日摊销计算损益。</w:t>
      </w:r>
    </w:p>
    <w:p w14:paraId="61419DBF" w14:textId="77777777" w:rsidR="00F313AE" w:rsidRPr="00F00B77" w:rsidRDefault="00F313AE" w:rsidP="0088371F">
      <w:pPr>
        <w:adjustRightInd w:val="0"/>
        <w:spacing w:before="29" w:line="360" w:lineRule="auto"/>
        <w:ind w:left="17"/>
        <w:rPr>
          <w:color w:val="000000"/>
          <w:sz w:val="24"/>
          <w:szCs w:val="24"/>
        </w:rPr>
      </w:pPr>
      <w:r w:rsidRPr="00F00B77">
        <w:rPr>
          <w:bCs/>
          <w:sz w:val="24"/>
          <w:szCs w:val="24"/>
        </w:rPr>
        <w:t>9.2</w:t>
      </w:r>
      <w:r w:rsidRPr="00F00B77">
        <w:rPr>
          <w:color w:val="000000"/>
          <w:sz w:val="24"/>
          <w:szCs w:val="24"/>
        </w:rPr>
        <w:t>报告期内本基金投资的前十名证券的发行主体未被监管部门立案调查，在本报告编制日前一年内本基金投资的前十名证券的发行主体未受到公开谴责和处罚。</w:t>
      </w:r>
    </w:p>
    <w:p w14:paraId="2D4D7FE8" w14:textId="77777777" w:rsidR="00F313AE" w:rsidRPr="00F00B77" w:rsidRDefault="00F313AE" w:rsidP="0088371F">
      <w:pPr>
        <w:adjustRightInd w:val="0"/>
        <w:spacing w:before="29" w:line="360" w:lineRule="auto"/>
        <w:ind w:left="17"/>
        <w:rPr>
          <w:color w:val="000000"/>
          <w:sz w:val="24"/>
          <w:szCs w:val="24"/>
        </w:rPr>
      </w:pPr>
    </w:p>
    <w:p w14:paraId="1130A0C1" w14:textId="77777777" w:rsidR="00F313AE" w:rsidRPr="00F00B77" w:rsidRDefault="00F313AE" w:rsidP="0088371F">
      <w:pPr>
        <w:spacing w:before="29" w:line="360" w:lineRule="auto"/>
        <w:rPr>
          <w:color w:val="000000"/>
          <w:kern w:val="0"/>
          <w:sz w:val="24"/>
          <w:szCs w:val="24"/>
        </w:rPr>
      </w:pPr>
      <w:r w:rsidRPr="00F00B77">
        <w:rPr>
          <w:color w:val="000000"/>
          <w:kern w:val="0"/>
          <w:sz w:val="24"/>
          <w:szCs w:val="24"/>
        </w:rPr>
        <w:t xml:space="preserve">9.3 </w:t>
      </w:r>
      <w:r w:rsidRPr="00F00B77">
        <w:rPr>
          <w:rFonts w:hAnsi="宋体"/>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F00B77" w14:paraId="32CA029A" w14:textId="77777777" w:rsidTr="006B35CA">
        <w:trPr>
          <w:jc w:val="center"/>
        </w:trPr>
        <w:tc>
          <w:tcPr>
            <w:tcW w:w="907" w:type="dxa"/>
            <w:shd w:val="clear" w:color="auto" w:fill="auto"/>
            <w:vAlign w:val="center"/>
          </w:tcPr>
          <w:p w14:paraId="1193CBCE"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序号</w:t>
            </w:r>
          </w:p>
        </w:tc>
        <w:tc>
          <w:tcPr>
            <w:tcW w:w="3375" w:type="dxa"/>
            <w:shd w:val="clear" w:color="auto" w:fill="auto"/>
            <w:vAlign w:val="center"/>
          </w:tcPr>
          <w:p w14:paraId="6DFE6072"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名称</w:t>
            </w:r>
          </w:p>
        </w:tc>
        <w:tc>
          <w:tcPr>
            <w:tcW w:w="4586" w:type="dxa"/>
            <w:shd w:val="clear" w:color="auto" w:fill="auto"/>
            <w:vAlign w:val="center"/>
          </w:tcPr>
          <w:p w14:paraId="52C6E19C"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金额（元）</w:t>
            </w:r>
          </w:p>
        </w:tc>
      </w:tr>
      <w:tr w:rsidR="006B35CA" w:rsidRPr="00F00B77" w14:paraId="28A99843" w14:textId="77777777" w:rsidTr="009F17D8">
        <w:trPr>
          <w:jc w:val="center"/>
        </w:trPr>
        <w:tc>
          <w:tcPr>
            <w:tcW w:w="907" w:type="dxa"/>
            <w:shd w:val="clear" w:color="auto" w:fill="auto"/>
            <w:vAlign w:val="center"/>
          </w:tcPr>
          <w:p w14:paraId="0AD29B20" w14:textId="77777777" w:rsidR="006B35CA" w:rsidRPr="00F00B77" w:rsidRDefault="006B35CA" w:rsidP="006B35CA">
            <w:pPr>
              <w:autoSpaceDE w:val="0"/>
              <w:autoSpaceDN w:val="0"/>
              <w:adjustRightInd w:val="0"/>
              <w:spacing w:before="29" w:line="360" w:lineRule="auto"/>
              <w:ind w:left="15"/>
              <w:jc w:val="center"/>
              <w:rPr>
                <w:color w:val="000000"/>
                <w:kern w:val="0"/>
                <w:sz w:val="24"/>
                <w:szCs w:val="24"/>
              </w:rPr>
            </w:pPr>
            <w:r w:rsidRPr="00F00B77">
              <w:rPr>
                <w:color w:val="000000"/>
                <w:sz w:val="24"/>
                <w:szCs w:val="24"/>
              </w:rPr>
              <w:t>1</w:t>
            </w:r>
          </w:p>
        </w:tc>
        <w:tc>
          <w:tcPr>
            <w:tcW w:w="3375" w:type="dxa"/>
            <w:shd w:val="clear" w:color="auto" w:fill="auto"/>
            <w:vAlign w:val="center"/>
          </w:tcPr>
          <w:p w14:paraId="4C95D18C"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存出保证金</w:t>
            </w:r>
          </w:p>
        </w:tc>
        <w:tc>
          <w:tcPr>
            <w:tcW w:w="4586" w:type="dxa"/>
            <w:shd w:val="clear" w:color="auto" w:fill="auto"/>
            <w:vAlign w:val="center"/>
          </w:tcPr>
          <w:p w14:paraId="2A94C72B" w14:textId="77777777" w:rsidR="006B35CA" w:rsidRPr="00F00B77" w:rsidRDefault="006B35CA" w:rsidP="006B35CA">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6B35CA" w:rsidRPr="00F00B77" w14:paraId="4725CFE4" w14:textId="77777777" w:rsidTr="009F17D8">
        <w:trPr>
          <w:jc w:val="center"/>
        </w:trPr>
        <w:tc>
          <w:tcPr>
            <w:tcW w:w="907" w:type="dxa"/>
            <w:shd w:val="clear" w:color="auto" w:fill="auto"/>
            <w:vAlign w:val="center"/>
          </w:tcPr>
          <w:p w14:paraId="0D42FB70" w14:textId="77777777" w:rsidR="006B35CA" w:rsidRPr="00F00B77" w:rsidRDefault="006B35CA" w:rsidP="006B35CA">
            <w:pPr>
              <w:autoSpaceDE w:val="0"/>
              <w:autoSpaceDN w:val="0"/>
              <w:adjustRightInd w:val="0"/>
              <w:spacing w:before="29" w:line="360" w:lineRule="auto"/>
              <w:ind w:left="15"/>
              <w:jc w:val="center"/>
              <w:rPr>
                <w:color w:val="000000"/>
                <w:sz w:val="24"/>
                <w:szCs w:val="24"/>
              </w:rPr>
            </w:pPr>
            <w:r w:rsidRPr="00F00B77">
              <w:rPr>
                <w:color w:val="000000"/>
                <w:sz w:val="24"/>
                <w:szCs w:val="24"/>
              </w:rPr>
              <w:t>2</w:t>
            </w:r>
          </w:p>
        </w:tc>
        <w:tc>
          <w:tcPr>
            <w:tcW w:w="3375" w:type="dxa"/>
            <w:shd w:val="clear" w:color="auto" w:fill="auto"/>
            <w:vAlign w:val="center"/>
          </w:tcPr>
          <w:p w14:paraId="5DB4BAE6"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应收证券清算款</w:t>
            </w:r>
          </w:p>
        </w:tc>
        <w:tc>
          <w:tcPr>
            <w:tcW w:w="4586" w:type="dxa"/>
            <w:shd w:val="clear" w:color="auto" w:fill="auto"/>
            <w:vAlign w:val="center"/>
          </w:tcPr>
          <w:p w14:paraId="7972E0C5" w14:textId="77777777" w:rsidR="006B35CA" w:rsidRPr="00F00B77" w:rsidRDefault="006B35CA" w:rsidP="006B35CA">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6B35CA" w:rsidRPr="00F00B77" w14:paraId="7CADCFFC" w14:textId="77777777" w:rsidTr="009F17D8">
        <w:trPr>
          <w:jc w:val="center"/>
        </w:trPr>
        <w:tc>
          <w:tcPr>
            <w:tcW w:w="907" w:type="dxa"/>
            <w:shd w:val="clear" w:color="auto" w:fill="auto"/>
            <w:vAlign w:val="center"/>
          </w:tcPr>
          <w:p w14:paraId="10A52E14" w14:textId="77777777" w:rsidR="006B35CA" w:rsidRPr="00F00B77" w:rsidRDefault="006B35CA" w:rsidP="006B35CA">
            <w:pPr>
              <w:autoSpaceDE w:val="0"/>
              <w:autoSpaceDN w:val="0"/>
              <w:adjustRightInd w:val="0"/>
              <w:spacing w:before="29" w:line="360" w:lineRule="auto"/>
              <w:ind w:left="15"/>
              <w:jc w:val="center"/>
              <w:rPr>
                <w:color w:val="000000"/>
                <w:sz w:val="24"/>
                <w:szCs w:val="24"/>
              </w:rPr>
            </w:pPr>
            <w:r w:rsidRPr="00F00B77">
              <w:rPr>
                <w:color w:val="000000"/>
                <w:sz w:val="24"/>
                <w:szCs w:val="24"/>
              </w:rPr>
              <w:t>3</w:t>
            </w:r>
          </w:p>
        </w:tc>
        <w:tc>
          <w:tcPr>
            <w:tcW w:w="3375" w:type="dxa"/>
            <w:shd w:val="clear" w:color="auto" w:fill="auto"/>
            <w:vAlign w:val="center"/>
          </w:tcPr>
          <w:p w14:paraId="2BE57D59"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应收利息</w:t>
            </w:r>
          </w:p>
        </w:tc>
        <w:tc>
          <w:tcPr>
            <w:tcW w:w="4586" w:type="dxa"/>
            <w:shd w:val="clear" w:color="auto" w:fill="auto"/>
            <w:vAlign w:val="center"/>
          </w:tcPr>
          <w:p w14:paraId="1E068F22" w14:textId="77777777" w:rsidR="006B35CA" w:rsidRPr="00F00B77" w:rsidRDefault="006B35CA" w:rsidP="006B35CA">
            <w:pPr>
              <w:autoSpaceDE w:val="0"/>
              <w:autoSpaceDN w:val="0"/>
              <w:adjustRightInd w:val="0"/>
              <w:spacing w:before="29" w:line="360" w:lineRule="auto"/>
              <w:ind w:left="15"/>
              <w:jc w:val="right"/>
              <w:rPr>
                <w:color w:val="000000"/>
                <w:kern w:val="0"/>
                <w:sz w:val="24"/>
                <w:szCs w:val="24"/>
              </w:rPr>
            </w:pPr>
            <w:r w:rsidRPr="000E4C40">
              <w:rPr>
                <w:color w:val="000000"/>
                <w:kern w:val="0"/>
                <w:sz w:val="24"/>
              </w:rPr>
              <w:t>20,319,177.33</w:t>
            </w:r>
          </w:p>
        </w:tc>
      </w:tr>
      <w:tr w:rsidR="006B35CA" w:rsidRPr="00F00B77" w14:paraId="529B772A" w14:textId="77777777" w:rsidTr="009F17D8">
        <w:trPr>
          <w:jc w:val="center"/>
        </w:trPr>
        <w:tc>
          <w:tcPr>
            <w:tcW w:w="907" w:type="dxa"/>
            <w:shd w:val="clear" w:color="auto" w:fill="auto"/>
            <w:vAlign w:val="center"/>
          </w:tcPr>
          <w:p w14:paraId="3310DF13" w14:textId="77777777" w:rsidR="006B35CA" w:rsidRPr="00F00B77" w:rsidRDefault="006B35CA" w:rsidP="006B35CA">
            <w:pPr>
              <w:autoSpaceDE w:val="0"/>
              <w:autoSpaceDN w:val="0"/>
              <w:adjustRightInd w:val="0"/>
              <w:spacing w:before="29" w:line="360" w:lineRule="auto"/>
              <w:ind w:left="15"/>
              <w:jc w:val="center"/>
              <w:rPr>
                <w:color w:val="000000"/>
                <w:sz w:val="24"/>
                <w:szCs w:val="24"/>
              </w:rPr>
            </w:pPr>
            <w:r w:rsidRPr="00F00B77">
              <w:rPr>
                <w:color w:val="000000"/>
                <w:sz w:val="24"/>
                <w:szCs w:val="24"/>
              </w:rPr>
              <w:t>4</w:t>
            </w:r>
          </w:p>
        </w:tc>
        <w:tc>
          <w:tcPr>
            <w:tcW w:w="3375" w:type="dxa"/>
            <w:shd w:val="clear" w:color="auto" w:fill="auto"/>
            <w:vAlign w:val="center"/>
          </w:tcPr>
          <w:p w14:paraId="294A9E5E"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应收申购款</w:t>
            </w:r>
          </w:p>
        </w:tc>
        <w:tc>
          <w:tcPr>
            <w:tcW w:w="4586" w:type="dxa"/>
            <w:shd w:val="clear" w:color="auto" w:fill="auto"/>
            <w:vAlign w:val="center"/>
          </w:tcPr>
          <w:p w14:paraId="2EAA340C" w14:textId="77777777" w:rsidR="006B35CA" w:rsidRPr="00F00B77" w:rsidRDefault="006B35CA" w:rsidP="006B35CA">
            <w:pPr>
              <w:autoSpaceDE w:val="0"/>
              <w:autoSpaceDN w:val="0"/>
              <w:adjustRightInd w:val="0"/>
              <w:spacing w:before="29" w:line="360" w:lineRule="auto"/>
              <w:ind w:left="15"/>
              <w:jc w:val="right"/>
              <w:rPr>
                <w:color w:val="000000"/>
                <w:kern w:val="0"/>
                <w:sz w:val="24"/>
                <w:szCs w:val="24"/>
              </w:rPr>
            </w:pPr>
            <w:r w:rsidRPr="000E4C40">
              <w:rPr>
                <w:color w:val="000000"/>
                <w:kern w:val="0"/>
                <w:sz w:val="24"/>
              </w:rPr>
              <w:t>10,268,461.51</w:t>
            </w:r>
          </w:p>
        </w:tc>
      </w:tr>
      <w:tr w:rsidR="006B35CA" w:rsidRPr="00F00B77" w14:paraId="3A34F79C" w14:textId="77777777" w:rsidTr="009F17D8">
        <w:trPr>
          <w:jc w:val="center"/>
        </w:trPr>
        <w:tc>
          <w:tcPr>
            <w:tcW w:w="907" w:type="dxa"/>
            <w:shd w:val="clear" w:color="auto" w:fill="auto"/>
            <w:vAlign w:val="center"/>
          </w:tcPr>
          <w:p w14:paraId="3137790D" w14:textId="77777777" w:rsidR="006B35CA" w:rsidRPr="00F00B77" w:rsidRDefault="006B35CA" w:rsidP="006B35CA">
            <w:pPr>
              <w:autoSpaceDE w:val="0"/>
              <w:autoSpaceDN w:val="0"/>
              <w:adjustRightInd w:val="0"/>
              <w:spacing w:before="29" w:line="360" w:lineRule="auto"/>
              <w:ind w:left="15"/>
              <w:jc w:val="center"/>
              <w:rPr>
                <w:color w:val="000000"/>
                <w:sz w:val="24"/>
                <w:szCs w:val="24"/>
              </w:rPr>
            </w:pPr>
            <w:r w:rsidRPr="00F00B77">
              <w:rPr>
                <w:color w:val="000000"/>
                <w:sz w:val="24"/>
                <w:szCs w:val="24"/>
              </w:rPr>
              <w:t>5</w:t>
            </w:r>
          </w:p>
        </w:tc>
        <w:tc>
          <w:tcPr>
            <w:tcW w:w="3375" w:type="dxa"/>
            <w:shd w:val="clear" w:color="auto" w:fill="auto"/>
            <w:vAlign w:val="center"/>
          </w:tcPr>
          <w:p w14:paraId="382BA5B0"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其他应收款</w:t>
            </w:r>
          </w:p>
        </w:tc>
        <w:tc>
          <w:tcPr>
            <w:tcW w:w="4586" w:type="dxa"/>
            <w:shd w:val="clear" w:color="auto" w:fill="auto"/>
            <w:vAlign w:val="center"/>
          </w:tcPr>
          <w:p w14:paraId="7D803317" w14:textId="77777777" w:rsidR="006B35CA" w:rsidRPr="00F00B77" w:rsidRDefault="006B35CA" w:rsidP="006B35CA">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6B35CA" w:rsidRPr="00F00B77" w14:paraId="2E530621" w14:textId="77777777" w:rsidTr="009F17D8">
        <w:trPr>
          <w:jc w:val="center"/>
        </w:trPr>
        <w:tc>
          <w:tcPr>
            <w:tcW w:w="907" w:type="dxa"/>
            <w:shd w:val="clear" w:color="auto" w:fill="auto"/>
            <w:vAlign w:val="center"/>
          </w:tcPr>
          <w:p w14:paraId="1D0BF810" w14:textId="77777777" w:rsidR="006B35CA" w:rsidRPr="00F00B77" w:rsidRDefault="006B35CA" w:rsidP="006B35CA">
            <w:pPr>
              <w:autoSpaceDE w:val="0"/>
              <w:autoSpaceDN w:val="0"/>
              <w:adjustRightInd w:val="0"/>
              <w:spacing w:before="29" w:line="360" w:lineRule="auto"/>
              <w:ind w:left="15"/>
              <w:jc w:val="center"/>
              <w:rPr>
                <w:color w:val="000000"/>
                <w:sz w:val="24"/>
                <w:szCs w:val="24"/>
              </w:rPr>
            </w:pPr>
            <w:r w:rsidRPr="00F00B77">
              <w:rPr>
                <w:color w:val="000000"/>
                <w:sz w:val="24"/>
                <w:szCs w:val="24"/>
              </w:rPr>
              <w:t>6</w:t>
            </w:r>
          </w:p>
        </w:tc>
        <w:tc>
          <w:tcPr>
            <w:tcW w:w="3375" w:type="dxa"/>
            <w:shd w:val="clear" w:color="auto" w:fill="auto"/>
            <w:vAlign w:val="center"/>
          </w:tcPr>
          <w:p w14:paraId="6F382FDD"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待摊费用</w:t>
            </w:r>
          </w:p>
        </w:tc>
        <w:tc>
          <w:tcPr>
            <w:tcW w:w="4586" w:type="dxa"/>
            <w:shd w:val="clear" w:color="auto" w:fill="auto"/>
            <w:vAlign w:val="center"/>
          </w:tcPr>
          <w:p w14:paraId="59911803" w14:textId="77777777" w:rsidR="006B35CA" w:rsidRPr="00F00B77" w:rsidRDefault="006B35CA" w:rsidP="006B35CA">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6B35CA" w:rsidRPr="00F00B77" w14:paraId="27E48CE9" w14:textId="77777777" w:rsidTr="009F17D8">
        <w:trPr>
          <w:jc w:val="center"/>
        </w:trPr>
        <w:tc>
          <w:tcPr>
            <w:tcW w:w="907" w:type="dxa"/>
            <w:shd w:val="clear" w:color="auto" w:fill="auto"/>
            <w:vAlign w:val="center"/>
          </w:tcPr>
          <w:p w14:paraId="421EEE10" w14:textId="77777777" w:rsidR="006B35CA" w:rsidRPr="00F00B77" w:rsidRDefault="006B35CA" w:rsidP="006B35CA">
            <w:pPr>
              <w:autoSpaceDE w:val="0"/>
              <w:autoSpaceDN w:val="0"/>
              <w:adjustRightInd w:val="0"/>
              <w:spacing w:before="29" w:line="360" w:lineRule="auto"/>
              <w:ind w:left="15"/>
              <w:jc w:val="center"/>
              <w:rPr>
                <w:color w:val="000000"/>
                <w:sz w:val="24"/>
                <w:szCs w:val="24"/>
              </w:rPr>
            </w:pPr>
            <w:r w:rsidRPr="00F00B77">
              <w:rPr>
                <w:color w:val="000000"/>
                <w:sz w:val="24"/>
                <w:szCs w:val="24"/>
              </w:rPr>
              <w:t>7</w:t>
            </w:r>
          </w:p>
        </w:tc>
        <w:tc>
          <w:tcPr>
            <w:tcW w:w="3375" w:type="dxa"/>
            <w:shd w:val="clear" w:color="auto" w:fill="auto"/>
            <w:vAlign w:val="center"/>
          </w:tcPr>
          <w:p w14:paraId="379FBFFE"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其他</w:t>
            </w:r>
          </w:p>
        </w:tc>
        <w:tc>
          <w:tcPr>
            <w:tcW w:w="4586" w:type="dxa"/>
            <w:shd w:val="clear" w:color="auto" w:fill="auto"/>
            <w:vAlign w:val="center"/>
          </w:tcPr>
          <w:p w14:paraId="0695477F" w14:textId="77777777" w:rsidR="006B35CA" w:rsidRPr="00F00B77" w:rsidRDefault="006B35CA" w:rsidP="006B35CA">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6B35CA" w:rsidRPr="00F00B77" w14:paraId="2AF60ADF" w14:textId="77777777" w:rsidTr="009F17D8">
        <w:trPr>
          <w:jc w:val="center"/>
        </w:trPr>
        <w:tc>
          <w:tcPr>
            <w:tcW w:w="907" w:type="dxa"/>
            <w:shd w:val="clear" w:color="auto" w:fill="auto"/>
            <w:vAlign w:val="center"/>
          </w:tcPr>
          <w:p w14:paraId="05FE7BD9" w14:textId="77777777" w:rsidR="006B35CA" w:rsidRPr="00F00B77" w:rsidRDefault="006B35CA" w:rsidP="006B35CA">
            <w:pPr>
              <w:autoSpaceDE w:val="0"/>
              <w:autoSpaceDN w:val="0"/>
              <w:adjustRightInd w:val="0"/>
              <w:spacing w:before="29" w:line="360" w:lineRule="auto"/>
              <w:ind w:left="15"/>
              <w:jc w:val="center"/>
              <w:rPr>
                <w:color w:val="000000"/>
                <w:sz w:val="24"/>
                <w:szCs w:val="24"/>
              </w:rPr>
            </w:pPr>
            <w:r w:rsidRPr="00F00B77">
              <w:rPr>
                <w:color w:val="000000"/>
                <w:sz w:val="24"/>
                <w:szCs w:val="24"/>
              </w:rPr>
              <w:t>8</w:t>
            </w:r>
          </w:p>
        </w:tc>
        <w:tc>
          <w:tcPr>
            <w:tcW w:w="3375" w:type="dxa"/>
            <w:shd w:val="clear" w:color="auto" w:fill="auto"/>
            <w:vAlign w:val="center"/>
          </w:tcPr>
          <w:p w14:paraId="0EE1E5F6" w14:textId="77777777" w:rsidR="006B35CA" w:rsidRPr="00F00B77" w:rsidRDefault="006B35CA" w:rsidP="006B35CA">
            <w:pPr>
              <w:autoSpaceDE w:val="0"/>
              <w:autoSpaceDN w:val="0"/>
              <w:adjustRightInd w:val="0"/>
              <w:spacing w:before="29" w:line="360" w:lineRule="auto"/>
              <w:ind w:left="15"/>
              <w:jc w:val="left"/>
              <w:rPr>
                <w:color w:val="000000"/>
                <w:kern w:val="0"/>
                <w:sz w:val="24"/>
                <w:szCs w:val="24"/>
              </w:rPr>
            </w:pPr>
            <w:r w:rsidRPr="00F00B77">
              <w:rPr>
                <w:rFonts w:hAnsi="宋体"/>
                <w:color w:val="000000"/>
                <w:kern w:val="0"/>
                <w:sz w:val="24"/>
                <w:szCs w:val="24"/>
              </w:rPr>
              <w:t>合计</w:t>
            </w:r>
          </w:p>
        </w:tc>
        <w:tc>
          <w:tcPr>
            <w:tcW w:w="4586" w:type="dxa"/>
            <w:shd w:val="clear" w:color="auto" w:fill="auto"/>
            <w:vAlign w:val="center"/>
          </w:tcPr>
          <w:p w14:paraId="0B3FD5B4" w14:textId="77777777" w:rsidR="006B35CA" w:rsidRPr="00F00B77" w:rsidRDefault="006B35CA" w:rsidP="006B35CA">
            <w:pPr>
              <w:autoSpaceDE w:val="0"/>
              <w:autoSpaceDN w:val="0"/>
              <w:adjustRightInd w:val="0"/>
              <w:spacing w:before="29" w:line="360" w:lineRule="auto"/>
              <w:ind w:left="15"/>
              <w:jc w:val="right"/>
              <w:rPr>
                <w:color w:val="000000"/>
                <w:kern w:val="0"/>
                <w:sz w:val="24"/>
                <w:szCs w:val="24"/>
              </w:rPr>
            </w:pPr>
            <w:r w:rsidRPr="000E4C40">
              <w:rPr>
                <w:color w:val="000000"/>
                <w:kern w:val="0"/>
                <w:sz w:val="24"/>
              </w:rPr>
              <w:t>30,587,638.84</w:t>
            </w:r>
          </w:p>
        </w:tc>
      </w:tr>
    </w:tbl>
    <w:p w14:paraId="3C0BD47E" w14:textId="77777777" w:rsidR="00F313AE" w:rsidRPr="00F00B77" w:rsidRDefault="00F313AE" w:rsidP="0088371F">
      <w:pPr>
        <w:autoSpaceDE w:val="0"/>
        <w:autoSpaceDN w:val="0"/>
        <w:adjustRightInd w:val="0"/>
        <w:spacing w:before="29" w:line="360" w:lineRule="auto"/>
        <w:jc w:val="left"/>
        <w:rPr>
          <w:color w:val="000000"/>
          <w:sz w:val="24"/>
          <w:szCs w:val="24"/>
        </w:rPr>
      </w:pPr>
    </w:p>
    <w:p w14:paraId="2CE3CA8E" w14:textId="77777777" w:rsidR="00F313AE" w:rsidRPr="00F00B77" w:rsidRDefault="00F313AE" w:rsidP="0088371F">
      <w:pPr>
        <w:spacing w:before="29" w:line="360" w:lineRule="auto"/>
        <w:rPr>
          <w:color w:val="000000"/>
          <w:kern w:val="0"/>
          <w:sz w:val="24"/>
          <w:szCs w:val="24"/>
        </w:rPr>
      </w:pPr>
      <w:r w:rsidRPr="00F00B77">
        <w:rPr>
          <w:color w:val="000000"/>
          <w:kern w:val="0"/>
          <w:sz w:val="24"/>
          <w:szCs w:val="24"/>
        </w:rPr>
        <w:t xml:space="preserve">9.4 </w:t>
      </w:r>
      <w:r w:rsidRPr="00F00B77">
        <w:rPr>
          <w:rFonts w:hAnsi="宋体"/>
          <w:color w:val="000000"/>
          <w:kern w:val="0"/>
          <w:sz w:val="24"/>
          <w:szCs w:val="24"/>
        </w:rPr>
        <w:t>投资组合报告附注的其他文字描述部分</w:t>
      </w:r>
    </w:p>
    <w:p w14:paraId="39DE68D3" w14:textId="77777777" w:rsidR="00084DB4" w:rsidRPr="00F00B77" w:rsidRDefault="00F313AE" w:rsidP="0088371F">
      <w:pPr>
        <w:adjustRightInd w:val="0"/>
        <w:snapToGrid w:val="0"/>
        <w:spacing w:line="360" w:lineRule="auto"/>
        <w:rPr>
          <w:szCs w:val="21"/>
        </w:rPr>
      </w:pPr>
      <w:r w:rsidRPr="00F00B77">
        <w:rPr>
          <w:color w:val="000000"/>
          <w:sz w:val="24"/>
          <w:szCs w:val="24"/>
        </w:rPr>
        <w:t>由于四舍五入的原因，分项之和与合计项之间可能存在尾差。</w:t>
      </w:r>
    </w:p>
    <w:p w14:paraId="24684C2F" w14:textId="77777777" w:rsidR="00CF3606" w:rsidRPr="00F00B77" w:rsidRDefault="00CF3606" w:rsidP="0088371F">
      <w:pPr>
        <w:adjustRightInd w:val="0"/>
        <w:snapToGrid w:val="0"/>
        <w:spacing w:line="360" w:lineRule="auto"/>
        <w:rPr>
          <w:rFonts w:ascii="宋体" w:hAnsi="宋体"/>
          <w:b/>
          <w:kern w:val="0"/>
          <w:sz w:val="30"/>
        </w:rPr>
      </w:pPr>
    </w:p>
    <w:p w14:paraId="503F5F45" w14:textId="77777777" w:rsidR="00CF3606" w:rsidRPr="00F00B77" w:rsidRDefault="00D87150" w:rsidP="004A3EE5">
      <w:pPr>
        <w:widowControl/>
        <w:adjustRightInd w:val="0"/>
        <w:snapToGrid w:val="0"/>
        <w:spacing w:beforeLines="50" w:before="143" w:afterLines="50" w:after="143" w:line="360" w:lineRule="auto"/>
        <w:jc w:val="center"/>
        <w:outlineLvl w:val="0"/>
        <w:rPr>
          <w:rFonts w:ascii="宋体" w:hAnsi="宋体"/>
          <w:b/>
          <w:kern w:val="0"/>
          <w:sz w:val="30"/>
        </w:rPr>
      </w:pPr>
      <w:bookmarkStart w:id="49" w:name="_Toc491431673"/>
      <w:r w:rsidRPr="00F00B77">
        <w:rPr>
          <w:rFonts w:ascii="宋体" w:hAnsi="宋体" w:hint="eastAsia"/>
          <w:b/>
          <w:kern w:val="0"/>
          <w:sz w:val="30"/>
        </w:rPr>
        <w:t>十、基金的业绩</w:t>
      </w:r>
      <w:bookmarkEnd w:id="49"/>
      <w:r w:rsidRPr="00F00B77">
        <w:rPr>
          <w:rFonts w:ascii="宋体" w:hAnsi="宋体" w:hint="eastAsia"/>
          <w:b/>
          <w:kern w:val="0"/>
          <w:sz w:val="30"/>
        </w:rPr>
        <w:t xml:space="preserve"> </w:t>
      </w:r>
    </w:p>
    <w:p w14:paraId="2A36BCC0" w14:textId="77777777" w:rsidR="009745A0" w:rsidRPr="00F00B77" w:rsidRDefault="009745A0" w:rsidP="0088371F">
      <w:pPr>
        <w:widowControl/>
        <w:adjustRightInd w:val="0"/>
        <w:snapToGrid w:val="0"/>
        <w:spacing w:line="360" w:lineRule="auto"/>
        <w:ind w:firstLineChars="200" w:firstLine="480"/>
        <w:rPr>
          <w:rFonts w:hAnsi="宋体"/>
          <w:sz w:val="24"/>
          <w:szCs w:val="21"/>
        </w:rPr>
      </w:pPr>
      <w:r w:rsidRPr="00F00B77">
        <w:rPr>
          <w:rFonts w:hAnsi="宋体"/>
          <w:sz w:val="24"/>
          <w:szCs w:val="21"/>
        </w:rPr>
        <w:t>基金业绩截止日为</w:t>
      </w:r>
      <w:r w:rsidRPr="00F00B77">
        <w:rPr>
          <w:rFonts w:hAnsi="宋体"/>
          <w:sz w:val="24"/>
          <w:szCs w:val="21"/>
        </w:rPr>
        <w:t>201</w:t>
      </w:r>
      <w:r w:rsidR="001F1755">
        <w:rPr>
          <w:rFonts w:hAnsi="宋体" w:hint="eastAsia"/>
          <w:sz w:val="24"/>
          <w:szCs w:val="21"/>
        </w:rPr>
        <w:t>7</w:t>
      </w:r>
      <w:r w:rsidRPr="00F00B77">
        <w:rPr>
          <w:rFonts w:hAnsi="宋体"/>
          <w:sz w:val="24"/>
          <w:szCs w:val="21"/>
        </w:rPr>
        <w:t>年</w:t>
      </w:r>
      <w:r w:rsidR="001F1755">
        <w:rPr>
          <w:rFonts w:hAnsi="宋体" w:hint="eastAsia"/>
          <w:sz w:val="24"/>
          <w:szCs w:val="21"/>
        </w:rPr>
        <w:t>6</w:t>
      </w:r>
      <w:r w:rsidRPr="00F00B77">
        <w:rPr>
          <w:rFonts w:hAnsi="宋体"/>
          <w:sz w:val="24"/>
          <w:szCs w:val="21"/>
        </w:rPr>
        <w:t>月</w:t>
      </w:r>
      <w:r w:rsidRPr="00F00B77">
        <w:rPr>
          <w:rFonts w:hAnsi="宋体" w:hint="eastAsia"/>
          <w:sz w:val="24"/>
          <w:szCs w:val="21"/>
        </w:rPr>
        <w:t>3</w:t>
      </w:r>
      <w:r w:rsidR="001F1755">
        <w:rPr>
          <w:rFonts w:hAnsi="宋体" w:hint="eastAsia"/>
          <w:sz w:val="24"/>
          <w:szCs w:val="21"/>
        </w:rPr>
        <w:t>0</w:t>
      </w:r>
      <w:r w:rsidRPr="00F00B77">
        <w:rPr>
          <w:rFonts w:hAnsi="宋体"/>
          <w:sz w:val="24"/>
          <w:szCs w:val="21"/>
        </w:rPr>
        <w:t>日，所载财务数据未经审计师审计。</w:t>
      </w:r>
    </w:p>
    <w:p w14:paraId="10F3CDB2" w14:textId="77777777" w:rsidR="009745A0" w:rsidRPr="00F00B77" w:rsidRDefault="009745A0" w:rsidP="0088371F">
      <w:pPr>
        <w:widowControl/>
        <w:adjustRightInd w:val="0"/>
        <w:snapToGrid w:val="0"/>
        <w:spacing w:line="360" w:lineRule="auto"/>
        <w:ind w:firstLineChars="200" w:firstLine="480"/>
        <w:rPr>
          <w:rFonts w:hAnsi="宋体"/>
          <w:sz w:val="24"/>
          <w:szCs w:val="21"/>
        </w:rPr>
      </w:pPr>
      <w:r w:rsidRPr="00F00B77">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7426E520" w14:textId="77777777" w:rsidR="00AF36A5" w:rsidRPr="00F00B77" w:rsidRDefault="0039564A" w:rsidP="00473D6A">
      <w:pPr>
        <w:widowControl/>
        <w:adjustRightInd w:val="0"/>
        <w:snapToGrid w:val="0"/>
        <w:spacing w:line="360" w:lineRule="auto"/>
        <w:ind w:firstLineChars="200" w:firstLine="480"/>
        <w:rPr>
          <w:rFonts w:hAnsi="宋体"/>
          <w:color w:val="000000"/>
          <w:kern w:val="0"/>
          <w:sz w:val="24"/>
        </w:rPr>
      </w:pPr>
      <w:r w:rsidRPr="00F00B77">
        <w:rPr>
          <w:rFonts w:hAnsi="宋体" w:hint="eastAsia"/>
          <w:sz w:val="24"/>
          <w:szCs w:val="21"/>
        </w:rPr>
        <w:t>下述基金业绩指标不包括持有人认购或交易基金的各项费用，计入费用后实际收益水平要低于所列数字。</w:t>
      </w:r>
    </w:p>
    <w:p w14:paraId="1330F710" w14:textId="77777777" w:rsidR="00910B03" w:rsidRPr="00F00B77" w:rsidRDefault="0039564A" w:rsidP="0088371F">
      <w:pPr>
        <w:widowControl/>
        <w:adjustRightInd w:val="0"/>
        <w:snapToGrid w:val="0"/>
        <w:spacing w:line="360" w:lineRule="auto"/>
        <w:rPr>
          <w:rFonts w:hAnsi="宋体"/>
          <w:color w:val="000000"/>
          <w:kern w:val="0"/>
          <w:sz w:val="24"/>
        </w:rPr>
      </w:pPr>
      <w:r w:rsidRPr="00F00B77">
        <w:rPr>
          <w:rFonts w:hAnsi="宋体" w:hint="eastAsia"/>
          <w:color w:val="000000"/>
          <w:kern w:val="0"/>
          <w:sz w:val="24"/>
        </w:rPr>
        <w:t>1</w:t>
      </w:r>
      <w:r w:rsidRPr="00F00B77">
        <w:rPr>
          <w:rFonts w:hAnsi="宋体" w:hint="eastAsia"/>
          <w:color w:val="000000"/>
          <w:kern w:val="0"/>
          <w:sz w:val="24"/>
        </w:rPr>
        <w:t>、</w:t>
      </w:r>
      <w:r w:rsidR="00910B03" w:rsidRPr="00F00B77">
        <w:rPr>
          <w:rFonts w:hAnsi="宋体"/>
          <w:color w:val="000000"/>
          <w:kern w:val="0"/>
          <w:sz w:val="24"/>
        </w:rPr>
        <w:t>基金份额净值收益率及其与同期业绩比较基准收益率的比较</w:t>
      </w:r>
    </w:p>
    <w:p w14:paraId="5882CCCB" w14:textId="77777777" w:rsidR="00910B03" w:rsidRPr="00F00B77" w:rsidRDefault="00910B03" w:rsidP="0088371F">
      <w:pPr>
        <w:widowControl/>
        <w:adjustRightInd w:val="0"/>
        <w:snapToGrid w:val="0"/>
        <w:spacing w:line="360" w:lineRule="auto"/>
        <w:ind w:firstLineChars="200" w:firstLine="480"/>
        <w:rPr>
          <w:rFonts w:hAnsi="宋体"/>
          <w:color w:val="000000"/>
          <w:kern w:val="0"/>
          <w:sz w:val="24"/>
          <w:szCs w:val="24"/>
        </w:rPr>
      </w:pPr>
      <w:r w:rsidRPr="00F00B77">
        <w:rPr>
          <w:sz w:val="24"/>
          <w:szCs w:val="24"/>
        </w:rPr>
        <w:t>交银活期通货币</w:t>
      </w:r>
      <w:r w:rsidRPr="00F00B77">
        <w:rPr>
          <w:sz w:val="24"/>
          <w:szCs w:val="24"/>
        </w:rPr>
        <w:t>A</w:t>
      </w:r>
      <w:r w:rsidRPr="00F00B77">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1669E6" w:rsidRPr="00F00B77" w14:paraId="3E2D4362" w14:textId="77777777" w:rsidTr="009F17D8">
        <w:trPr>
          <w:jc w:val="center"/>
        </w:trPr>
        <w:tc>
          <w:tcPr>
            <w:tcW w:w="1532" w:type="dxa"/>
            <w:shd w:val="clear" w:color="auto" w:fill="auto"/>
            <w:vAlign w:val="center"/>
          </w:tcPr>
          <w:p w14:paraId="2CF7797D"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134" w:type="dxa"/>
            <w:shd w:val="clear" w:color="auto" w:fill="auto"/>
            <w:vAlign w:val="center"/>
          </w:tcPr>
          <w:p w14:paraId="2CFC7FE9"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134" w:type="dxa"/>
            <w:shd w:val="clear" w:color="auto" w:fill="auto"/>
            <w:vAlign w:val="center"/>
          </w:tcPr>
          <w:p w14:paraId="6DC3DCC4"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67" w:type="dxa"/>
            <w:shd w:val="clear" w:color="auto" w:fill="auto"/>
            <w:vAlign w:val="center"/>
          </w:tcPr>
          <w:p w14:paraId="0DF94437"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67" w:type="dxa"/>
            <w:shd w:val="clear" w:color="auto" w:fill="auto"/>
            <w:vAlign w:val="center"/>
          </w:tcPr>
          <w:p w14:paraId="2EBAB2F2"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67" w:type="dxa"/>
            <w:shd w:val="clear" w:color="auto" w:fill="auto"/>
            <w:vAlign w:val="center"/>
          </w:tcPr>
          <w:p w14:paraId="4B6FB3E6"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67" w:type="dxa"/>
            <w:shd w:val="clear" w:color="auto" w:fill="auto"/>
            <w:vAlign w:val="center"/>
          </w:tcPr>
          <w:p w14:paraId="17554B0F"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B94DAB" w:rsidRPr="00F00B77" w14:paraId="6589495E" w14:textId="77777777" w:rsidTr="009F17D8">
        <w:trPr>
          <w:jc w:val="center"/>
        </w:trPr>
        <w:tc>
          <w:tcPr>
            <w:tcW w:w="1532" w:type="dxa"/>
            <w:shd w:val="clear" w:color="auto" w:fill="auto"/>
            <w:vAlign w:val="center"/>
          </w:tcPr>
          <w:p w14:paraId="697EE4A2" w14:textId="77777777" w:rsidR="00B94DAB" w:rsidRPr="00F00B77" w:rsidRDefault="00B94DAB" w:rsidP="00B94DAB">
            <w:pPr>
              <w:spacing w:line="360" w:lineRule="auto"/>
              <w:jc w:val="left"/>
              <w:rPr>
                <w:rFonts w:ascii="宋体" w:hAnsi="宋体"/>
                <w:szCs w:val="21"/>
              </w:rPr>
            </w:pPr>
            <w:r w:rsidRPr="00F00B77">
              <w:rPr>
                <w:rFonts w:ascii="宋体" w:hAnsi="宋体"/>
                <w:color w:val="000000"/>
                <w:szCs w:val="21"/>
              </w:rPr>
              <w:t>过去三个月</w:t>
            </w:r>
          </w:p>
        </w:tc>
        <w:tc>
          <w:tcPr>
            <w:tcW w:w="1134" w:type="dxa"/>
            <w:shd w:val="clear" w:color="auto" w:fill="auto"/>
            <w:vAlign w:val="center"/>
          </w:tcPr>
          <w:p w14:paraId="4416197B" w14:textId="77777777" w:rsidR="00B94DAB" w:rsidRPr="00F00B77" w:rsidRDefault="00B94DAB" w:rsidP="00B94DAB">
            <w:pPr>
              <w:spacing w:line="360" w:lineRule="auto"/>
              <w:jc w:val="center"/>
              <w:rPr>
                <w:rFonts w:ascii="宋体" w:hAnsi="宋体"/>
                <w:szCs w:val="21"/>
              </w:rPr>
            </w:pPr>
            <w:r>
              <w:rPr>
                <w:color w:val="000000"/>
              </w:rPr>
              <w:t>0.9373%</w:t>
            </w:r>
          </w:p>
        </w:tc>
        <w:tc>
          <w:tcPr>
            <w:tcW w:w="1134" w:type="dxa"/>
            <w:shd w:val="clear" w:color="auto" w:fill="auto"/>
            <w:vAlign w:val="center"/>
          </w:tcPr>
          <w:p w14:paraId="1EDC5C7A" w14:textId="77777777" w:rsidR="00B94DAB" w:rsidRPr="00F00B77" w:rsidRDefault="00B94DAB" w:rsidP="00B94DAB">
            <w:pPr>
              <w:spacing w:line="360" w:lineRule="auto"/>
              <w:jc w:val="center"/>
              <w:rPr>
                <w:rFonts w:ascii="宋体" w:hAnsi="宋体"/>
                <w:szCs w:val="21"/>
              </w:rPr>
            </w:pPr>
            <w:r>
              <w:rPr>
                <w:color w:val="000000"/>
              </w:rPr>
              <w:t>0.0004%</w:t>
            </w:r>
          </w:p>
        </w:tc>
        <w:tc>
          <w:tcPr>
            <w:tcW w:w="1267" w:type="dxa"/>
            <w:shd w:val="clear" w:color="auto" w:fill="auto"/>
            <w:vAlign w:val="center"/>
          </w:tcPr>
          <w:p w14:paraId="06D4712A" w14:textId="77777777" w:rsidR="00B94DAB" w:rsidRPr="00F00B77" w:rsidRDefault="00B94DAB" w:rsidP="00B94DAB">
            <w:pPr>
              <w:spacing w:line="360" w:lineRule="auto"/>
              <w:jc w:val="center"/>
              <w:rPr>
                <w:rFonts w:ascii="宋体" w:hAnsi="宋体"/>
                <w:szCs w:val="21"/>
              </w:rPr>
            </w:pPr>
            <w:r>
              <w:rPr>
                <w:color w:val="000000"/>
              </w:rPr>
              <w:t>0.0873%</w:t>
            </w:r>
          </w:p>
        </w:tc>
        <w:tc>
          <w:tcPr>
            <w:tcW w:w="1267" w:type="dxa"/>
            <w:shd w:val="clear" w:color="auto" w:fill="auto"/>
            <w:vAlign w:val="center"/>
          </w:tcPr>
          <w:p w14:paraId="1F061E9E" w14:textId="77777777" w:rsidR="00B94DAB" w:rsidRPr="00F00B77" w:rsidRDefault="00B94DAB" w:rsidP="00B94DAB">
            <w:pPr>
              <w:spacing w:line="360" w:lineRule="auto"/>
              <w:jc w:val="center"/>
              <w:rPr>
                <w:rFonts w:ascii="宋体" w:hAnsi="宋体"/>
                <w:szCs w:val="21"/>
              </w:rPr>
            </w:pPr>
            <w:r>
              <w:rPr>
                <w:color w:val="000000"/>
              </w:rPr>
              <w:t>0.0000%</w:t>
            </w:r>
          </w:p>
        </w:tc>
        <w:tc>
          <w:tcPr>
            <w:tcW w:w="1267" w:type="dxa"/>
            <w:shd w:val="clear" w:color="auto" w:fill="auto"/>
            <w:vAlign w:val="center"/>
          </w:tcPr>
          <w:p w14:paraId="48D15C61" w14:textId="77777777" w:rsidR="00B94DAB" w:rsidRPr="00F00B77" w:rsidRDefault="00B94DAB" w:rsidP="00B94DAB">
            <w:pPr>
              <w:spacing w:line="360" w:lineRule="auto"/>
              <w:jc w:val="center"/>
              <w:rPr>
                <w:rFonts w:ascii="宋体" w:hAnsi="宋体"/>
                <w:szCs w:val="21"/>
              </w:rPr>
            </w:pPr>
            <w:r>
              <w:rPr>
                <w:color w:val="000000"/>
              </w:rPr>
              <w:t>0.8500%</w:t>
            </w:r>
          </w:p>
        </w:tc>
        <w:tc>
          <w:tcPr>
            <w:tcW w:w="1267" w:type="dxa"/>
            <w:shd w:val="clear" w:color="auto" w:fill="auto"/>
            <w:vAlign w:val="center"/>
          </w:tcPr>
          <w:p w14:paraId="22D1CBEF" w14:textId="77777777" w:rsidR="00B94DAB" w:rsidRPr="00F00B77" w:rsidRDefault="00B94DAB" w:rsidP="00B94DAB">
            <w:pPr>
              <w:spacing w:line="360" w:lineRule="auto"/>
              <w:jc w:val="center"/>
              <w:rPr>
                <w:rFonts w:ascii="宋体" w:hAnsi="宋体"/>
                <w:szCs w:val="21"/>
              </w:rPr>
            </w:pPr>
            <w:r>
              <w:rPr>
                <w:color w:val="000000"/>
              </w:rPr>
              <w:t>0.0004%</w:t>
            </w:r>
          </w:p>
        </w:tc>
      </w:tr>
      <w:tr w:rsidR="00F97519" w:rsidRPr="00F00B77" w14:paraId="42916CAA" w14:textId="77777777" w:rsidTr="009F17D8">
        <w:trPr>
          <w:jc w:val="center"/>
        </w:trPr>
        <w:tc>
          <w:tcPr>
            <w:tcW w:w="1532" w:type="dxa"/>
            <w:shd w:val="clear" w:color="auto" w:fill="auto"/>
            <w:vAlign w:val="center"/>
          </w:tcPr>
          <w:p w14:paraId="5ED0882B" w14:textId="77777777" w:rsidR="00F97519" w:rsidRPr="00F00B77" w:rsidRDefault="00F97519" w:rsidP="00F97519">
            <w:pPr>
              <w:spacing w:line="360" w:lineRule="auto"/>
              <w:jc w:val="left"/>
              <w:rPr>
                <w:rFonts w:ascii="宋体" w:hAnsi="宋体"/>
                <w:color w:val="000000"/>
                <w:szCs w:val="21"/>
              </w:rPr>
            </w:pPr>
            <w:r w:rsidRPr="009F17D8">
              <w:rPr>
                <w:rFonts w:ascii="宋体" w:hAnsi="宋体" w:hint="eastAsia"/>
                <w:color w:val="000000"/>
                <w:szCs w:val="21"/>
              </w:rPr>
              <w:t>2017年度上半年</w:t>
            </w:r>
          </w:p>
        </w:tc>
        <w:tc>
          <w:tcPr>
            <w:tcW w:w="1134" w:type="dxa"/>
            <w:shd w:val="clear" w:color="auto" w:fill="auto"/>
            <w:vAlign w:val="center"/>
          </w:tcPr>
          <w:p w14:paraId="0104BE7B" w14:textId="77777777" w:rsidR="00F97519" w:rsidRPr="009F17D8" w:rsidRDefault="00F97519" w:rsidP="00F97519">
            <w:pPr>
              <w:spacing w:line="360" w:lineRule="auto"/>
              <w:jc w:val="center"/>
              <w:rPr>
                <w:color w:val="000000"/>
              </w:rPr>
            </w:pPr>
            <w:r w:rsidRPr="009F17D8">
              <w:rPr>
                <w:color w:val="000000"/>
              </w:rPr>
              <w:t>1.7436%</w:t>
            </w:r>
          </w:p>
        </w:tc>
        <w:tc>
          <w:tcPr>
            <w:tcW w:w="1134" w:type="dxa"/>
            <w:shd w:val="clear" w:color="auto" w:fill="auto"/>
            <w:vAlign w:val="center"/>
          </w:tcPr>
          <w:p w14:paraId="2E0C1488" w14:textId="77777777" w:rsidR="00F97519" w:rsidRPr="009F17D8" w:rsidRDefault="00F97519" w:rsidP="00F97519">
            <w:pPr>
              <w:spacing w:line="360" w:lineRule="auto"/>
              <w:jc w:val="center"/>
              <w:rPr>
                <w:color w:val="000000"/>
              </w:rPr>
            </w:pPr>
            <w:r w:rsidRPr="009F17D8">
              <w:rPr>
                <w:color w:val="000000"/>
              </w:rPr>
              <w:t>0.0009%</w:t>
            </w:r>
          </w:p>
        </w:tc>
        <w:tc>
          <w:tcPr>
            <w:tcW w:w="1267" w:type="dxa"/>
            <w:shd w:val="clear" w:color="auto" w:fill="auto"/>
            <w:vAlign w:val="center"/>
          </w:tcPr>
          <w:p w14:paraId="207C6074" w14:textId="77777777" w:rsidR="00F97519" w:rsidRPr="009F17D8" w:rsidRDefault="00F97519" w:rsidP="00F97519">
            <w:pPr>
              <w:spacing w:line="360" w:lineRule="auto"/>
              <w:jc w:val="center"/>
              <w:rPr>
                <w:color w:val="000000"/>
              </w:rPr>
            </w:pPr>
            <w:r w:rsidRPr="009F17D8">
              <w:rPr>
                <w:color w:val="000000"/>
              </w:rPr>
              <w:t>0.1736%</w:t>
            </w:r>
          </w:p>
        </w:tc>
        <w:tc>
          <w:tcPr>
            <w:tcW w:w="1267" w:type="dxa"/>
            <w:shd w:val="clear" w:color="auto" w:fill="auto"/>
            <w:vAlign w:val="center"/>
          </w:tcPr>
          <w:p w14:paraId="5E8D0636" w14:textId="77777777" w:rsidR="00F97519" w:rsidRPr="009F17D8" w:rsidRDefault="00F97519" w:rsidP="00F97519">
            <w:pPr>
              <w:spacing w:line="360" w:lineRule="auto"/>
              <w:jc w:val="center"/>
              <w:rPr>
                <w:color w:val="000000"/>
              </w:rPr>
            </w:pPr>
            <w:r w:rsidRPr="009F17D8">
              <w:rPr>
                <w:color w:val="000000"/>
              </w:rPr>
              <w:t>0.0000%</w:t>
            </w:r>
          </w:p>
        </w:tc>
        <w:tc>
          <w:tcPr>
            <w:tcW w:w="1267" w:type="dxa"/>
            <w:shd w:val="clear" w:color="auto" w:fill="auto"/>
            <w:vAlign w:val="center"/>
          </w:tcPr>
          <w:p w14:paraId="6334336C" w14:textId="77777777" w:rsidR="00F97519" w:rsidRPr="009F17D8" w:rsidRDefault="00F97519" w:rsidP="00F97519">
            <w:pPr>
              <w:spacing w:line="360" w:lineRule="auto"/>
              <w:jc w:val="center"/>
              <w:rPr>
                <w:color w:val="000000"/>
              </w:rPr>
            </w:pPr>
            <w:r w:rsidRPr="009F17D8">
              <w:rPr>
                <w:color w:val="000000"/>
              </w:rPr>
              <w:t>1.5700%</w:t>
            </w:r>
          </w:p>
        </w:tc>
        <w:tc>
          <w:tcPr>
            <w:tcW w:w="1267" w:type="dxa"/>
            <w:shd w:val="clear" w:color="auto" w:fill="auto"/>
            <w:vAlign w:val="center"/>
          </w:tcPr>
          <w:p w14:paraId="64A5AAAC" w14:textId="77777777" w:rsidR="00F97519" w:rsidRPr="009F17D8" w:rsidRDefault="00F97519" w:rsidP="00F97519">
            <w:pPr>
              <w:spacing w:line="360" w:lineRule="auto"/>
              <w:jc w:val="center"/>
              <w:rPr>
                <w:color w:val="000000"/>
              </w:rPr>
            </w:pPr>
            <w:r w:rsidRPr="009F17D8">
              <w:rPr>
                <w:color w:val="000000"/>
              </w:rPr>
              <w:t>0.0009%</w:t>
            </w:r>
          </w:p>
        </w:tc>
      </w:tr>
      <w:tr w:rsidR="00B94DAB" w:rsidRPr="00F00B77" w14:paraId="57AAD2ED" w14:textId="77777777" w:rsidTr="009F17D8">
        <w:trPr>
          <w:jc w:val="center"/>
        </w:trPr>
        <w:tc>
          <w:tcPr>
            <w:tcW w:w="1532" w:type="dxa"/>
            <w:shd w:val="clear" w:color="auto" w:fill="auto"/>
            <w:vAlign w:val="center"/>
          </w:tcPr>
          <w:p w14:paraId="600289FA" w14:textId="77777777" w:rsidR="00B94DAB" w:rsidRPr="009F17D8" w:rsidRDefault="00B94DAB" w:rsidP="00B94DAB">
            <w:pPr>
              <w:spacing w:line="360" w:lineRule="auto"/>
              <w:jc w:val="left"/>
              <w:rPr>
                <w:rFonts w:ascii="宋体" w:hAnsi="宋体"/>
                <w:color w:val="000000"/>
                <w:szCs w:val="21"/>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134" w:type="dxa"/>
            <w:shd w:val="clear" w:color="auto" w:fill="auto"/>
            <w:vAlign w:val="center"/>
          </w:tcPr>
          <w:p w14:paraId="5C741BF4" w14:textId="77777777" w:rsidR="00B94DAB" w:rsidRPr="00F00B77" w:rsidRDefault="00B94DAB" w:rsidP="00B94DAB">
            <w:pPr>
              <w:spacing w:line="360" w:lineRule="auto"/>
              <w:jc w:val="center"/>
              <w:rPr>
                <w:szCs w:val="21"/>
              </w:rPr>
            </w:pPr>
            <w:r w:rsidRPr="00F00B77">
              <w:rPr>
                <w:szCs w:val="21"/>
              </w:rPr>
              <w:t>1.0493%</w:t>
            </w:r>
          </w:p>
        </w:tc>
        <w:tc>
          <w:tcPr>
            <w:tcW w:w="1134" w:type="dxa"/>
            <w:shd w:val="clear" w:color="auto" w:fill="auto"/>
            <w:vAlign w:val="center"/>
          </w:tcPr>
          <w:p w14:paraId="6D613B33" w14:textId="77777777" w:rsidR="00B94DAB" w:rsidRPr="00F00B77" w:rsidRDefault="00B94DAB" w:rsidP="00B94DAB">
            <w:pPr>
              <w:spacing w:line="360" w:lineRule="auto"/>
              <w:jc w:val="center"/>
              <w:rPr>
                <w:szCs w:val="21"/>
              </w:rPr>
            </w:pPr>
            <w:r w:rsidRPr="00F00B77">
              <w:rPr>
                <w:szCs w:val="21"/>
              </w:rPr>
              <w:t>0.0014%</w:t>
            </w:r>
          </w:p>
        </w:tc>
        <w:tc>
          <w:tcPr>
            <w:tcW w:w="1267" w:type="dxa"/>
            <w:shd w:val="clear" w:color="auto" w:fill="auto"/>
            <w:vAlign w:val="center"/>
          </w:tcPr>
          <w:p w14:paraId="46291262" w14:textId="77777777" w:rsidR="00B94DAB" w:rsidRPr="00F00B77" w:rsidRDefault="00B94DAB" w:rsidP="00B94DAB">
            <w:pPr>
              <w:spacing w:line="360" w:lineRule="auto"/>
              <w:jc w:val="center"/>
              <w:rPr>
                <w:szCs w:val="21"/>
              </w:rPr>
            </w:pPr>
            <w:r w:rsidRPr="00F00B77">
              <w:rPr>
                <w:szCs w:val="21"/>
              </w:rPr>
              <w:t>0.1515%</w:t>
            </w:r>
          </w:p>
        </w:tc>
        <w:tc>
          <w:tcPr>
            <w:tcW w:w="1267" w:type="dxa"/>
            <w:shd w:val="clear" w:color="auto" w:fill="auto"/>
            <w:vAlign w:val="center"/>
          </w:tcPr>
          <w:p w14:paraId="30B30102" w14:textId="77777777" w:rsidR="00B94DAB" w:rsidRPr="00F00B77" w:rsidRDefault="00B94DAB" w:rsidP="00B94DAB">
            <w:pPr>
              <w:spacing w:line="360" w:lineRule="auto"/>
              <w:jc w:val="center"/>
              <w:rPr>
                <w:szCs w:val="21"/>
              </w:rPr>
            </w:pPr>
            <w:r w:rsidRPr="00F00B77">
              <w:rPr>
                <w:szCs w:val="21"/>
              </w:rPr>
              <w:t>0.0000%</w:t>
            </w:r>
          </w:p>
        </w:tc>
        <w:tc>
          <w:tcPr>
            <w:tcW w:w="1267" w:type="dxa"/>
            <w:shd w:val="clear" w:color="auto" w:fill="auto"/>
            <w:vAlign w:val="center"/>
          </w:tcPr>
          <w:p w14:paraId="5E3A8789" w14:textId="77777777" w:rsidR="00B94DAB" w:rsidRPr="00F00B77" w:rsidRDefault="00B94DAB" w:rsidP="00B94DAB">
            <w:pPr>
              <w:spacing w:line="360" w:lineRule="auto"/>
              <w:jc w:val="center"/>
              <w:rPr>
                <w:szCs w:val="21"/>
              </w:rPr>
            </w:pPr>
            <w:r w:rsidRPr="00F00B77">
              <w:rPr>
                <w:szCs w:val="21"/>
              </w:rPr>
              <w:t>0.8978%</w:t>
            </w:r>
          </w:p>
        </w:tc>
        <w:tc>
          <w:tcPr>
            <w:tcW w:w="1267" w:type="dxa"/>
            <w:shd w:val="clear" w:color="auto" w:fill="auto"/>
            <w:vAlign w:val="center"/>
          </w:tcPr>
          <w:p w14:paraId="066E7C7F" w14:textId="77777777" w:rsidR="00B94DAB" w:rsidRPr="00F00B77" w:rsidRDefault="00B94DAB" w:rsidP="00B94DAB">
            <w:pPr>
              <w:spacing w:line="360" w:lineRule="auto"/>
              <w:jc w:val="center"/>
              <w:rPr>
                <w:szCs w:val="21"/>
              </w:rPr>
            </w:pPr>
            <w:r w:rsidRPr="00F00B77">
              <w:rPr>
                <w:szCs w:val="21"/>
              </w:rPr>
              <w:t>0.0014%</w:t>
            </w:r>
          </w:p>
        </w:tc>
      </w:tr>
    </w:tbl>
    <w:p w14:paraId="4F6AB02E" w14:textId="77777777" w:rsidR="00910B03" w:rsidRPr="00F00B77" w:rsidRDefault="00910B03" w:rsidP="0088371F">
      <w:pPr>
        <w:autoSpaceDE w:val="0"/>
        <w:autoSpaceDN w:val="0"/>
        <w:adjustRightInd w:val="0"/>
        <w:spacing w:before="29" w:line="360" w:lineRule="auto"/>
        <w:jc w:val="left"/>
        <w:rPr>
          <w:color w:val="000000"/>
          <w:sz w:val="24"/>
          <w:szCs w:val="24"/>
        </w:rPr>
      </w:pPr>
      <w:r w:rsidRPr="00F00B77">
        <w:rPr>
          <w:color w:val="000000"/>
          <w:sz w:val="24"/>
          <w:szCs w:val="24"/>
        </w:rPr>
        <w:t>注：</w:t>
      </w:r>
      <w:r w:rsidR="00AF36A5" w:rsidRPr="00F00B77">
        <w:rPr>
          <w:rFonts w:hint="eastAsia"/>
          <w:kern w:val="0"/>
          <w:sz w:val="24"/>
          <w:szCs w:val="24"/>
        </w:rPr>
        <w:t>本基金的业绩比较基准为活期存款利率（税后）。</w:t>
      </w:r>
    </w:p>
    <w:p w14:paraId="4AF5A5A2" w14:textId="77777777" w:rsidR="00910B03" w:rsidRPr="00F00B77" w:rsidRDefault="00910B03" w:rsidP="0088371F">
      <w:pPr>
        <w:autoSpaceDE w:val="0"/>
        <w:autoSpaceDN w:val="0"/>
        <w:adjustRightInd w:val="0"/>
        <w:spacing w:before="29" w:line="360" w:lineRule="auto"/>
        <w:ind w:firstLineChars="200" w:firstLine="480"/>
        <w:jc w:val="left"/>
        <w:rPr>
          <w:color w:val="000000"/>
          <w:sz w:val="24"/>
          <w:szCs w:val="24"/>
        </w:rPr>
      </w:pPr>
      <w:r w:rsidRPr="00F00B77">
        <w:rPr>
          <w:color w:val="000000"/>
          <w:sz w:val="24"/>
          <w:szCs w:val="24"/>
        </w:rPr>
        <w:t>交银活期通货币</w:t>
      </w:r>
      <w:r w:rsidRPr="00F00B77">
        <w:rPr>
          <w:color w:val="000000"/>
          <w:sz w:val="24"/>
          <w:szCs w:val="24"/>
        </w:rPr>
        <w:t>E</w:t>
      </w:r>
      <w:r w:rsidRPr="00F00B77">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1669E6" w:rsidRPr="00F00B77" w14:paraId="4CB070F9" w14:textId="77777777" w:rsidTr="009F17D8">
        <w:trPr>
          <w:jc w:val="center"/>
        </w:trPr>
        <w:tc>
          <w:tcPr>
            <w:tcW w:w="1532" w:type="dxa"/>
            <w:shd w:val="clear" w:color="auto" w:fill="auto"/>
            <w:vAlign w:val="center"/>
          </w:tcPr>
          <w:p w14:paraId="4CE01849"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134" w:type="dxa"/>
            <w:shd w:val="clear" w:color="auto" w:fill="auto"/>
            <w:vAlign w:val="center"/>
          </w:tcPr>
          <w:p w14:paraId="4C107997"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净值收益率①</w:t>
            </w:r>
          </w:p>
        </w:tc>
        <w:tc>
          <w:tcPr>
            <w:tcW w:w="1134" w:type="dxa"/>
            <w:shd w:val="clear" w:color="auto" w:fill="auto"/>
            <w:vAlign w:val="center"/>
          </w:tcPr>
          <w:p w14:paraId="2F15843A"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净值收益率标准差②</w:t>
            </w:r>
          </w:p>
        </w:tc>
        <w:tc>
          <w:tcPr>
            <w:tcW w:w="1267" w:type="dxa"/>
            <w:shd w:val="clear" w:color="auto" w:fill="auto"/>
            <w:vAlign w:val="center"/>
          </w:tcPr>
          <w:p w14:paraId="677E6DE6"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业绩比较基准收益率③</w:t>
            </w:r>
          </w:p>
        </w:tc>
        <w:tc>
          <w:tcPr>
            <w:tcW w:w="1267" w:type="dxa"/>
            <w:shd w:val="clear" w:color="auto" w:fill="auto"/>
            <w:vAlign w:val="center"/>
          </w:tcPr>
          <w:p w14:paraId="784AFFAC"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业绩比较基准收益率标准差④</w:t>
            </w:r>
          </w:p>
        </w:tc>
        <w:tc>
          <w:tcPr>
            <w:tcW w:w="1267" w:type="dxa"/>
            <w:shd w:val="clear" w:color="auto" w:fill="auto"/>
            <w:vAlign w:val="center"/>
          </w:tcPr>
          <w:p w14:paraId="703F51A2"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①－③</w:t>
            </w:r>
          </w:p>
        </w:tc>
        <w:tc>
          <w:tcPr>
            <w:tcW w:w="1267" w:type="dxa"/>
            <w:shd w:val="clear" w:color="auto" w:fill="auto"/>
            <w:vAlign w:val="center"/>
          </w:tcPr>
          <w:p w14:paraId="482BA046"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②－④</w:t>
            </w:r>
          </w:p>
        </w:tc>
      </w:tr>
      <w:tr w:rsidR="00B94DAB" w:rsidRPr="00F00B77" w14:paraId="612997CD" w14:textId="77777777" w:rsidTr="009F17D8">
        <w:trPr>
          <w:jc w:val="center"/>
        </w:trPr>
        <w:tc>
          <w:tcPr>
            <w:tcW w:w="1532" w:type="dxa"/>
            <w:shd w:val="clear" w:color="auto" w:fill="auto"/>
            <w:vAlign w:val="center"/>
          </w:tcPr>
          <w:p w14:paraId="27EAEE9A" w14:textId="77777777" w:rsidR="00B94DAB" w:rsidRPr="009F17D8" w:rsidRDefault="00B94DAB" w:rsidP="00B94DAB">
            <w:pPr>
              <w:spacing w:line="360" w:lineRule="auto"/>
              <w:jc w:val="left"/>
              <w:rPr>
                <w:rFonts w:ascii="宋体" w:hAnsi="宋体"/>
                <w:color w:val="000000"/>
                <w:szCs w:val="21"/>
              </w:rPr>
            </w:pPr>
            <w:r w:rsidRPr="009F17D8">
              <w:rPr>
                <w:rFonts w:ascii="宋体" w:hAnsi="宋体"/>
                <w:color w:val="000000"/>
                <w:szCs w:val="21"/>
              </w:rPr>
              <w:t>过去三个月</w:t>
            </w:r>
          </w:p>
        </w:tc>
        <w:tc>
          <w:tcPr>
            <w:tcW w:w="1134" w:type="dxa"/>
            <w:shd w:val="clear" w:color="auto" w:fill="auto"/>
            <w:vAlign w:val="center"/>
          </w:tcPr>
          <w:p w14:paraId="7AD0643B" w14:textId="77777777" w:rsidR="00B94DAB" w:rsidRPr="00F00B77" w:rsidRDefault="00B94DAB" w:rsidP="00B94DAB">
            <w:pPr>
              <w:spacing w:line="360" w:lineRule="auto"/>
              <w:jc w:val="center"/>
              <w:rPr>
                <w:sz w:val="24"/>
                <w:szCs w:val="24"/>
              </w:rPr>
            </w:pPr>
            <w:r>
              <w:rPr>
                <w:color w:val="000000"/>
              </w:rPr>
              <w:t>0.9975%</w:t>
            </w:r>
          </w:p>
        </w:tc>
        <w:tc>
          <w:tcPr>
            <w:tcW w:w="1134" w:type="dxa"/>
            <w:shd w:val="clear" w:color="auto" w:fill="auto"/>
            <w:vAlign w:val="center"/>
          </w:tcPr>
          <w:p w14:paraId="27A226EB" w14:textId="77777777" w:rsidR="00B94DAB" w:rsidRPr="00F00B77" w:rsidRDefault="00B94DAB" w:rsidP="00B94DAB">
            <w:pPr>
              <w:spacing w:line="360" w:lineRule="auto"/>
              <w:jc w:val="center"/>
              <w:rPr>
                <w:sz w:val="24"/>
                <w:szCs w:val="24"/>
              </w:rPr>
            </w:pPr>
            <w:r>
              <w:rPr>
                <w:color w:val="000000"/>
              </w:rPr>
              <w:t>0.0004%</w:t>
            </w:r>
          </w:p>
        </w:tc>
        <w:tc>
          <w:tcPr>
            <w:tcW w:w="1267" w:type="dxa"/>
            <w:shd w:val="clear" w:color="auto" w:fill="auto"/>
            <w:vAlign w:val="center"/>
          </w:tcPr>
          <w:p w14:paraId="12BBC60A" w14:textId="77777777" w:rsidR="00B94DAB" w:rsidRPr="00F00B77" w:rsidRDefault="00B94DAB" w:rsidP="00B94DAB">
            <w:pPr>
              <w:spacing w:line="360" w:lineRule="auto"/>
              <w:jc w:val="center"/>
              <w:rPr>
                <w:sz w:val="24"/>
                <w:szCs w:val="24"/>
              </w:rPr>
            </w:pPr>
            <w:r>
              <w:rPr>
                <w:color w:val="000000"/>
              </w:rPr>
              <w:t>0.0873%</w:t>
            </w:r>
          </w:p>
        </w:tc>
        <w:tc>
          <w:tcPr>
            <w:tcW w:w="1267" w:type="dxa"/>
            <w:shd w:val="clear" w:color="auto" w:fill="auto"/>
            <w:vAlign w:val="center"/>
          </w:tcPr>
          <w:p w14:paraId="48A917BE" w14:textId="77777777" w:rsidR="00B94DAB" w:rsidRPr="00F00B77" w:rsidRDefault="00B94DAB" w:rsidP="00B94DAB">
            <w:pPr>
              <w:spacing w:line="360" w:lineRule="auto"/>
              <w:jc w:val="center"/>
              <w:rPr>
                <w:sz w:val="24"/>
                <w:szCs w:val="24"/>
              </w:rPr>
            </w:pPr>
            <w:r>
              <w:rPr>
                <w:color w:val="000000"/>
              </w:rPr>
              <w:t>0.0000%</w:t>
            </w:r>
          </w:p>
        </w:tc>
        <w:tc>
          <w:tcPr>
            <w:tcW w:w="1267" w:type="dxa"/>
            <w:shd w:val="clear" w:color="auto" w:fill="auto"/>
            <w:vAlign w:val="center"/>
          </w:tcPr>
          <w:p w14:paraId="1A00B103" w14:textId="77777777" w:rsidR="00B94DAB" w:rsidRPr="00F00B77" w:rsidRDefault="00B94DAB" w:rsidP="00B94DAB">
            <w:pPr>
              <w:spacing w:line="360" w:lineRule="auto"/>
              <w:jc w:val="center"/>
              <w:rPr>
                <w:sz w:val="24"/>
                <w:szCs w:val="24"/>
              </w:rPr>
            </w:pPr>
            <w:r>
              <w:rPr>
                <w:color w:val="000000"/>
              </w:rPr>
              <w:t>0.9102%</w:t>
            </w:r>
          </w:p>
        </w:tc>
        <w:tc>
          <w:tcPr>
            <w:tcW w:w="1267" w:type="dxa"/>
            <w:shd w:val="clear" w:color="auto" w:fill="auto"/>
            <w:vAlign w:val="center"/>
          </w:tcPr>
          <w:p w14:paraId="27938387" w14:textId="77777777" w:rsidR="00B94DAB" w:rsidRPr="00F00B77" w:rsidRDefault="00B94DAB" w:rsidP="00B94DAB">
            <w:pPr>
              <w:spacing w:line="360" w:lineRule="auto"/>
              <w:jc w:val="center"/>
              <w:rPr>
                <w:sz w:val="24"/>
                <w:szCs w:val="24"/>
              </w:rPr>
            </w:pPr>
            <w:r>
              <w:rPr>
                <w:color w:val="000000"/>
              </w:rPr>
              <w:t>0.0004%</w:t>
            </w:r>
          </w:p>
        </w:tc>
      </w:tr>
      <w:tr w:rsidR="00F97519" w:rsidRPr="00F00B77" w14:paraId="5097FBBD" w14:textId="77777777" w:rsidTr="009F17D8">
        <w:trPr>
          <w:jc w:val="center"/>
        </w:trPr>
        <w:tc>
          <w:tcPr>
            <w:tcW w:w="1532" w:type="dxa"/>
            <w:shd w:val="clear" w:color="auto" w:fill="auto"/>
            <w:vAlign w:val="center"/>
          </w:tcPr>
          <w:p w14:paraId="13B17170" w14:textId="77777777" w:rsidR="00F97519" w:rsidRPr="009F17D8" w:rsidRDefault="00F97519" w:rsidP="00F97519">
            <w:pPr>
              <w:spacing w:line="360" w:lineRule="auto"/>
              <w:jc w:val="left"/>
              <w:rPr>
                <w:rFonts w:ascii="宋体" w:hAnsi="宋体"/>
                <w:color w:val="000000"/>
                <w:szCs w:val="21"/>
              </w:rPr>
            </w:pPr>
            <w:r w:rsidRPr="009F17D8">
              <w:rPr>
                <w:rFonts w:ascii="宋体" w:hAnsi="宋体" w:hint="eastAsia"/>
                <w:color w:val="000000"/>
                <w:szCs w:val="21"/>
              </w:rPr>
              <w:t>2017年度上半年</w:t>
            </w:r>
          </w:p>
        </w:tc>
        <w:tc>
          <w:tcPr>
            <w:tcW w:w="1134" w:type="dxa"/>
            <w:shd w:val="clear" w:color="auto" w:fill="auto"/>
            <w:vAlign w:val="center"/>
          </w:tcPr>
          <w:p w14:paraId="195980A0" w14:textId="77777777" w:rsidR="00F97519" w:rsidRPr="001F1755" w:rsidRDefault="00F97519" w:rsidP="00F97519">
            <w:pPr>
              <w:spacing w:line="360" w:lineRule="auto"/>
              <w:jc w:val="center"/>
              <w:rPr>
                <w:color w:val="000000"/>
              </w:rPr>
            </w:pPr>
            <w:r w:rsidRPr="009F17D8">
              <w:rPr>
                <w:color w:val="000000"/>
              </w:rPr>
              <w:t>1.8639%</w:t>
            </w:r>
          </w:p>
        </w:tc>
        <w:tc>
          <w:tcPr>
            <w:tcW w:w="1134" w:type="dxa"/>
            <w:shd w:val="clear" w:color="auto" w:fill="auto"/>
            <w:vAlign w:val="center"/>
          </w:tcPr>
          <w:p w14:paraId="19A830AD" w14:textId="77777777" w:rsidR="00F97519" w:rsidRPr="001F1755" w:rsidRDefault="00F97519" w:rsidP="00F97519">
            <w:pPr>
              <w:spacing w:line="360" w:lineRule="auto"/>
              <w:jc w:val="center"/>
              <w:rPr>
                <w:color w:val="000000"/>
              </w:rPr>
            </w:pPr>
            <w:r w:rsidRPr="009F17D8">
              <w:rPr>
                <w:color w:val="000000"/>
              </w:rPr>
              <w:t>0.0009%</w:t>
            </w:r>
          </w:p>
        </w:tc>
        <w:tc>
          <w:tcPr>
            <w:tcW w:w="1267" w:type="dxa"/>
            <w:shd w:val="clear" w:color="auto" w:fill="auto"/>
            <w:vAlign w:val="center"/>
          </w:tcPr>
          <w:p w14:paraId="64601950" w14:textId="77777777" w:rsidR="00F97519" w:rsidRPr="001F1755" w:rsidRDefault="00F97519" w:rsidP="00F97519">
            <w:pPr>
              <w:spacing w:line="360" w:lineRule="auto"/>
              <w:jc w:val="center"/>
              <w:rPr>
                <w:color w:val="000000"/>
              </w:rPr>
            </w:pPr>
            <w:r w:rsidRPr="009F17D8">
              <w:rPr>
                <w:color w:val="000000"/>
              </w:rPr>
              <w:t>0.1736%</w:t>
            </w:r>
          </w:p>
        </w:tc>
        <w:tc>
          <w:tcPr>
            <w:tcW w:w="1267" w:type="dxa"/>
            <w:shd w:val="clear" w:color="auto" w:fill="auto"/>
            <w:vAlign w:val="center"/>
          </w:tcPr>
          <w:p w14:paraId="55B8024E" w14:textId="77777777" w:rsidR="00F97519" w:rsidRPr="001F1755" w:rsidRDefault="00F97519" w:rsidP="00F97519">
            <w:pPr>
              <w:spacing w:line="360" w:lineRule="auto"/>
              <w:jc w:val="center"/>
              <w:rPr>
                <w:color w:val="000000"/>
              </w:rPr>
            </w:pPr>
            <w:r w:rsidRPr="009F17D8">
              <w:rPr>
                <w:color w:val="000000"/>
              </w:rPr>
              <w:t>0.0000%</w:t>
            </w:r>
          </w:p>
        </w:tc>
        <w:tc>
          <w:tcPr>
            <w:tcW w:w="1267" w:type="dxa"/>
            <w:shd w:val="clear" w:color="auto" w:fill="auto"/>
            <w:vAlign w:val="center"/>
          </w:tcPr>
          <w:p w14:paraId="0F3D47ED" w14:textId="77777777" w:rsidR="00F97519" w:rsidRPr="001F1755" w:rsidRDefault="00F97519" w:rsidP="00F97519">
            <w:pPr>
              <w:spacing w:line="360" w:lineRule="auto"/>
              <w:jc w:val="center"/>
              <w:rPr>
                <w:color w:val="000000"/>
              </w:rPr>
            </w:pPr>
            <w:r w:rsidRPr="009F17D8">
              <w:rPr>
                <w:color w:val="000000"/>
              </w:rPr>
              <w:t>1.6903%</w:t>
            </w:r>
          </w:p>
        </w:tc>
        <w:tc>
          <w:tcPr>
            <w:tcW w:w="1267" w:type="dxa"/>
            <w:shd w:val="clear" w:color="auto" w:fill="auto"/>
            <w:vAlign w:val="center"/>
          </w:tcPr>
          <w:p w14:paraId="3CFCFD8E" w14:textId="77777777" w:rsidR="00F97519" w:rsidRPr="001F1755" w:rsidRDefault="00F97519" w:rsidP="00F97519">
            <w:pPr>
              <w:spacing w:line="360" w:lineRule="auto"/>
              <w:jc w:val="center"/>
              <w:rPr>
                <w:color w:val="000000"/>
              </w:rPr>
            </w:pPr>
            <w:r w:rsidRPr="009F17D8">
              <w:rPr>
                <w:color w:val="000000"/>
              </w:rPr>
              <w:t>0.0009%</w:t>
            </w:r>
          </w:p>
        </w:tc>
      </w:tr>
      <w:tr w:rsidR="0021563C" w:rsidRPr="00F00B77" w14:paraId="5AA09D81" w14:textId="77777777" w:rsidTr="009F17D8">
        <w:trPr>
          <w:jc w:val="center"/>
        </w:trPr>
        <w:tc>
          <w:tcPr>
            <w:tcW w:w="1532" w:type="dxa"/>
            <w:shd w:val="clear" w:color="auto" w:fill="auto"/>
            <w:vAlign w:val="center"/>
          </w:tcPr>
          <w:p w14:paraId="71A1629D" w14:textId="77777777" w:rsidR="0021563C" w:rsidRPr="009F17D8" w:rsidRDefault="0021563C" w:rsidP="0021563C">
            <w:pPr>
              <w:spacing w:line="360" w:lineRule="auto"/>
              <w:jc w:val="left"/>
              <w:rPr>
                <w:rFonts w:ascii="宋体" w:hAnsi="宋体"/>
                <w:color w:val="000000"/>
                <w:szCs w:val="21"/>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134" w:type="dxa"/>
            <w:shd w:val="clear" w:color="auto" w:fill="auto"/>
            <w:vAlign w:val="center"/>
          </w:tcPr>
          <w:p w14:paraId="575122E3" w14:textId="77777777" w:rsidR="0021563C" w:rsidRPr="00F00B77" w:rsidRDefault="0021563C" w:rsidP="0021563C">
            <w:pPr>
              <w:spacing w:line="360" w:lineRule="auto"/>
              <w:jc w:val="center"/>
              <w:rPr>
                <w:color w:val="000000"/>
                <w:sz w:val="24"/>
                <w:szCs w:val="24"/>
              </w:rPr>
            </w:pPr>
            <w:r w:rsidRPr="00F00B77">
              <w:rPr>
                <w:szCs w:val="21"/>
              </w:rPr>
              <w:t>1.1483%</w:t>
            </w:r>
          </w:p>
        </w:tc>
        <w:tc>
          <w:tcPr>
            <w:tcW w:w="1134" w:type="dxa"/>
            <w:shd w:val="clear" w:color="auto" w:fill="auto"/>
            <w:vAlign w:val="center"/>
          </w:tcPr>
          <w:p w14:paraId="5EB4300F" w14:textId="77777777" w:rsidR="0021563C" w:rsidRPr="00F00B77" w:rsidRDefault="0021563C" w:rsidP="0021563C">
            <w:pPr>
              <w:spacing w:line="360" w:lineRule="auto"/>
              <w:jc w:val="center"/>
              <w:rPr>
                <w:color w:val="000000"/>
                <w:sz w:val="24"/>
                <w:szCs w:val="24"/>
              </w:rPr>
            </w:pPr>
            <w:r w:rsidRPr="00F00B77">
              <w:rPr>
                <w:szCs w:val="21"/>
              </w:rPr>
              <w:t>0.0014%</w:t>
            </w:r>
          </w:p>
        </w:tc>
        <w:tc>
          <w:tcPr>
            <w:tcW w:w="1267" w:type="dxa"/>
            <w:shd w:val="clear" w:color="auto" w:fill="auto"/>
            <w:vAlign w:val="center"/>
          </w:tcPr>
          <w:p w14:paraId="41A4A83C" w14:textId="77777777" w:rsidR="0021563C" w:rsidRPr="00F00B77" w:rsidRDefault="0021563C" w:rsidP="0021563C">
            <w:pPr>
              <w:spacing w:line="360" w:lineRule="auto"/>
              <w:jc w:val="center"/>
              <w:rPr>
                <w:color w:val="000000"/>
                <w:sz w:val="24"/>
                <w:szCs w:val="24"/>
              </w:rPr>
            </w:pPr>
            <w:r w:rsidRPr="00F00B77">
              <w:rPr>
                <w:szCs w:val="21"/>
              </w:rPr>
              <w:t>0.1515%</w:t>
            </w:r>
          </w:p>
        </w:tc>
        <w:tc>
          <w:tcPr>
            <w:tcW w:w="1267" w:type="dxa"/>
            <w:shd w:val="clear" w:color="auto" w:fill="auto"/>
            <w:vAlign w:val="center"/>
          </w:tcPr>
          <w:p w14:paraId="64D6D824" w14:textId="77777777" w:rsidR="0021563C" w:rsidRPr="00F00B77" w:rsidRDefault="0021563C" w:rsidP="0021563C">
            <w:pPr>
              <w:spacing w:line="360" w:lineRule="auto"/>
              <w:jc w:val="center"/>
              <w:rPr>
                <w:color w:val="000000"/>
                <w:sz w:val="24"/>
                <w:szCs w:val="24"/>
              </w:rPr>
            </w:pPr>
            <w:r w:rsidRPr="00F00B77">
              <w:rPr>
                <w:szCs w:val="21"/>
              </w:rPr>
              <w:t>0.0000%</w:t>
            </w:r>
          </w:p>
        </w:tc>
        <w:tc>
          <w:tcPr>
            <w:tcW w:w="1267" w:type="dxa"/>
            <w:shd w:val="clear" w:color="auto" w:fill="auto"/>
            <w:vAlign w:val="center"/>
          </w:tcPr>
          <w:p w14:paraId="212ECED2" w14:textId="77777777" w:rsidR="0021563C" w:rsidRPr="00F00B77" w:rsidRDefault="0021563C" w:rsidP="0021563C">
            <w:pPr>
              <w:spacing w:line="360" w:lineRule="auto"/>
              <w:jc w:val="center"/>
              <w:rPr>
                <w:color w:val="000000"/>
                <w:sz w:val="24"/>
                <w:szCs w:val="24"/>
              </w:rPr>
            </w:pPr>
            <w:r w:rsidRPr="00F00B77">
              <w:rPr>
                <w:szCs w:val="21"/>
              </w:rPr>
              <w:t>0.9968%</w:t>
            </w:r>
          </w:p>
        </w:tc>
        <w:tc>
          <w:tcPr>
            <w:tcW w:w="1267" w:type="dxa"/>
            <w:shd w:val="clear" w:color="auto" w:fill="auto"/>
            <w:vAlign w:val="center"/>
          </w:tcPr>
          <w:p w14:paraId="1BC11DCA" w14:textId="77777777" w:rsidR="0021563C" w:rsidRPr="00F00B77" w:rsidRDefault="0021563C" w:rsidP="0021563C">
            <w:pPr>
              <w:spacing w:line="360" w:lineRule="auto"/>
              <w:jc w:val="center"/>
              <w:rPr>
                <w:color w:val="000000"/>
                <w:sz w:val="24"/>
                <w:szCs w:val="24"/>
              </w:rPr>
            </w:pPr>
            <w:r w:rsidRPr="00F00B77">
              <w:rPr>
                <w:szCs w:val="21"/>
              </w:rPr>
              <w:t>0.0014%</w:t>
            </w:r>
          </w:p>
        </w:tc>
      </w:tr>
    </w:tbl>
    <w:p w14:paraId="5EC756DF" w14:textId="77777777" w:rsidR="00910B03" w:rsidRPr="00F00B77" w:rsidRDefault="00910B03" w:rsidP="0088371F">
      <w:pPr>
        <w:autoSpaceDE w:val="0"/>
        <w:autoSpaceDN w:val="0"/>
        <w:adjustRightInd w:val="0"/>
        <w:spacing w:before="29" w:line="360" w:lineRule="auto"/>
        <w:jc w:val="left"/>
        <w:rPr>
          <w:kern w:val="0"/>
          <w:sz w:val="24"/>
          <w:szCs w:val="24"/>
        </w:rPr>
      </w:pPr>
      <w:r w:rsidRPr="00F00B77">
        <w:rPr>
          <w:color w:val="000000"/>
          <w:sz w:val="24"/>
          <w:szCs w:val="24"/>
        </w:rPr>
        <w:t>注：</w:t>
      </w:r>
      <w:r w:rsidR="00AF36A5" w:rsidRPr="00F00B77">
        <w:rPr>
          <w:rFonts w:hint="eastAsia"/>
          <w:kern w:val="0"/>
          <w:sz w:val="24"/>
          <w:szCs w:val="24"/>
        </w:rPr>
        <w:t>本基金的业绩比较基准为活期存款利率（税后）。</w:t>
      </w:r>
    </w:p>
    <w:p w14:paraId="205C9044" w14:textId="77777777" w:rsidR="00AF36A5" w:rsidRPr="00F00B77" w:rsidRDefault="00AF36A5" w:rsidP="0088371F">
      <w:pPr>
        <w:autoSpaceDE w:val="0"/>
        <w:autoSpaceDN w:val="0"/>
        <w:adjustRightInd w:val="0"/>
        <w:spacing w:before="29" w:line="360" w:lineRule="auto"/>
        <w:jc w:val="left"/>
        <w:rPr>
          <w:kern w:val="0"/>
          <w:sz w:val="24"/>
          <w:szCs w:val="24"/>
        </w:rPr>
      </w:pPr>
    </w:p>
    <w:p w14:paraId="1A173FB8" w14:textId="77777777" w:rsidR="00AF36A5" w:rsidRPr="00F00B77" w:rsidRDefault="001E6336" w:rsidP="0088371F">
      <w:pPr>
        <w:spacing w:before="29" w:line="360" w:lineRule="auto"/>
        <w:rPr>
          <w:color w:val="000000"/>
          <w:kern w:val="0"/>
          <w:sz w:val="24"/>
          <w:szCs w:val="24"/>
        </w:rPr>
      </w:pPr>
      <w:r w:rsidRPr="00F00B77">
        <w:rPr>
          <w:rFonts w:hint="eastAsia"/>
          <w:color w:val="000000"/>
          <w:kern w:val="0"/>
          <w:sz w:val="24"/>
          <w:szCs w:val="24"/>
        </w:rPr>
        <w:t>2</w:t>
      </w:r>
      <w:r w:rsidRPr="00F00B77">
        <w:rPr>
          <w:rFonts w:hint="eastAsia"/>
          <w:color w:val="000000"/>
          <w:kern w:val="0"/>
          <w:sz w:val="24"/>
          <w:szCs w:val="24"/>
        </w:rPr>
        <w:t>、</w:t>
      </w:r>
      <w:r w:rsidR="00AF36A5" w:rsidRPr="00F00B77">
        <w:rPr>
          <w:rFonts w:hint="eastAsia"/>
          <w:color w:val="000000"/>
          <w:kern w:val="0"/>
          <w:sz w:val="24"/>
          <w:szCs w:val="24"/>
        </w:rPr>
        <w:t>自基金合同生效以来</w:t>
      </w:r>
      <w:r w:rsidR="00AF36A5" w:rsidRPr="00F00B77">
        <w:rPr>
          <w:color w:val="000000"/>
          <w:kern w:val="0"/>
          <w:sz w:val="24"/>
          <w:szCs w:val="24"/>
        </w:rPr>
        <w:t>基</w:t>
      </w:r>
      <w:r w:rsidR="00AF36A5" w:rsidRPr="00F00B77">
        <w:rPr>
          <w:rFonts w:hAnsi="宋体"/>
          <w:color w:val="000000"/>
          <w:kern w:val="0"/>
          <w:sz w:val="24"/>
          <w:szCs w:val="24"/>
        </w:rPr>
        <w:t>金份额累计净值收益率变动及其与同期业绩比较基准收益率变动的比较</w:t>
      </w:r>
    </w:p>
    <w:p w14:paraId="08F44678" w14:textId="77777777" w:rsidR="00AF36A5" w:rsidRPr="00F00B77" w:rsidRDefault="00AF36A5" w:rsidP="0088371F">
      <w:pPr>
        <w:spacing w:before="29" w:line="360" w:lineRule="auto"/>
        <w:jc w:val="center"/>
        <w:rPr>
          <w:sz w:val="24"/>
          <w:szCs w:val="24"/>
        </w:rPr>
      </w:pPr>
      <w:r w:rsidRPr="00F00B77">
        <w:rPr>
          <w:sz w:val="24"/>
          <w:szCs w:val="24"/>
        </w:rPr>
        <w:t>交银施罗德活期通货币市场基金</w:t>
      </w:r>
    </w:p>
    <w:p w14:paraId="1E402E28" w14:textId="77777777" w:rsidR="00AF36A5" w:rsidRPr="00F00B77" w:rsidRDefault="00AF36A5" w:rsidP="0088371F">
      <w:pPr>
        <w:pStyle w:val="a9"/>
        <w:snapToGrid w:val="0"/>
        <w:spacing w:before="29" w:line="360" w:lineRule="auto"/>
        <w:jc w:val="center"/>
        <w:rPr>
          <w:rFonts w:ascii="Times New Roman" w:hAnsi="Times New Roman"/>
          <w:sz w:val="24"/>
          <w:szCs w:val="24"/>
        </w:rPr>
      </w:pPr>
      <w:r w:rsidRPr="00F00B77">
        <w:rPr>
          <w:rFonts w:ascii="Times New Roman" w:hAnsi="宋体"/>
          <w:sz w:val="24"/>
          <w:szCs w:val="24"/>
        </w:rPr>
        <w:t>份额累计净值收益率与业绩比较基准收益率历史走势对比图</w:t>
      </w:r>
    </w:p>
    <w:p w14:paraId="1F376FBA" w14:textId="77777777" w:rsidR="00AF36A5" w:rsidRPr="00F00B77" w:rsidRDefault="00AF36A5" w:rsidP="0088371F">
      <w:pPr>
        <w:spacing w:before="29" w:line="360" w:lineRule="auto"/>
        <w:jc w:val="center"/>
        <w:rPr>
          <w:sz w:val="24"/>
          <w:szCs w:val="24"/>
        </w:rPr>
      </w:pPr>
      <w:r w:rsidRPr="00F00B77">
        <w:rPr>
          <w:rFonts w:hAnsi="宋体"/>
          <w:color w:val="000000"/>
          <w:sz w:val="24"/>
          <w:szCs w:val="24"/>
        </w:rPr>
        <w:t>（</w:t>
      </w:r>
      <w:r w:rsidRPr="00F00B77">
        <w:rPr>
          <w:color w:val="000000"/>
          <w:kern w:val="0"/>
          <w:sz w:val="24"/>
          <w:szCs w:val="24"/>
        </w:rPr>
        <w:t>2016</w:t>
      </w:r>
      <w:r w:rsidRPr="00F00B77">
        <w:rPr>
          <w:color w:val="000000"/>
          <w:kern w:val="0"/>
          <w:sz w:val="24"/>
          <w:szCs w:val="24"/>
        </w:rPr>
        <w:t>年</w:t>
      </w:r>
      <w:r w:rsidRPr="00F00B77">
        <w:rPr>
          <w:color w:val="000000"/>
          <w:kern w:val="0"/>
          <w:sz w:val="24"/>
          <w:szCs w:val="24"/>
        </w:rPr>
        <w:t>7</w:t>
      </w:r>
      <w:r w:rsidRPr="00F00B77">
        <w:rPr>
          <w:color w:val="000000"/>
          <w:kern w:val="0"/>
          <w:sz w:val="24"/>
          <w:szCs w:val="24"/>
        </w:rPr>
        <w:t>月</w:t>
      </w:r>
      <w:r w:rsidRPr="00F00B77">
        <w:rPr>
          <w:color w:val="000000"/>
          <w:kern w:val="0"/>
          <w:sz w:val="24"/>
          <w:szCs w:val="24"/>
        </w:rPr>
        <w:t>27</w:t>
      </w:r>
      <w:r w:rsidRPr="00F00B77">
        <w:rPr>
          <w:color w:val="000000"/>
          <w:kern w:val="0"/>
          <w:sz w:val="24"/>
          <w:szCs w:val="24"/>
        </w:rPr>
        <w:t>日</w:t>
      </w:r>
      <w:r w:rsidRPr="00F00B77">
        <w:rPr>
          <w:rFonts w:hAnsi="宋体"/>
          <w:color w:val="000000"/>
          <w:kern w:val="0"/>
          <w:sz w:val="24"/>
          <w:szCs w:val="24"/>
        </w:rPr>
        <w:t>至</w:t>
      </w:r>
      <w:r w:rsidRPr="00F00B77">
        <w:rPr>
          <w:color w:val="000000"/>
          <w:kern w:val="0"/>
          <w:sz w:val="24"/>
          <w:szCs w:val="24"/>
        </w:rPr>
        <w:t>201</w:t>
      </w:r>
      <w:r w:rsidR="001F1755">
        <w:rPr>
          <w:rFonts w:hint="eastAsia"/>
          <w:color w:val="000000"/>
          <w:kern w:val="0"/>
          <w:sz w:val="24"/>
          <w:szCs w:val="24"/>
        </w:rPr>
        <w:t>7</w:t>
      </w:r>
      <w:r w:rsidRPr="00F00B77">
        <w:rPr>
          <w:color w:val="000000"/>
          <w:kern w:val="0"/>
          <w:sz w:val="24"/>
          <w:szCs w:val="24"/>
        </w:rPr>
        <w:t>年</w:t>
      </w:r>
      <w:r w:rsidR="001F1755">
        <w:rPr>
          <w:rFonts w:hint="eastAsia"/>
          <w:color w:val="000000"/>
          <w:kern w:val="0"/>
          <w:sz w:val="24"/>
          <w:szCs w:val="24"/>
        </w:rPr>
        <w:t>6</w:t>
      </w:r>
      <w:r w:rsidRPr="00F00B77">
        <w:rPr>
          <w:color w:val="000000"/>
          <w:kern w:val="0"/>
          <w:sz w:val="24"/>
          <w:szCs w:val="24"/>
        </w:rPr>
        <w:t>月</w:t>
      </w:r>
      <w:r w:rsidRPr="00F00B77">
        <w:rPr>
          <w:color w:val="000000"/>
          <w:kern w:val="0"/>
          <w:sz w:val="24"/>
          <w:szCs w:val="24"/>
        </w:rPr>
        <w:t>3</w:t>
      </w:r>
      <w:r w:rsidR="001F1755">
        <w:rPr>
          <w:rFonts w:hint="eastAsia"/>
          <w:color w:val="000000"/>
          <w:kern w:val="0"/>
          <w:sz w:val="24"/>
          <w:szCs w:val="24"/>
        </w:rPr>
        <w:t>0</w:t>
      </w:r>
      <w:r w:rsidRPr="00F00B77">
        <w:rPr>
          <w:color w:val="000000"/>
          <w:kern w:val="0"/>
          <w:sz w:val="24"/>
          <w:szCs w:val="24"/>
        </w:rPr>
        <w:t>日</w:t>
      </w:r>
      <w:r w:rsidRPr="00F00B77">
        <w:rPr>
          <w:rFonts w:hAnsi="宋体"/>
          <w:color w:val="000000"/>
          <w:sz w:val="24"/>
          <w:szCs w:val="24"/>
        </w:rPr>
        <w:t>）</w:t>
      </w:r>
    </w:p>
    <w:p w14:paraId="2CC5F914" w14:textId="77777777" w:rsidR="00AF36A5" w:rsidRPr="00F00B77" w:rsidRDefault="00AF36A5" w:rsidP="0088371F">
      <w:pPr>
        <w:snapToGrid w:val="0"/>
        <w:spacing w:before="29" w:line="360" w:lineRule="auto"/>
        <w:ind w:left="830"/>
        <w:rPr>
          <w:color w:val="000000"/>
          <w:sz w:val="24"/>
          <w:szCs w:val="24"/>
        </w:rPr>
      </w:pPr>
      <w:r w:rsidRPr="00F00B77">
        <w:rPr>
          <w:color w:val="000000"/>
          <w:kern w:val="0"/>
          <w:sz w:val="24"/>
          <w:szCs w:val="24"/>
        </w:rPr>
        <w:t>交银活期通货币</w:t>
      </w:r>
      <w:r w:rsidRPr="00F00B77">
        <w:rPr>
          <w:color w:val="000000"/>
          <w:kern w:val="0"/>
          <w:sz w:val="24"/>
          <w:szCs w:val="24"/>
        </w:rPr>
        <w:t>A</w:t>
      </w:r>
    </w:p>
    <w:p w14:paraId="41F14B2F" w14:textId="77777777" w:rsidR="00AF36A5" w:rsidRPr="00F00B77" w:rsidRDefault="009D76CE" w:rsidP="0088371F">
      <w:pPr>
        <w:tabs>
          <w:tab w:val="left" w:pos="0"/>
        </w:tabs>
        <w:spacing w:before="29" w:line="360" w:lineRule="auto"/>
        <w:jc w:val="center"/>
        <w:rPr>
          <w:color w:val="000000"/>
          <w:sz w:val="24"/>
          <w:szCs w:val="24"/>
        </w:rPr>
      </w:pPr>
      <w:r>
        <w:rPr>
          <w:noProof/>
          <w:sz w:val="24"/>
        </w:rPr>
        <w:drawing>
          <wp:inline distT="0" distB="0" distL="0" distR="0" wp14:anchorId="496DAE07" wp14:editId="0FBA0F7F">
            <wp:extent cx="5753100" cy="337185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srcRect/>
                    <a:stretch>
                      <a:fillRect/>
                    </a:stretch>
                  </pic:blipFill>
                  <pic:spPr bwMode="auto">
                    <a:xfrm>
                      <a:off x="0" y="0"/>
                      <a:ext cx="5753100" cy="3371850"/>
                    </a:xfrm>
                    <a:prstGeom prst="rect">
                      <a:avLst/>
                    </a:prstGeom>
                    <a:noFill/>
                    <a:ln w="9525">
                      <a:noFill/>
                      <a:miter lim="800000"/>
                      <a:headEnd/>
                      <a:tailEnd/>
                    </a:ln>
                  </pic:spPr>
                </pic:pic>
              </a:graphicData>
            </a:graphic>
          </wp:inline>
        </w:drawing>
      </w:r>
    </w:p>
    <w:p w14:paraId="60DE1886" w14:textId="77777777" w:rsidR="00AF36A5" w:rsidRPr="00F00B77" w:rsidRDefault="001F1755" w:rsidP="0088371F">
      <w:pPr>
        <w:adjustRightInd w:val="0"/>
        <w:snapToGrid w:val="0"/>
        <w:spacing w:before="29" w:line="360" w:lineRule="auto"/>
        <w:rPr>
          <w:color w:val="000000"/>
          <w:sz w:val="24"/>
          <w:szCs w:val="24"/>
        </w:rPr>
      </w:pPr>
      <w:r w:rsidRPr="001F1755">
        <w:rPr>
          <w:rFonts w:hint="eastAsia"/>
          <w:color w:val="000000"/>
          <w:sz w:val="24"/>
          <w:szCs w:val="24"/>
        </w:rPr>
        <w:t>注：本基金基金合同生效日为</w:t>
      </w:r>
      <w:r w:rsidRPr="001F1755">
        <w:rPr>
          <w:rFonts w:hint="eastAsia"/>
          <w:color w:val="000000"/>
          <w:sz w:val="24"/>
          <w:szCs w:val="24"/>
        </w:rPr>
        <w:t>2016</w:t>
      </w:r>
      <w:r w:rsidRPr="001F1755">
        <w:rPr>
          <w:rFonts w:hint="eastAsia"/>
          <w:color w:val="000000"/>
          <w:sz w:val="24"/>
          <w:szCs w:val="24"/>
        </w:rPr>
        <w:t>年</w:t>
      </w:r>
      <w:r w:rsidRPr="001F1755">
        <w:rPr>
          <w:rFonts w:hint="eastAsia"/>
          <w:color w:val="000000"/>
          <w:sz w:val="24"/>
          <w:szCs w:val="24"/>
        </w:rPr>
        <w:t>7</w:t>
      </w:r>
      <w:r w:rsidRPr="001F1755">
        <w:rPr>
          <w:rFonts w:hint="eastAsia"/>
          <w:color w:val="000000"/>
          <w:sz w:val="24"/>
          <w:szCs w:val="24"/>
        </w:rPr>
        <w:t>月</w:t>
      </w:r>
      <w:r w:rsidRPr="001F1755">
        <w:rPr>
          <w:rFonts w:hint="eastAsia"/>
          <w:color w:val="000000"/>
          <w:sz w:val="24"/>
          <w:szCs w:val="24"/>
        </w:rPr>
        <w:t>27</w:t>
      </w:r>
      <w:r w:rsidRPr="001F1755">
        <w:rPr>
          <w:rFonts w:hint="eastAsia"/>
          <w:color w:val="000000"/>
          <w:sz w:val="24"/>
          <w:szCs w:val="24"/>
        </w:rPr>
        <w:t>日，基金合同生效日至报告期期末，本基金运作时间未满一年。本基金建仓期为自基金合同生效日起的</w:t>
      </w:r>
      <w:r w:rsidRPr="001F1755">
        <w:rPr>
          <w:rFonts w:hint="eastAsia"/>
          <w:color w:val="000000"/>
          <w:sz w:val="24"/>
          <w:szCs w:val="24"/>
        </w:rPr>
        <w:t>6</w:t>
      </w:r>
      <w:r w:rsidRPr="001F1755">
        <w:rPr>
          <w:rFonts w:hint="eastAsia"/>
          <w:color w:val="000000"/>
          <w:sz w:val="24"/>
          <w:szCs w:val="24"/>
        </w:rPr>
        <w:t>个月。截至建仓期结束，本基金各项资产配置比例符合基金合同及招募说明书有关投资比例的约定。</w:t>
      </w:r>
    </w:p>
    <w:p w14:paraId="435FAD56" w14:textId="77777777" w:rsidR="00AF36A5" w:rsidRPr="00F00B77" w:rsidRDefault="00AF36A5" w:rsidP="0088371F">
      <w:pPr>
        <w:snapToGrid w:val="0"/>
        <w:spacing w:before="29" w:line="360" w:lineRule="auto"/>
        <w:ind w:left="470" w:firstLineChars="150" w:firstLine="360"/>
        <w:rPr>
          <w:color w:val="000000"/>
          <w:sz w:val="24"/>
          <w:szCs w:val="24"/>
        </w:rPr>
      </w:pPr>
      <w:r w:rsidRPr="00F00B77">
        <w:rPr>
          <w:color w:val="000000"/>
          <w:kern w:val="0"/>
          <w:sz w:val="24"/>
          <w:szCs w:val="24"/>
        </w:rPr>
        <w:t>交银活期通货币</w:t>
      </w:r>
      <w:r w:rsidRPr="00F00B77">
        <w:rPr>
          <w:color w:val="000000"/>
          <w:kern w:val="0"/>
          <w:sz w:val="24"/>
          <w:szCs w:val="24"/>
        </w:rPr>
        <w:t>E</w:t>
      </w:r>
    </w:p>
    <w:p w14:paraId="4889A238" w14:textId="77777777" w:rsidR="00AF36A5" w:rsidRPr="00F00B77" w:rsidRDefault="009D76CE" w:rsidP="0088371F">
      <w:pPr>
        <w:snapToGrid w:val="0"/>
        <w:spacing w:before="29" w:line="360" w:lineRule="auto"/>
        <w:jc w:val="center"/>
        <w:rPr>
          <w:color w:val="000000"/>
          <w:sz w:val="24"/>
          <w:szCs w:val="24"/>
        </w:rPr>
      </w:pPr>
      <w:r>
        <w:rPr>
          <w:noProof/>
          <w:color w:val="000000"/>
          <w:sz w:val="24"/>
          <w:szCs w:val="24"/>
        </w:rPr>
        <w:drawing>
          <wp:inline distT="0" distB="0" distL="0" distR="0" wp14:anchorId="6FF14384" wp14:editId="15B80AA1">
            <wp:extent cx="5761355" cy="337121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61355" cy="3371215"/>
                    </a:xfrm>
                    <a:prstGeom prst="rect">
                      <a:avLst/>
                    </a:prstGeom>
                    <a:noFill/>
                  </pic:spPr>
                </pic:pic>
              </a:graphicData>
            </a:graphic>
          </wp:inline>
        </w:drawing>
      </w:r>
    </w:p>
    <w:p w14:paraId="63212059" w14:textId="77777777" w:rsidR="00A16EB2" w:rsidRPr="00A16EB2" w:rsidRDefault="00A16EB2" w:rsidP="009F17D8">
      <w:pPr>
        <w:snapToGrid w:val="0"/>
        <w:spacing w:before="29" w:line="360" w:lineRule="auto"/>
        <w:jc w:val="left"/>
        <w:rPr>
          <w:color w:val="000000"/>
          <w:sz w:val="24"/>
          <w:szCs w:val="24"/>
        </w:rPr>
      </w:pPr>
      <w:r w:rsidRPr="00A16EB2">
        <w:rPr>
          <w:color w:val="000000"/>
          <w:sz w:val="24"/>
          <w:szCs w:val="24"/>
        </w:rPr>
        <w:t>注：本基金基金合同生效日为</w:t>
      </w:r>
      <w:r w:rsidRPr="00A16EB2">
        <w:rPr>
          <w:color w:val="000000"/>
          <w:sz w:val="24"/>
          <w:szCs w:val="24"/>
        </w:rPr>
        <w:t>2016</w:t>
      </w:r>
      <w:r w:rsidRPr="00A16EB2">
        <w:rPr>
          <w:color w:val="000000"/>
          <w:sz w:val="24"/>
          <w:szCs w:val="24"/>
        </w:rPr>
        <w:t>年</w:t>
      </w:r>
      <w:r w:rsidRPr="00A16EB2">
        <w:rPr>
          <w:color w:val="000000"/>
          <w:sz w:val="24"/>
          <w:szCs w:val="24"/>
        </w:rPr>
        <w:t>7</w:t>
      </w:r>
      <w:r w:rsidRPr="00A16EB2">
        <w:rPr>
          <w:color w:val="000000"/>
          <w:sz w:val="24"/>
          <w:szCs w:val="24"/>
        </w:rPr>
        <w:t>月</w:t>
      </w:r>
      <w:r w:rsidRPr="00A16EB2">
        <w:rPr>
          <w:color w:val="000000"/>
          <w:sz w:val="24"/>
          <w:szCs w:val="24"/>
        </w:rPr>
        <w:t>27</w:t>
      </w:r>
      <w:r w:rsidRPr="00A16EB2">
        <w:rPr>
          <w:color w:val="000000"/>
          <w:sz w:val="24"/>
          <w:szCs w:val="24"/>
        </w:rPr>
        <w:t>日，基金合同生效日至报告期期末，本基金运作时间未满一年。本基金建仓期为自基金合同生效日起的</w:t>
      </w:r>
      <w:r w:rsidRPr="00A16EB2">
        <w:rPr>
          <w:color w:val="000000"/>
          <w:sz w:val="24"/>
          <w:szCs w:val="24"/>
        </w:rPr>
        <w:t>6</w:t>
      </w:r>
      <w:r w:rsidRPr="00A16EB2">
        <w:rPr>
          <w:color w:val="000000"/>
          <w:sz w:val="24"/>
          <w:szCs w:val="24"/>
        </w:rPr>
        <w:t>个月。截至建仓期结束，本基金各项资产配置比例符合基金合同及招募说明书有关投资比例的约定。</w:t>
      </w:r>
    </w:p>
    <w:p w14:paraId="08E2E6A7" w14:textId="77777777" w:rsidR="00084DB4" w:rsidRPr="00F00B77" w:rsidRDefault="00267CEE" w:rsidP="004A3EE5">
      <w:pPr>
        <w:widowControl/>
        <w:adjustRightInd w:val="0"/>
        <w:snapToGrid w:val="0"/>
        <w:spacing w:beforeLines="50" w:before="143" w:afterLines="50" w:after="143" w:line="360" w:lineRule="auto"/>
        <w:jc w:val="left"/>
        <w:outlineLvl w:val="0"/>
        <w:rPr>
          <w:rFonts w:ascii="宋体" w:hAnsi="宋体"/>
          <w:b/>
          <w:kern w:val="0"/>
          <w:sz w:val="30"/>
        </w:rPr>
      </w:pPr>
      <w:r w:rsidRPr="00F00B77">
        <w:rPr>
          <w:color w:val="000000"/>
          <w:sz w:val="24"/>
          <w:szCs w:val="24"/>
        </w:rPr>
        <w:br w:type="page"/>
      </w:r>
      <w:bookmarkStart w:id="50" w:name="_Toc491431674"/>
      <w:r w:rsidR="00084DB4" w:rsidRPr="00F00B77">
        <w:rPr>
          <w:rFonts w:ascii="宋体" w:hAnsi="宋体" w:hint="eastAsia"/>
          <w:b/>
          <w:kern w:val="0"/>
          <w:sz w:val="30"/>
        </w:rPr>
        <w:t>十</w:t>
      </w:r>
      <w:r w:rsidR="00D87150" w:rsidRPr="00F00B77">
        <w:rPr>
          <w:rFonts w:ascii="宋体" w:hAnsi="宋体" w:hint="eastAsia"/>
          <w:b/>
          <w:kern w:val="0"/>
          <w:sz w:val="30"/>
        </w:rPr>
        <w:t>一</w:t>
      </w:r>
      <w:r w:rsidR="00084DB4" w:rsidRPr="00F00B77">
        <w:rPr>
          <w:rFonts w:ascii="宋体" w:hAnsi="宋体" w:hint="eastAsia"/>
          <w:b/>
          <w:kern w:val="0"/>
          <w:sz w:val="30"/>
        </w:rPr>
        <w:t>、基金的财产</w:t>
      </w:r>
      <w:bookmarkEnd w:id="50"/>
    </w:p>
    <w:p w14:paraId="03B752DD"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（一）基金资产总值</w:t>
      </w:r>
      <w:r w:rsidRPr="00F00B77">
        <w:rPr>
          <w:b/>
          <w:kern w:val="0"/>
          <w:sz w:val="24"/>
        </w:rPr>
        <w:t xml:space="preserve"> </w:t>
      </w:r>
    </w:p>
    <w:p w14:paraId="2AF2929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hint="eastAsia"/>
          <w:sz w:val="24"/>
          <w:szCs w:val="21"/>
        </w:rPr>
        <w:t>基金资产总值是指</w:t>
      </w:r>
      <w:r w:rsidRPr="00F00B77">
        <w:rPr>
          <w:rFonts w:hint="eastAsia"/>
          <w:bCs/>
          <w:sz w:val="24"/>
        </w:rPr>
        <w:t>基金拥有的各类有价证券及票据价值、银行存款本息、基金应收申购款及其他资产的价值总和</w:t>
      </w:r>
      <w:r w:rsidRPr="00F00B77">
        <w:rPr>
          <w:bCs/>
          <w:sz w:val="24"/>
        </w:rPr>
        <w:t>。</w:t>
      </w:r>
      <w:bookmarkStart w:id="51" w:name="_Toc311810245"/>
      <w:bookmarkEnd w:id="46"/>
    </w:p>
    <w:p w14:paraId="36EFA94A"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（二）基金资</w:t>
      </w:r>
      <w:bookmarkEnd w:id="51"/>
      <w:r w:rsidRPr="00F00B77">
        <w:rPr>
          <w:rFonts w:hAnsi="宋体"/>
          <w:b/>
          <w:kern w:val="0"/>
          <w:sz w:val="24"/>
        </w:rPr>
        <w:t>产</w:t>
      </w:r>
      <w:bookmarkEnd w:id="47"/>
      <w:bookmarkEnd w:id="48"/>
      <w:r w:rsidRPr="00F00B77">
        <w:rPr>
          <w:rFonts w:hAnsi="宋体"/>
          <w:b/>
          <w:kern w:val="0"/>
          <w:sz w:val="24"/>
        </w:rPr>
        <w:t>净</w:t>
      </w:r>
      <w:bookmarkStart w:id="52" w:name="_Toc109537391"/>
      <w:r w:rsidRPr="00F00B77">
        <w:rPr>
          <w:rFonts w:hAnsi="宋体"/>
          <w:b/>
          <w:kern w:val="0"/>
          <w:sz w:val="24"/>
        </w:rPr>
        <w:t>值</w:t>
      </w:r>
      <w:r w:rsidRPr="00F00B77">
        <w:rPr>
          <w:b/>
          <w:kern w:val="0"/>
          <w:sz w:val="24"/>
        </w:rPr>
        <w:t xml:space="preserve"> </w:t>
      </w:r>
    </w:p>
    <w:p w14:paraId="233E5952" w14:textId="77777777" w:rsidR="00084DB4" w:rsidRPr="00F00B77" w:rsidRDefault="00084DB4">
      <w:pPr>
        <w:widowControl/>
        <w:adjustRightInd w:val="0"/>
        <w:snapToGrid w:val="0"/>
        <w:spacing w:line="360" w:lineRule="auto"/>
        <w:ind w:firstLineChars="200" w:firstLine="480"/>
        <w:rPr>
          <w:kern w:val="0"/>
          <w:sz w:val="24"/>
        </w:rPr>
      </w:pPr>
      <w:r w:rsidRPr="00F00B77">
        <w:rPr>
          <w:bCs/>
          <w:sz w:val="24"/>
        </w:rPr>
        <w:t>基金资产净值是指基金资产总值减去基金负债后的价值。</w:t>
      </w:r>
      <w:bookmarkStart w:id="53" w:name="_Toc79392635"/>
      <w:bookmarkStart w:id="54" w:name="_Toc79556449"/>
      <w:bookmarkEnd w:id="52"/>
    </w:p>
    <w:p w14:paraId="29F565A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（三）基金财产的账户</w:t>
      </w:r>
      <w:r w:rsidRPr="00F00B77">
        <w:rPr>
          <w:b/>
          <w:kern w:val="0"/>
          <w:sz w:val="24"/>
        </w:rPr>
        <w:t xml:space="preserve"> </w:t>
      </w:r>
    </w:p>
    <w:p w14:paraId="464A4AE1" w14:textId="77777777" w:rsidR="00084DB4" w:rsidRPr="00F00B77" w:rsidRDefault="00084DB4">
      <w:pPr>
        <w:widowControl/>
        <w:adjustRightInd w:val="0"/>
        <w:snapToGrid w:val="0"/>
        <w:spacing w:line="360" w:lineRule="auto"/>
        <w:ind w:firstLineChars="200" w:firstLine="480"/>
        <w:rPr>
          <w:kern w:val="0"/>
          <w:sz w:val="24"/>
        </w:rPr>
      </w:pPr>
      <w:r w:rsidRPr="00F00B77">
        <w:rPr>
          <w:bCs/>
          <w:sz w:val="24"/>
        </w:rPr>
        <w:t>基金托管人根据相关法律法规、规范性文件为本基金开立资金</w:t>
      </w:r>
      <w:r w:rsidRPr="00F00B77">
        <w:rPr>
          <w:rFonts w:hint="eastAsia"/>
          <w:bCs/>
          <w:sz w:val="24"/>
        </w:rPr>
        <w:t>账户</w:t>
      </w:r>
      <w:r w:rsidRPr="00F00B77">
        <w:rPr>
          <w:bCs/>
          <w:sz w:val="24"/>
        </w:rPr>
        <w:t>、证券</w:t>
      </w:r>
      <w:r w:rsidRPr="00F00B77">
        <w:rPr>
          <w:rFonts w:hint="eastAsia"/>
          <w:bCs/>
          <w:sz w:val="24"/>
        </w:rPr>
        <w:t>账户</w:t>
      </w:r>
      <w:r w:rsidRPr="00F00B77">
        <w:rPr>
          <w:bCs/>
          <w:sz w:val="24"/>
        </w:rPr>
        <w:t>以及投资所需的其他专用</w:t>
      </w:r>
      <w:r w:rsidRPr="00F00B77">
        <w:rPr>
          <w:rFonts w:hint="eastAsia"/>
          <w:bCs/>
          <w:sz w:val="24"/>
        </w:rPr>
        <w:t>账户</w:t>
      </w:r>
      <w:r w:rsidRPr="00F00B77">
        <w:rPr>
          <w:bCs/>
          <w:sz w:val="24"/>
        </w:rPr>
        <w:t>。开立的基金专用账户与基金管理人、基金托管人、基金销售机构和基金登记机构自有的财产账户以及其他基金财产账户相独立。</w:t>
      </w:r>
      <w:bookmarkEnd w:id="53"/>
      <w:bookmarkEnd w:id="54"/>
    </w:p>
    <w:p w14:paraId="2B2779F3"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（四）基金财产的保管</w:t>
      </w:r>
      <w:r w:rsidRPr="00F00B77">
        <w:rPr>
          <w:rFonts w:hAnsi="宋体" w:hint="eastAsia"/>
          <w:b/>
          <w:kern w:val="0"/>
          <w:sz w:val="24"/>
        </w:rPr>
        <w:t>和</w:t>
      </w:r>
      <w:r w:rsidRPr="00F00B77">
        <w:rPr>
          <w:rFonts w:hAnsi="宋体"/>
          <w:b/>
          <w:kern w:val="0"/>
          <w:sz w:val="24"/>
        </w:rPr>
        <w:t>处分</w:t>
      </w:r>
      <w:r w:rsidRPr="00F00B77">
        <w:rPr>
          <w:b/>
          <w:kern w:val="0"/>
          <w:sz w:val="24"/>
        </w:rPr>
        <w:t xml:space="preserve"> </w:t>
      </w:r>
    </w:p>
    <w:p w14:paraId="247E1B7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4EFB8C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B90BEBA" w14:textId="77777777" w:rsidR="00084DB4" w:rsidRPr="00F00B77" w:rsidRDefault="00084DB4">
      <w:pPr>
        <w:widowControl/>
        <w:adjustRightInd w:val="0"/>
        <w:snapToGrid w:val="0"/>
        <w:spacing w:line="360" w:lineRule="auto"/>
        <w:rPr>
          <w:rFonts w:ascii="宋体" w:hAnsi="宋体"/>
          <w:kern w:val="0"/>
          <w:sz w:val="24"/>
        </w:rPr>
      </w:pPr>
    </w:p>
    <w:p w14:paraId="0AF1B8E5" w14:textId="77777777" w:rsidR="00084DB4" w:rsidRPr="00F00B77" w:rsidRDefault="00084DB4">
      <w:pPr>
        <w:widowControl/>
        <w:adjustRightInd w:val="0"/>
        <w:snapToGrid w:val="0"/>
        <w:spacing w:line="360" w:lineRule="auto"/>
        <w:rPr>
          <w:rFonts w:ascii="宋体" w:hAnsi="宋体"/>
          <w:kern w:val="0"/>
          <w:sz w:val="24"/>
        </w:rPr>
      </w:pPr>
    </w:p>
    <w:p w14:paraId="764EDC11"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55" w:name="_Toc491431675"/>
      <w:r w:rsidRPr="00F00B77">
        <w:rPr>
          <w:rFonts w:ascii="宋体" w:hAnsi="宋体" w:hint="eastAsia"/>
          <w:b/>
          <w:kern w:val="0"/>
          <w:sz w:val="30"/>
        </w:rPr>
        <w:t>十</w:t>
      </w:r>
      <w:r w:rsidR="00D87150" w:rsidRPr="00F00B77">
        <w:rPr>
          <w:rFonts w:ascii="宋体" w:hAnsi="宋体" w:hint="eastAsia"/>
          <w:b/>
          <w:kern w:val="0"/>
          <w:sz w:val="30"/>
        </w:rPr>
        <w:t>二</w:t>
      </w:r>
      <w:r w:rsidRPr="00F00B77">
        <w:rPr>
          <w:rFonts w:ascii="宋体" w:hAnsi="宋体" w:hint="eastAsia"/>
          <w:b/>
          <w:kern w:val="0"/>
          <w:sz w:val="30"/>
        </w:rPr>
        <w:t>、基金资产的估值</w:t>
      </w:r>
      <w:bookmarkEnd w:id="55"/>
    </w:p>
    <w:p w14:paraId="4A5D5ED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一</w:t>
      </w:r>
      <w:r w:rsidRPr="00F00B77">
        <w:rPr>
          <w:rFonts w:hint="eastAsia"/>
          <w:b/>
          <w:bCs/>
          <w:sz w:val="24"/>
        </w:rPr>
        <w:t>）</w:t>
      </w:r>
      <w:r w:rsidRPr="00F00B77">
        <w:rPr>
          <w:b/>
          <w:bCs/>
          <w:sz w:val="24"/>
        </w:rPr>
        <w:t>估值日</w:t>
      </w:r>
    </w:p>
    <w:p w14:paraId="7B0BBF28" w14:textId="77777777" w:rsidR="00084DB4" w:rsidRPr="00F00B77" w:rsidRDefault="00084DB4">
      <w:pPr>
        <w:adjustRightInd w:val="0"/>
        <w:snapToGrid w:val="0"/>
        <w:spacing w:line="360" w:lineRule="auto"/>
        <w:ind w:firstLineChars="200" w:firstLine="480"/>
        <w:rPr>
          <w:bCs/>
          <w:sz w:val="24"/>
        </w:rPr>
      </w:pPr>
      <w:r w:rsidRPr="00F00B77">
        <w:rPr>
          <w:bCs/>
          <w:sz w:val="24"/>
        </w:rPr>
        <w:t>本基金的估值日为本基金相关的证券交易场所的交易日以及国家法律法规规定需要对外披露</w:t>
      </w:r>
      <w:r w:rsidRPr="00F00B77">
        <w:rPr>
          <w:rFonts w:hint="eastAsia"/>
          <w:bCs/>
          <w:sz w:val="24"/>
        </w:rPr>
        <w:t>各类基金份额的基金资产净值、每万份基金已实现收益和</w:t>
      </w:r>
      <w:r w:rsidRPr="00F00B77">
        <w:rPr>
          <w:rFonts w:hint="eastAsia"/>
          <w:bCs/>
          <w:sz w:val="24"/>
        </w:rPr>
        <w:t>7</w:t>
      </w:r>
      <w:r w:rsidRPr="00F00B77">
        <w:rPr>
          <w:rFonts w:hint="eastAsia"/>
          <w:bCs/>
          <w:sz w:val="24"/>
        </w:rPr>
        <w:t>日年化收益率</w:t>
      </w:r>
      <w:r w:rsidRPr="00F00B77">
        <w:rPr>
          <w:bCs/>
          <w:sz w:val="24"/>
        </w:rPr>
        <w:t>的非交易日。</w:t>
      </w:r>
    </w:p>
    <w:p w14:paraId="0CB16110"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二</w:t>
      </w:r>
      <w:r w:rsidRPr="00F00B77">
        <w:rPr>
          <w:rFonts w:hint="eastAsia"/>
          <w:b/>
          <w:bCs/>
          <w:sz w:val="24"/>
        </w:rPr>
        <w:t>）</w:t>
      </w:r>
      <w:r w:rsidRPr="00F00B77">
        <w:rPr>
          <w:b/>
          <w:bCs/>
          <w:sz w:val="24"/>
        </w:rPr>
        <w:t>估值对象</w:t>
      </w:r>
    </w:p>
    <w:p w14:paraId="0BE55C49" w14:textId="77777777" w:rsidR="00084DB4" w:rsidRPr="00F00B77" w:rsidRDefault="00084DB4">
      <w:pPr>
        <w:adjustRightInd w:val="0"/>
        <w:snapToGrid w:val="0"/>
        <w:spacing w:line="360" w:lineRule="auto"/>
        <w:ind w:firstLineChars="200" w:firstLine="480"/>
        <w:rPr>
          <w:bCs/>
          <w:sz w:val="24"/>
        </w:rPr>
      </w:pPr>
      <w:r w:rsidRPr="00F00B77">
        <w:rPr>
          <w:bCs/>
          <w:sz w:val="24"/>
        </w:rPr>
        <w:t>基金所拥有的各类证券</w:t>
      </w:r>
      <w:r w:rsidRPr="00F00B77">
        <w:rPr>
          <w:rFonts w:hint="eastAsia"/>
          <w:bCs/>
          <w:sz w:val="24"/>
        </w:rPr>
        <w:t>、</w:t>
      </w:r>
      <w:r w:rsidRPr="00F00B77">
        <w:rPr>
          <w:bCs/>
          <w:sz w:val="24"/>
        </w:rPr>
        <w:t>票据和银行存款本息、应收款项、其它投资等资产及负债。</w:t>
      </w:r>
    </w:p>
    <w:p w14:paraId="79121C35"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三</w:t>
      </w:r>
      <w:r w:rsidRPr="00F00B77">
        <w:rPr>
          <w:rFonts w:hint="eastAsia"/>
          <w:b/>
          <w:bCs/>
          <w:sz w:val="24"/>
        </w:rPr>
        <w:t>）</w:t>
      </w:r>
      <w:r w:rsidRPr="00F00B77">
        <w:rPr>
          <w:b/>
          <w:bCs/>
          <w:sz w:val="24"/>
        </w:rPr>
        <w:t>估值方法</w:t>
      </w:r>
    </w:p>
    <w:p w14:paraId="46D1063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、本基金估值采用“摊余成本法”，即</w:t>
      </w:r>
      <w:r w:rsidR="00981CD0" w:rsidRPr="00F00B77">
        <w:rPr>
          <w:rFonts w:hint="eastAsia"/>
          <w:bCs/>
          <w:sz w:val="24"/>
        </w:rPr>
        <w:t>计价</w:t>
      </w:r>
      <w:r w:rsidRPr="00F00B77">
        <w:rPr>
          <w:rFonts w:hint="eastAsia"/>
          <w:bCs/>
          <w:sz w:val="24"/>
        </w:rPr>
        <w:t>对象以买入成本列示，按照票面利率或协议利率并考虑其买入时的溢价与折价，在剩余存续期内按照实际利率</w:t>
      </w:r>
      <w:r w:rsidR="00981CD0" w:rsidRPr="00F00B77">
        <w:rPr>
          <w:rFonts w:hint="eastAsia"/>
          <w:bCs/>
          <w:sz w:val="24"/>
        </w:rPr>
        <w:t>法</w:t>
      </w:r>
      <w:r w:rsidRPr="00F00B77">
        <w:rPr>
          <w:rFonts w:hint="eastAsia"/>
          <w:bCs/>
          <w:sz w:val="24"/>
        </w:rPr>
        <w:t>摊销，每日计提损益。本基金不采用市场利率和上市交易的债券和票据的市价计算基金资产净值。</w:t>
      </w:r>
    </w:p>
    <w:p w14:paraId="5BE8CB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CCDB48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F00B77">
        <w:rPr>
          <w:rFonts w:hint="eastAsia"/>
          <w:bCs/>
          <w:sz w:val="24"/>
        </w:rPr>
        <w:t>0.25%</w:t>
      </w:r>
      <w:r w:rsidRPr="00F00B77">
        <w:rPr>
          <w:rFonts w:hint="eastAsia"/>
          <w:bCs/>
          <w:sz w:val="24"/>
        </w:rPr>
        <w:t>时，基金管理人应当在</w:t>
      </w:r>
      <w:r w:rsidRPr="00F00B77">
        <w:rPr>
          <w:rFonts w:hint="eastAsia"/>
          <w:bCs/>
          <w:sz w:val="24"/>
        </w:rPr>
        <w:t>5</w:t>
      </w:r>
      <w:r w:rsidRPr="00F00B77">
        <w:rPr>
          <w:rFonts w:hint="eastAsia"/>
          <w:bCs/>
          <w:sz w:val="24"/>
        </w:rPr>
        <w:t>个交易日内将负偏离度绝对值调整到</w:t>
      </w:r>
      <w:r w:rsidRPr="00F00B77">
        <w:rPr>
          <w:rFonts w:hint="eastAsia"/>
          <w:bCs/>
          <w:sz w:val="24"/>
        </w:rPr>
        <w:t>0.25%</w:t>
      </w:r>
      <w:r w:rsidRPr="00F00B77">
        <w:rPr>
          <w:rFonts w:hint="eastAsia"/>
          <w:bCs/>
          <w:sz w:val="24"/>
        </w:rPr>
        <w:t>以内。当正偏离度绝对值达到</w:t>
      </w:r>
      <w:r w:rsidRPr="00F00B77">
        <w:rPr>
          <w:rFonts w:hint="eastAsia"/>
          <w:bCs/>
          <w:sz w:val="24"/>
        </w:rPr>
        <w:t>0.5%</w:t>
      </w:r>
      <w:r w:rsidRPr="00F00B77">
        <w:rPr>
          <w:rFonts w:hint="eastAsia"/>
          <w:bCs/>
          <w:sz w:val="24"/>
        </w:rPr>
        <w:t>时，基金管理人应当暂停接受申购并在</w:t>
      </w:r>
      <w:r w:rsidRPr="00F00B77">
        <w:rPr>
          <w:rFonts w:hint="eastAsia"/>
          <w:bCs/>
          <w:sz w:val="24"/>
        </w:rPr>
        <w:t>5</w:t>
      </w:r>
      <w:r w:rsidRPr="00F00B77">
        <w:rPr>
          <w:rFonts w:hint="eastAsia"/>
          <w:bCs/>
          <w:sz w:val="24"/>
        </w:rPr>
        <w:t>个交易日内将正偏离度绝对值调整到</w:t>
      </w:r>
      <w:r w:rsidRPr="00F00B77">
        <w:rPr>
          <w:rFonts w:hint="eastAsia"/>
          <w:bCs/>
          <w:sz w:val="24"/>
        </w:rPr>
        <w:t>0.5%</w:t>
      </w:r>
      <w:r w:rsidRPr="00F00B77">
        <w:rPr>
          <w:rFonts w:hint="eastAsia"/>
          <w:bCs/>
          <w:sz w:val="24"/>
        </w:rPr>
        <w:t>以内。当负偏离度绝对值达到</w:t>
      </w:r>
      <w:r w:rsidRPr="00F00B77">
        <w:rPr>
          <w:rFonts w:hint="eastAsia"/>
          <w:bCs/>
          <w:sz w:val="24"/>
        </w:rPr>
        <w:t>0.5%</w:t>
      </w:r>
      <w:r w:rsidRPr="00F00B77">
        <w:rPr>
          <w:rFonts w:hint="eastAsia"/>
          <w:bCs/>
          <w:sz w:val="24"/>
        </w:rPr>
        <w:t>时，基金管理人应当使用风险准备金或者固有资金弥补潜在资产损失，将负偏离度绝对值控制在</w:t>
      </w:r>
      <w:r w:rsidRPr="00F00B77">
        <w:rPr>
          <w:rFonts w:hint="eastAsia"/>
          <w:bCs/>
          <w:sz w:val="24"/>
        </w:rPr>
        <w:t>0.5%</w:t>
      </w:r>
      <w:r w:rsidRPr="00F00B77">
        <w:rPr>
          <w:rFonts w:hint="eastAsia"/>
          <w:bCs/>
          <w:sz w:val="24"/>
        </w:rPr>
        <w:t>以内。当负偏离度绝对值连续两个交易日超过</w:t>
      </w:r>
      <w:r w:rsidRPr="00F00B77">
        <w:rPr>
          <w:rFonts w:hint="eastAsia"/>
          <w:bCs/>
          <w:sz w:val="24"/>
        </w:rPr>
        <w:t>0.5%</w:t>
      </w:r>
      <w:r w:rsidRPr="00F00B77">
        <w:rPr>
          <w:rFonts w:hint="eastAsia"/>
          <w:bCs/>
          <w:sz w:val="24"/>
        </w:rPr>
        <w:t>时，基金管理人应当采用公允价值估值方法对持有投资组合的账面价值进行调整，或者采取暂停接受所有赎回申请并终止基金合同进行财产清算等措施。</w:t>
      </w:r>
    </w:p>
    <w:p w14:paraId="4A9281E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bCs/>
          <w:sz w:val="24"/>
        </w:rPr>
        <w:t>、如有确凿证据表明按上述方法进行估值不能客观反映其公允价值的，基金管理人可根据具体情况与基金托管人商定后，按最能反映公允价值的价格估值。</w:t>
      </w:r>
    </w:p>
    <w:p w14:paraId="718EF20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bCs/>
          <w:sz w:val="24"/>
        </w:rPr>
        <w:t>、相关法律法规以及监管部门有强制规定的，从其规定。如有新增事项，按</w:t>
      </w:r>
      <w:r w:rsidRPr="00F00B77">
        <w:rPr>
          <w:rFonts w:hint="eastAsia"/>
          <w:bCs/>
          <w:sz w:val="24"/>
        </w:rPr>
        <w:t>法律法规以及监管部门</w:t>
      </w:r>
      <w:r w:rsidRPr="00F00B77">
        <w:rPr>
          <w:bCs/>
          <w:sz w:val="24"/>
        </w:rPr>
        <w:t>最新规定估值。</w:t>
      </w:r>
    </w:p>
    <w:p w14:paraId="13E7F8B2" w14:textId="77777777" w:rsidR="00084DB4" w:rsidRPr="00F00B77" w:rsidRDefault="00084DB4">
      <w:pPr>
        <w:adjustRightInd w:val="0"/>
        <w:snapToGrid w:val="0"/>
        <w:spacing w:line="360" w:lineRule="auto"/>
        <w:ind w:firstLineChars="200" w:firstLine="480"/>
        <w:rPr>
          <w:rStyle w:val="read"/>
          <w:bCs/>
          <w:sz w:val="24"/>
        </w:rPr>
      </w:pPr>
      <w:r w:rsidRPr="00F00B7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3C8BC5" w14:textId="77777777" w:rsidR="00084DB4" w:rsidRPr="00F00B77" w:rsidRDefault="00084DB4">
      <w:pPr>
        <w:adjustRightInd w:val="0"/>
        <w:snapToGrid w:val="0"/>
        <w:spacing w:line="360" w:lineRule="auto"/>
        <w:ind w:firstLineChars="200" w:firstLine="480"/>
        <w:rPr>
          <w:bCs/>
          <w:sz w:val="24"/>
        </w:rPr>
      </w:pPr>
      <w:r w:rsidRPr="00F00B7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CAECDE"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四</w:t>
      </w:r>
      <w:r w:rsidRPr="00F00B77">
        <w:rPr>
          <w:rFonts w:hint="eastAsia"/>
          <w:b/>
          <w:bCs/>
          <w:sz w:val="24"/>
        </w:rPr>
        <w:t>）</w:t>
      </w:r>
      <w:r w:rsidRPr="00F00B77">
        <w:rPr>
          <w:b/>
          <w:bCs/>
          <w:sz w:val="24"/>
        </w:rPr>
        <w:t>估值程序</w:t>
      </w:r>
    </w:p>
    <w:p w14:paraId="09EDD47F"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w:t>
      </w:r>
      <w:r w:rsidRPr="00F00B77">
        <w:rPr>
          <w:rFonts w:hint="eastAsia"/>
          <w:bCs/>
          <w:sz w:val="24"/>
        </w:rPr>
        <w:t>每万份基金已实现收益是按照相关法规计算的每万份基金份额的日已实现收益，精确到小数点后第</w:t>
      </w:r>
      <w:r w:rsidRPr="00F00B77">
        <w:rPr>
          <w:rFonts w:hint="eastAsia"/>
          <w:bCs/>
          <w:sz w:val="24"/>
        </w:rPr>
        <w:t>4</w:t>
      </w:r>
      <w:r w:rsidRPr="00F00B77">
        <w:rPr>
          <w:rFonts w:hint="eastAsia"/>
          <w:bCs/>
          <w:sz w:val="24"/>
        </w:rPr>
        <w:t>位，小数点后第</w:t>
      </w:r>
      <w:r w:rsidRPr="00F00B77">
        <w:rPr>
          <w:rFonts w:hint="eastAsia"/>
          <w:bCs/>
          <w:sz w:val="24"/>
        </w:rPr>
        <w:t>5</w:t>
      </w:r>
      <w:r w:rsidRPr="00F00B77">
        <w:rPr>
          <w:rFonts w:hint="eastAsia"/>
          <w:bCs/>
          <w:sz w:val="24"/>
        </w:rPr>
        <w:t>位四舍五入。本基金的收益分配是按日结转份额的，</w:t>
      </w:r>
      <w:r w:rsidRPr="00F00B77">
        <w:rPr>
          <w:bCs/>
          <w:sz w:val="24"/>
        </w:rPr>
        <w:t>7</w:t>
      </w:r>
      <w:r w:rsidRPr="00F00B77">
        <w:rPr>
          <w:rFonts w:hint="eastAsia"/>
          <w:bCs/>
          <w:sz w:val="24"/>
        </w:rPr>
        <w:t>日年化收益率是以最近</w:t>
      </w:r>
      <w:r w:rsidRPr="00F00B77">
        <w:rPr>
          <w:rFonts w:hint="eastAsia"/>
          <w:bCs/>
          <w:sz w:val="24"/>
        </w:rPr>
        <w:t>7</w:t>
      </w:r>
      <w:r w:rsidRPr="00F00B77">
        <w:rPr>
          <w:rFonts w:hint="eastAsia"/>
          <w:bCs/>
          <w:sz w:val="24"/>
        </w:rPr>
        <w:t>日</w:t>
      </w:r>
      <w:r w:rsidRPr="00F00B77">
        <w:rPr>
          <w:rFonts w:hint="eastAsia"/>
          <w:bCs/>
          <w:sz w:val="24"/>
        </w:rPr>
        <w:t>(</w:t>
      </w:r>
      <w:r w:rsidRPr="00F00B77">
        <w:rPr>
          <w:rFonts w:hint="eastAsia"/>
          <w:bCs/>
          <w:sz w:val="24"/>
        </w:rPr>
        <w:t>含节假日</w:t>
      </w:r>
      <w:r w:rsidRPr="00F00B77">
        <w:rPr>
          <w:rFonts w:hint="eastAsia"/>
          <w:bCs/>
          <w:sz w:val="24"/>
        </w:rPr>
        <w:t xml:space="preserve">) </w:t>
      </w:r>
      <w:r w:rsidRPr="00F00B77">
        <w:rPr>
          <w:rFonts w:hint="eastAsia"/>
          <w:bCs/>
          <w:sz w:val="24"/>
        </w:rPr>
        <w:t>每万份基金已实现收益所折算的年资产收益率，精确到</w:t>
      </w:r>
      <w:r w:rsidRPr="00F00B77">
        <w:rPr>
          <w:rFonts w:hint="eastAsia"/>
          <w:bCs/>
          <w:sz w:val="24"/>
        </w:rPr>
        <w:t>0.001</w:t>
      </w:r>
      <w:r w:rsidRPr="00F00B77">
        <w:rPr>
          <w:bCs/>
          <w:sz w:val="24"/>
        </w:rPr>
        <w:t>%</w:t>
      </w:r>
      <w:r w:rsidRPr="00F00B77">
        <w:rPr>
          <w:rFonts w:hint="eastAsia"/>
          <w:bCs/>
          <w:sz w:val="24"/>
        </w:rPr>
        <w:t>，百分号内小数点后第</w:t>
      </w:r>
      <w:r w:rsidRPr="00F00B77">
        <w:rPr>
          <w:rFonts w:hint="eastAsia"/>
          <w:bCs/>
          <w:sz w:val="24"/>
        </w:rPr>
        <w:t>4</w:t>
      </w:r>
      <w:r w:rsidRPr="00F00B77">
        <w:rPr>
          <w:rFonts w:hint="eastAsia"/>
          <w:bCs/>
          <w:sz w:val="24"/>
        </w:rPr>
        <w:t>位四舍五入。国家另有规定的，从其规定。</w:t>
      </w:r>
    </w:p>
    <w:p w14:paraId="03FDC96F"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、基金管理人应每个工作日对基金资产估值。但基金管理人根据法律法规或本基金合同的规定暂停估值时除外。基金管理人每个工作日对基金资产估值后，将</w:t>
      </w:r>
      <w:r w:rsidRPr="00F00B77">
        <w:rPr>
          <w:rFonts w:hint="eastAsia"/>
          <w:bCs/>
          <w:sz w:val="24"/>
        </w:rPr>
        <w:t>各类基金份额的</w:t>
      </w:r>
      <w:r w:rsidRPr="00F00B77">
        <w:rPr>
          <w:bCs/>
          <w:sz w:val="24"/>
        </w:rPr>
        <w:t>基金</w:t>
      </w:r>
      <w:r w:rsidRPr="00F00B77">
        <w:rPr>
          <w:rFonts w:hint="eastAsia"/>
          <w:bCs/>
          <w:sz w:val="24"/>
        </w:rPr>
        <w:t>资产净值、每万份基金已实现收益和</w:t>
      </w:r>
      <w:r w:rsidRPr="00F00B77">
        <w:rPr>
          <w:rFonts w:hint="eastAsia"/>
          <w:bCs/>
          <w:sz w:val="24"/>
        </w:rPr>
        <w:t>7</w:t>
      </w:r>
      <w:r w:rsidRPr="00F00B77">
        <w:rPr>
          <w:rFonts w:hint="eastAsia"/>
          <w:bCs/>
          <w:sz w:val="24"/>
        </w:rPr>
        <w:t>日年化收益率结果</w:t>
      </w:r>
      <w:r w:rsidRPr="00F00B77">
        <w:rPr>
          <w:bCs/>
          <w:sz w:val="24"/>
        </w:rPr>
        <w:t>发送基金托管人，经基金托管人复核无误后，由基金管理人</w:t>
      </w:r>
      <w:r w:rsidRPr="00F00B77">
        <w:rPr>
          <w:rFonts w:hint="eastAsia"/>
          <w:bCs/>
          <w:sz w:val="24"/>
        </w:rPr>
        <w:t>依据基金合同和相关法律法规的规定</w:t>
      </w:r>
      <w:r w:rsidRPr="00F00B77">
        <w:rPr>
          <w:bCs/>
          <w:sz w:val="24"/>
        </w:rPr>
        <w:t>对外公布。</w:t>
      </w:r>
    </w:p>
    <w:p w14:paraId="3A254AC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五</w:t>
      </w:r>
      <w:r w:rsidRPr="00F00B77">
        <w:rPr>
          <w:rFonts w:hint="eastAsia"/>
          <w:b/>
          <w:bCs/>
          <w:sz w:val="24"/>
        </w:rPr>
        <w:t>）</w:t>
      </w:r>
      <w:r w:rsidRPr="00F00B77">
        <w:rPr>
          <w:b/>
          <w:bCs/>
          <w:sz w:val="24"/>
        </w:rPr>
        <w:t>估值错误的处理</w:t>
      </w:r>
    </w:p>
    <w:p w14:paraId="43B217D2" w14:textId="77777777" w:rsidR="00084DB4" w:rsidRPr="00F00B77" w:rsidRDefault="00084DB4">
      <w:pPr>
        <w:adjustRightInd w:val="0"/>
        <w:snapToGrid w:val="0"/>
        <w:spacing w:line="360" w:lineRule="auto"/>
        <w:ind w:firstLineChars="200" w:firstLine="480"/>
        <w:rPr>
          <w:bCs/>
          <w:sz w:val="24"/>
        </w:rPr>
      </w:pPr>
      <w:r w:rsidRPr="00F00B77">
        <w:rPr>
          <w:bCs/>
          <w:sz w:val="24"/>
        </w:rPr>
        <w:t>基金管理人和基金托管人将采取必要、适当、合理的措施确保基金资产估值的准确性、及时性。当基金资产的计价导致每万份基金已实现收益小数点后</w:t>
      </w:r>
      <w:r w:rsidRPr="00F00B77">
        <w:rPr>
          <w:rFonts w:hint="eastAsia"/>
          <w:bCs/>
          <w:sz w:val="24"/>
        </w:rPr>
        <w:t>4</w:t>
      </w:r>
      <w:r w:rsidRPr="00F00B77">
        <w:rPr>
          <w:bCs/>
          <w:sz w:val="24"/>
        </w:rPr>
        <w:t>位以内发生差错时，视为估值错误。</w:t>
      </w:r>
    </w:p>
    <w:p w14:paraId="2248AC3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59041E36" w14:textId="77777777" w:rsidR="00084DB4" w:rsidRPr="00F00B77" w:rsidRDefault="00084DB4">
      <w:pPr>
        <w:adjustRightInd w:val="0"/>
        <w:snapToGrid w:val="0"/>
        <w:spacing w:line="360" w:lineRule="auto"/>
        <w:ind w:firstLineChars="200" w:firstLine="480"/>
        <w:rPr>
          <w:bCs/>
          <w:sz w:val="24"/>
        </w:rPr>
      </w:pPr>
      <w:r w:rsidRPr="00F00B77">
        <w:rPr>
          <w:bCs/>
          <w:sz w:val="24"/>
        </w:rPr>
        <w:t>本基金合同的当事人应按照以下约定处理：</w:t>
      </w:r>
    </w:p>
    <w:p w14:paraId="0E07E219"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、估值错误类型</w:t>
      </w:r>
    </w:p>
    <w:p w14:paraId="5F79A2CF" w14:textId="77777777" w:rsidR="00084DB4" w:rsidRPr="00F00B77" w:rsidRDefault="00084DB4">
      <w:pPr>
        <w:adjustRightInd w:val="0"/>
        <w:snapToGrid w:val="0"/>
        <w:spacing w:line="360" w:lineRule="auto"/>
        <w:ind w:firstLineChars="200" w:firstLine="480"/>
        <w:rPr>
          <w:bCs/>
          <w:sz w:val="24"/>
        </w:rPr>
      </w:pPr>
      <w:r w:rsidRPr="00F00B77">
        <w:rPr>
          <w:bCs/>
          <w:sz w:val="24"/>
        </w:rPr>
        <w:t>本基金运作过程中，如果由于基金管理人或基金托管人、或登记机构、或销售机构、或投资人自身的过错造成估值错误，导致其他当事人遭受损失的，过错的责任人应当对由于</w:t>
      </w:r>
      <w:r w:rsidRPr="00F00B77">
        <w:rPr>
          <w:rFonts w:ascii="宋体" w:hAnsi="宋体"/>
          <w:bCs/>
          <w:sz w:val="24"/>
        </w:rPr>
        <w:t>该估值错误遭受损失当事人(“受损方”)的直接损失按下述“估值错误处理原则”给予</w:t>
      </w:r>
      <w:r w:rsidRPr="00F00B77">
        <w:rPr>
          <w:bCs/>
          <w:sz w:val="24"/>
        </w:rPr>
        <w:t>赔偿，承担赔偿责任。</w:t>
      </w:r>
    </w:p>
    <w:p w14:paraId="5867D536" w14:textId="77777777" w:rsidR="00084DB4" w:rsidRPr="00F00B77" w:rsidRDefault="00084DB4">
      <w:pPr>
        <w:adjustRightInd w:val="0"/>
        <w:snapToGrid w:val="0"/>
        <w:spacing w:line="360" w:lineRule="auto"/>
        <w:ind w:firstLineChars="200" w:firstLine="480"/>
        <w:rPr>
          <w:bCs/>
          <w:sz w:val="24"/>
        </w:rPr>
      </w:pPr>
      <w:r w:rsidRPr="00F00B77">
        <w:rPr>
          <w:bCs/>
          <w:sz w:val="24"/>
        </w:rPr>
        <w:t>上述估值错误的主要类型包括但不限于：资料申报差错、数据传输差错、数据计算差错、系统故障差错、下达指令差错等。</w:t>
      </w:r>
    </w:p>
    <w:p w14:paraId="226B55A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对于因技术原因引起的差错，若系同行业现有技术水平无法预见、无法避免、无法抗拒，则属不可抗力，按照下述规定执行。</w:t>
      </w:r>
    </w:p>
    <w:p w14:paraId="0AC2BE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C177509"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、估值错误处理原则</w:t>
      </w:r>
    </w:p>
    <w:p w14:paraId="5AF1B89A"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643E02A"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）估值错误的责任方对有关当事人的直接损失负责，不对间接损失负责，并且仅对估值错误的有关直接当事人负责，不对第三方负责。</w:t>
      </w:r>
    </w:p>
    <w:p w14:paraId="74FB542A"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00B77">
        <w:rPr>
          <w:bCs/>
          <w:sz w:val="24"/>
        </w:rPr>
        <w:t>(“</w:t>
      </w:r>
      <w:r w:rsidRPr="00F00B77">
        <w:rPr>
          <w:bCs/>
          <w:sz w:val="24"/>
        </w:rPr>
        <w:t>受损方</w:t>
      </w:r>
      <w:r w:rsidRPr="00F00B77">
        <w:rPr>
          <w:bCs/>
          <w:sz w:val="24"/>
        </w:rPr>
        <w:t>”)</w:t>
      </w:r>
      <w:r w:rsidRPr="00F00B7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8D8D63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4</w:t>
      </w:r>
      <w:r w:rsidRPr="00F00B77">
        <w:rPr>
          <w:bCs/>
          <w:sz w:val="24"/>
        </w:rPr>
        <w:t>）估值错误调整采用尽量恢复至假设未发生估值错误的正确情形的方式。</w:t>
      </w:r>
    </w:p>
    <w:p w14:paraId="619E67F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）按法律法规规定的其他原则处理</w:t>
      </w:r>
      <w:r w:rsidRPr="00F00B77">
        <w:rPr>
          <w:bCs/>
          <w:sz w:val="24"/>
        </w:rPr>
        <w:t>估值错误</w:t>
      </w:r>
      <w:r w:rsidRPr="00F00B77">
        <w:rPr>
          <w:rFonts w:hint="eastAsia"/>
          <w:bCs/>
          <w:sz w:val="24"/>
        </w:rPr>
        <w:t>。</w:t>
      </w:r>
    </w:p>
    <w:p w14:paraId="1507A88E"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、估值错误处理程序</w:t>
      </w:r>
    </w:p>
    <w:p w14:paraId="61DA150B" w14:textId="77777777" w:rsidR="00084DB4" w:rsidRPr="00F00B77" w:rsidRDefault="00084DB4">
      <w:pPr>
        <w:adjustRightInd w:val="0"/>
        <w:snapToGrid w:val="0"/>
        <w:spacing w:line="360" w:lineRule="auto"/>
        <w:ind w:firstLineChars="200" w:firstLine="480"/>
        <w:rPr>
          <w:bCs/>
          <w:sz w:val="24"/>
        </w:rPr>
      </w:pPr>
      <w:r w:rsidRPr="00F00B77">
        <w:rPr>
          <w:bCs/>
          <w:sz w:val="24"/>
        </w:rPr>
        <w:t>估值错误被发现后，有关的当事人应当及时进行处理，处理的程序如下：</w:t>
      </w:r>
    </w:p>
    <w:p w14:paraId="06662F7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）查明估值错误发生的原因，列明所有的当事人，并根据估值错误发生的原因确定估值错误的责任方；</w:t>
      </w:r>
    </w:p>
    <w:p w14:paraId="19370A3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）根据估值错误处理原则或当事人协商的方法对因估值错误造成的损失进行评估；</w:t>
      </w:r>
    </w:p>
    <w:p w14:paraId="6F8EFB9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）根据估值错误处理原则或当事人协商的方法由估值错误的责任方进行更正和赔偿损失；</w:t>
      </w:r>
    </w:p>
    <w:p w14:paraId="5B562751"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4</w:t>
      </w:r>
      <w:r w:rsidRPr="00F00B77">
        <w:rPr>
          <w:bCs/>
          <w:sz w:val="24"/>
        </w:rPr>
        <w:t>）根据估值错误处理的方法，需要修改基金登记机构交易数据的，由基金登记机构进行更正，并就估值错误的更正向有关当事人进行确认。</w:t>
      </w:r>
    </w:p>
    <w:p w14:paraId="132F4471"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、基金估值错误处理的方法如下：</w:t>
      </w:r>
    </w:p>
    <w:p w14:paraId="176159C0"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）基金</w:t>
      </w:r>
      <w:r w:rsidRPr="00F00B77">
        <w:rPr>
          <w:rFonts w:hint="eastAsia"/>
          <w:bCs/>
          <w:sz w:val="24"/>
        </w:rPr>
        <w:t>估值</w:t>
      </w:r>
      <w:r w:rsidRPr="00F00B77">
        <w:rPr>
          <w:bCs/>
          <w:sz w:val="24"/>
        </w:rPr>
        <w:t>出现错误时，基金管理人应当立即予以纠正，通报基金托管人，并采取合理的措施防止损失进一步扩大。</w:t>
      </w:r>
    </w:p>
    <w:p w14:paraId="0CBCE528"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）错误偏差达到基金</w:t>
      </w:r>
      <w:r w:rsidRPr="00F00B77">
        <w:rPr>
          <w:rFonts w:hint="eastAsia"/>
          <w:bCs/>
          <w:sz w:val="24"/>
        </w:rPr>
        <w:t>资产</w:t>
      </w:r>
      <w:r w:rsidRPr="00F00B77">
        <w:rPr>
          <w:bCs/>
          <w:sz w:val="24"/>
        </w:rPr>
        <w:t>净值的</w:t>
      </w:r>
      <w:r w:rsidRPr="00F00B77">
        <w:rPr>
          <w:bCs/>
          <w:sz w:val="24"/>
        </w:rPr>
        <w:t>0.25%</w:t>
      </w:r>
      <w:r w:rsidRPr="00F00B77">
        <w:rPr>
          <w:bCs/>
          <w:sz w:val="24"/>
        </w:rPr>
        <w:t>时，基金管理人应当通报基金托管人并报中国证监会备案；错误偏差达到基金</w:t>
      </w:r>
      <w:r w:rsidRPr="00F00B77">
        <w:rPr>
          <w:rFonts w:hint="eastAsia"/>
          <w:bCs/>
          <w:sz w:val="24"/>
        </w:rPr>
        <w:t>资产</w:t>
      </w:r>
      <w:r w:rsidRPr="00F00B77">
        <w:rPr>
          <w:bCs/>
          <w:sz w:val="24"/>
        </w:rPr>
        <w:t>净值的</w:t>
      </w:r>
      <w:r w:rsidRPr="00F00B77">
        <w:rPr>
          <w:bCs/>
          <w:sz w:val="24"/>
        </w:rPr>
        <w:t>0.5%</w:t>
      </w:r>
      <w:r w:rsidRPr="00F00B77">
        <w:rPr>
          <w:bCs/>
          <w:sz w:val="24"/>
        </w:rPr>
        <w:t>时，基金管理人应当公告。</w:t>
      </w:r>
    </w:p>
    <w:p w14:paraId="45AFF12B"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）前述内容如法律法规或监管机关另有规定的，从其规定处理。</w:t>
      </w:r>
    </w:p>
    <w:p w14:paraId="09C3DCF6"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六</w:t>
      </w:r>
      <w:r w:rsidRPr="00F00B77">
        <w:rPr>
          <w:rFonts w:hint="eastAsia"/>
          <w:b/>
          <w:bCs/>
          <w:sz w:val="24"/>
        </w:rPr>
        <w:t>）</w:t>
      </w:r>
      <w:r w:rsidRPr="00F00B77">
        <w:rPr>
          <w:b/>
          <w:bCs/>
          <w:sz w:val="24"/>
        </w:rPr>
        <w:t>暂停估值的情形</w:t>
      </w:r>
    </w:p>
    <w:p w14:paraId="3A0070C8"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、基金投资所涉及的证券交易市场遇法定节假日或因其他原因暂停营业时；</w:t>
      </w:r>
    </w:p>
    <w:p w14:paraId="3DF370F6"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、因不可抗力</w:t>
      </w:r>
      <w:r w:rsidRPr="00F00B77">
        <w:rPr>
          <w:rFonts w:hint="eastAsia"/>
          <w:bCs/>
          <w:sz w:val="24"/>
        </w:rPr>
        <w:t>或</w:t>
      </w:r>
      <w:r w:rsidRPr="00F00B77">
        <w:rPr>
          <w:bCs/>
          <w:sz w:val="24"/>
        </w:rPr>
        <w:t>其他特殊情形致使基金管理人、基金托管人无法准确评估基金资产价值时；</w:t>
      </w:r>
    </w:p>
    <w:p w14:paraId="3F417212" w14:textId="77777777" w:rsidR="00084DB4" w:rsidRPr="00F00B77" w:rsidRDefault="00084DB4" w:rsidP="00981CD0">
      <w:pPr>
        <w:adjustRightInd w:val="0"/>
        <w:snapToGrid w:val="0"/>
        <w:spacing w:line="360" w:lineRule="auto"/>
        <w:ind w:firstLineChars="200" w:firstLine="480"/>
        <w:rPr>
          <w:bCs/>
          <w:sz w:val="24"/>
        </w:rPr>
      </w:pPr>
      <w:r w:rsidRPr="00F00B77">
        <w:rPr>
          <w:bCs/>
          <w:sz w:val="24"/>
        </w:rPr>
        <w:t>3</w:t>
      </w:r>
      <w:r w:rsidRPr="00F00B77">
        <w:rPr>
          <w:bCs/>
          <w:sz w:val="24"/>
        </w:rPr>
        <w:t>、中国证监会和基金合同认定的其它情形。</w:t>
      </w:r>
    </w:p>
    <w:p w14:paraId="4CC1FB2C"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七</w:t>
      </w:r>
      <w:r w:rsidRPr="00F00B77">
        <w:rPr>
          <w:rFonts w:hint="eastAsia"/>
          <w:b/>
          <w:bCs/>
          <w:sz w:val="24"/>
        </w:rPr>
        <w:t>）</w:t>
      </w:r>
      <w:r w:rsidRPr="00F00B77">
        <w:rPr>
          <w:b/>
          <w:bCs/>
          <w:sz w:val="24"/>
        </w:rPr>
        <w:t>基金净值的确认</w:t>
      </w:r>
    </w:p>
    <w:p w14:paraId="48CDB0A2" w14:textId="77777777" w:rsidR="00084DB4" w:rsidRPr="00F00B77" w:rsidRDefault="00084DB4">
      <w:pPr>
        <w:adjustRightInd w:val="0"/>
        <w:snapToGrid w:val="0"/>
        <w:spacing w:line="360" w:lineRule="auto"/>
        <w:ind w:firstLineChars="200" w:firstLine="480"/>
        <w:rPr>
          <w:bCs/>
          <w:sz w:val="24"/>
        </w:rPr>
      </w:pPr>
      <w:r w:rsidRPr="00F00B77">
        <w:rPr>
          <w:sz w:val="24"/>
        </w:rPr>
        <w:t>用于基金信息披露的各类基金份额的基金资产净值、每万份基金已实现收益和</w:t>
      </w:r>
      <w:r w:rsidRPr="00F00B77">
        <w:rPr>
          <w:rFonts w:hint="eastAsia"/>
          <w:sz w:val="24"/>
        </w:rPr>
        <w:t>7</w:t>
      </w:r>
      <w:r w:rsidRPr="00F00B77">
        <w:rPr>
          <w:sz w:val="24"/>
        </w:rPr>
        <w:t>日年化收益率由基金管理人负责计算，基金托管人负责进行复核。基金管理人应于每个开放日交易结束后计算当日的各类基金份额的基金资产净值、每万份基金已实现收益和</w:t>
      </w:r>
      <w:r w:rsidRPr="00F00B77">
        <w:rPr>
          <w:rFonts w:hint="eastAsia"/>
          <w:sz w:val="24"/>
        </w:rPr>
        <w:t>7</w:t>
      </w:r>
      <w:r w:rsidRPr="00F00B77">
        <w:rPr>
          <w:sz w:val="24"/>
        </w:rPr>
        <w:t>日年化收益率并发送给基金托管人。基金托管人复核确认后发送给基金管理人，由基金管理人予以公布。</w:t>
      </w:r>
    </w:p>
    <w:p w14:paraId="15FE150A" w14:textId="77777777" w:rsidR="00084DB4" w:rsidRPr="00F00B77" w:rsidRDefault="00084DB4">
      <w:pPr>
        <w:adjustRightInd w:val="0"/>
        <w:snapToGrid w:val="0"/>
        <w:spacing w:line="360" w:lineRule="auto"/>
        <w:ind w:firstLineChars="200" w:firstLine="482"/>
        <w:rPr>
          <w:b/>
          <w:sz w:val="24"/>
        </w:rPr>
      </w:pPr>
      <w:r w:rsidRPr="00F00B77">
        <w:rPr>
          <w:rFonts w:hAnsi="宋体" w:hint="eastAsia"/>
          <w:b/>
          <w:sz w:val="24"/>
        </w:rPr>
        <w:t>（</w:t>
      </w:r>
      <w:r w:rsidRPr="00F00B77">
        <w:rPr>
          <w:rFonts w:hAnsi="宋体"/>
          <w:b/>
          <w:sz w:val="24"/>
        </w:rPr>
        <w:t>八</w:t>
      </w:r>
      <w:r w:rsidRPr="00F00B77">
        <w:rPr>
          <w:rFonts w:hAnsi="宋体" w:hint="eastAsia"/>
          <w:b/>
          <w:sz w:val="24"/>
        </w:rPr>
        <w:t>）</w:t>
      </w:r>
      <w:r w:rsidRPr="00F00B77">
        <w:rPr>
          <w:rFonts w:hAnsi="宋体"/>
          <w:b/>
          <w:sz w:val="24"/>
        </w:rPr>
        <w:t>特殊情形的处理</w:t>
      </w:r>
    </w:p>
    <w:p w14:paraId="4F79E079"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、基金管理人</w:t>
      </w:r>
      <w:r w:rsidRPr="00F00B77">
        <w:rPr>
          <w:rFonts w:hAnsi="宋体" w:hint="eastAsia"/>
          <w:sz w:val="24"/>
        </w:rPr>
        <w:t>、</w:t>
      </w:r>
      <w:r w:rsidRPr="00F00B77">
        <w:rPr>
          <w:rFonts w:hAnsi="宋体"/>
          <w:sz w:val="24"/>
        </w:rPr>
        <w:t>基金托管人按估值方法的第</w:t>
      </w:r>
      <w:r w:rsidRPr="00F00B77">
        <w:rPr>
          <w:rFonts w:hAnsi="宋体" w:hint="eastAsia"/>
          <w:sz w:val="24"/>
        </w:rPr>
        <w:t>3</w:t>
      </w:r>
      <w:r w:rsidRPr="00F00B77">
        <w:rPr>
          <w:rFonts w:hAnsi="宋体"/>
          <w:sz w:val="24"/>
        </w:rPr>
        <w:t>项进行估值时，所造成的误差不作为基金资产估值错误处理。</w:t>
      </w:r>
    </w:p>
    <w:p w14:paraId="11A55282" w14:textId="77777777" w:rsidR="00084DB4" w:rsidRPr="00F00B77" w:rsidRDefault="00084DB4">
      <w:pPr>
        <w:adjustRightInd w:val="0"/>
        <w:snapToGrid w:val="0"/>
        <w:spacing w:line="360" w:lineRule="auto"/>
        <w:ind w:firstLineChars="200" w:firstLine="480"/>
        <w:rPr>
          <w:sz w:val="24"/>
        </w:rPr>
      </w:pPr>
      <w:bookmarkStart w:id="56" w:name="OLE_LINK70"/>
      <w:bookmarkStart w:id="57" w:name="OLE_LINK71"/>
      <w:r w:rsidRPr="00F00B77">
        <w:rPr>
          <w:sz w:val="24"/>
        </w:rPr>
        <w:t>2</w:t>
      </w:r>
      <w:r w:rsidRPr="00F00B77">
        <w:rPr>
          <w:rFonts w:hAnsi="宋体"/>
          <w:sz w:val="24"/>
        </w:rPr>
        <w:t>、由于</w:t>
      </w:r>
      <w:r w:rsidRPr="00F00B77">
        <w:rPr>
          <w:rFonts w:hAnsi="宋体" w:hint="eastAsia"/>
          <w:sz w:val="24"/>
        </w:rPr>
        <w:t>不可抗力原因，或由于</w:t>
      </w:r>
      <w:r w:rsidRPr="00F00B77">
        <w:rPr>
          <w:rFonts w:hAnsi="宋体"/>
          <w:sz w:val="24"/>
        </w:rPr>
        <w:t>证券交易所</w:t>
      </w:r>
      <w:r w:rsidRPr="00F00B77">
        <w:rPr>
          <w:rFonts w:hAnsi="宋体" w:hint="eastAsia"/>
          <w:sz w:val="24"/>
        </w:rPr>
        <w:t>、证券经纪机构及</w:t>
      </w:r>
      <w:r w:rsidRPr="00F00B77">
        <w:rPr>
          <w:rFonts w:hAnsi="宋体"/>
          <w:sz w:val="24"/>
        </w:rPr>
        <w:t>登记结算公司发送的数据错误，</w:t>
      </w:r>
      <w:r w:rsidRPr="00F00B77">
        <w:rPr>
          <w:rFonts w:hAnsi="宋体" w:hint="eastAsia"/>
          <w:sz w:val="24"/>
        </w:rPr>
        <w:t>或国家会计政策变更、市场规则变更等</w:t>
      </w:r>
      <w:r w:rsidRPr="00F00B77">
        <w:rPr>
          <w:rFonts w:hAnsi="宋体"/>
          <w:sz w:val="24"/>
        </w:rPr>
        <w:t>，基金管理人和基金托管人虽然已经采取必要、适当、合理的措施进行检查，但是未能发现该错误而造成的基金</w:t>
      </w:r>
      <w:r w:rsidRPr="00F00B77">
        <w:rPr>
          <w:rFonts w:hAnsi="宋体" w:hint="eastAsia"/>
          <w:sz w:val="24"/>
        </w:rPr>
        <w:t>资产估值</w:t>
      </w:r>
      <w:r w:rsidRPr="00F00B77">
        <w:rPr>
          <w:rFonts w:hAnsi="宋体"/>
          <w:sz w:val="24"/>
        </w:rPr>
        <w:t>错误，基金管理人、基金托管人免除赔偿责任。但基金管理人、基金托管人应积极采取必要的措施</w:t>
      </w:r>
      <w:r w:rsidRPr="00F00B77">
        <w:rPr>
          <w:rFonts w:ascii="宋体" w:hAnsi="宋体" w:hint="eastAsia"/>
          <w:sz w:val="24"/>
        </w:rPr>
        <w:t>减轻或</w:t>
      </w:r>
      <w:r w:rsidRPr="00F00B77">
        <w:rPr>
          <w:rFonts w:hAnsi="宋体"/>
          <w:sz w:val="24"/>
        </w:rPr>
        <w:t>消除由此造成的影响。</w:t>
      </w:r>
    </w:p>
    <w:bookmarkEnd w:id="56"/>
    <w:bookmarkEnd w:id="57"/>
    <w:p w14:paraId="0E5B02D2" w14:textId="77777777" w:rsidR="00084DB4" w:rsidRPr="00F00B77" w:rsidRDefault="00084DB4">
      <w:pPr>
        <w:adjustRightInd w:val="0"/>
        <w:snapToGrid w:val="0"/>
        <w:spacing w:line="360" w:lineRule="auto"/>
        <w:ind w:firstLineChars="200" w:firstLine="482"/>
        <w:rPr>
          <w:rFonts w:hAnsi="宋体"/>
          <w:b/>
          <w:sz w:val="24"/>
          <w:szCs w:val="24"/>
        </w:rPr>
      </w:pPr>
    </w:p>
    <w:p w14:paraId="5487F19A" w14:textId="77777777" w:rsidR="00084DB4" w:rsidRPr="00F00B77" w:rsidRDefault="00084DB4">
      <w:pPr>
        <w:adjustRightInd w:val="0"/>
        <w:snapToGrid w:val="0"/>
        <w:spacing w:line="360" w:lineRule="auto"/>
        <w:ind w:firstLineChars="200" w:firstLine="482"/>
        <w:rPr>
          <w:b/>
          <w:sz w:val="24"/>
          <w:szCs w:val="24"/>
        </w:rPr>
      </w:pPr>
    </w:p>
    <w:p w14:paraId="7E4C8D70" w14:textId="77777777" w:rsidR="00084DB4" w:rsidRPr="00F00B77" w:rsidRDefault="00084DB4">
      <w:pPr>
        <w:adjustRightInd w:val="0"/>
        <w:snapToGrid w:val="0"/>
        <w:spacing w:line="360" w:lineRule="auto"/>
        <w:rPr>
          <w:rFonts w:ascii="宋体" w:hAnsi="宋体"/>
          <w:b/>
          <w:kern w:val="0"/>
          <w:sz w:val="30"/>
        </w:rPr>
      </w:pPr>
    </w:p>
    <w:p w14:paraId="59DB027D"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58" w:name="_Toc491431676"/>
      <w:r w:rsidRPr="00F00B77">
        <w:rPr>
          <w:rFonts w:ascii="宋体" w:hAnsi="宋体" w:hint="eastAsia"/>
          <w:b/>
          <w:kern w:val="0"/>
          <w:sz w:val="30"/>
        </w:rPr>
        <w:t>十</w:t>
      </w:r>
      <w:r w:rsidR="00D87150" w:rsidRPr="00F00B77">
        <w:rPr>
          <w:rFonts w:ascii="宋体" w:hAnsi="宋体" w:hint="eastAsia"/>
          <w:b/>
          <w:kern w:val="0"/>
          <w:sz w:val="30"/>
        </w:rPr>
        <w:t>三</w:t>
      </w:r>
      <w:r w:rsidRPr="00F00B77">
        <w:rPr>
          <w:rFonts w:ascii="宋体" w:hAnsi="宋体" w:hint="eastAsia"/>
          <w:b/>
          <w:kern w:val="0"/>
          <w:sz w:val="30"/>
        </w:rPr>
        <w:t>、基金收益与分配</w:t>
      </w:r>
      <w:bookmarkEnd w:id="58"/>
    </w:p>
    <w:p w14:paraId="41FB588A"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（一）基金利润的构成</w:t>
      </w:r>
    </w:p>
    <w:p w14:paraId="62808BE2"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78835090"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（二）收益分配原则</w:t>
      </w:r>
    </w:p>
    <w:p w14:paraId="60B6A0FE"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本基金收益分配应遵循下列原则：</w:t>
      </w:r>
    </w:p>
    <w:p w14:paraId="594B13B4"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1、本基金</w:t>
      </w:r>
      <w:r w:rsidRPr="00F00B77">
        <w:rPr>
          <w:rFonts w:hint="eastAsia"/>
          <w:sz w:val="24"/>
        </w:rPr>
        <w:t>同一类别</w:t>
      </w:r>
      <w:r w:rsidRPr="00F00B77">
        <w:rPr>
          <w:sz w:val="24"/>
        </w:rPr>
        <w:t>的</w:t>
      </w:r>
      <w:r w:rsidRPr="00F00B77">
        <w:rPr>
          <w:rFonts w:ascii="宋体" w:hAnsi="宋体" w:hint="eastAsia"/>
          <w:sz w:val="24"/>
        </w:rPr>
        <w:t>每份基金份额享有同等分配权；</w:t>
      </w:r>
    </w:p>
    <w:p w14:paraId="303FBBA8"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szCs w:val="21"/>
        </w:rPr>
        <w:t>2、</w:t>
      </w:r>
      <w:r w:rsidRPr="00F00B77">
        <w:rPr>
          <w:rFonts w:ascii="宋体" w:hAnsi="宋体" w:hint="eastAsia"/>
          <w:sz w:val="24"/>
        </w:rPr>
        <w:t>本基金收益分配方式为红利再投资，免收再投资的费用</w:t>
      </w:r>
      <w:r w:rsidRPr="00F00B77">
        <w:rPr>
          <w:rFonts w:ascii="宋体" w:hAnsi="宋体" w:hint="eastAsia"/>
          <w:sz w:val="24"/>
          <w:szCs w:val="21"/>
        </w:rPr>
        <w:t>；</w:t>
      </w:r>
    </w:p>
    <w:p w14:paraId="180ED8A7"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0C9A3020"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1234EA9C"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5、本基金每日进行收益计算并分配时，每日收益支付方式只采用红利再投资(即红利转基金份额)方式。</w:t>
      </w:r>
      <w:r w:rsidRPr="00F00B77">
        <w:rPr>
          <w:rFonts w:ascii="宋体" w:hAnsi="宋体"/>
          <w:sz w:val="24"/>
        </w:rPr>
        <w:t>若当日净收益大于零时，</w:t>
      </w:r>
      <w:r w:rsidRPr="00F00B77">
        <w:rPr>
          <w:rFonts w:ascii="宋体" w:hAnsi="宋体" w:hint="eastAsia"/>
          <w:sz w:val="24"/>
        </w:rPr>
        <w:t>则增加投资人基金份额，</w:t>
      </w:r>
      <w:r w:rsidRPr="00F00B77">
        <w:rPr>
          <w:rFonts w:ascii="宋体" w:hAnsi="宋体"/>
          <w:sz w:val="24"/>
        </w:rPr>
        <w:t>若当日净收益等于零时，则保持投资人基金份额不变；基金管理人将采取必要措施尽量避免基金净收益小于零，若当日净收益小于零时，</w:t>
      </w:r>
      <w:r w:rsidRPr="00F00B77">
        <w:rPr>
          <w:rFonts w:ascii="宋体" w:hAnsi="宋体" w:hint="eastAsia"/>
          <w:sz w:val="24"/>
        </w:rPr>
        <w:t>缩减投资人基金份额；</w:t>
      </w:r>
    </w:p>
    <w:p w14:paraId="131911E1"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6、当日申购的基金份额自下一个工作日起，享有基金的收益分配权益；当日赎回的基金份额自下一个工作日起，不享有基金的收益分配权</w:t>
      </w:r>
      <w:r w:rsidR="008F17E9" w:rsidRPr="00F00B77">
        <w:rPr>
          <w:rFonts w:ascii="宋体" w:hAnsi="宋体" w:hint="eastAsia"/>
          <w:sz w:val="24"/>
        </w:rPr>
        <w:t>益</w:t>
      </w:r>
      <w:r w:rsidRPr="00F00B77">
        <w:rPr>
          <w:rFonts w:ascii="宋体" w:hAnsi="宋体" w:cs="Arial" w:hint="eastAsia"/>
          <w:sz w:val="24"/>
        </w:rPr>
        <w:t>；</w:t>
      </w:r>
    </w:p>
    <w:p w14:paraId="43CFA8D9"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7、法律法规或监管机构另有规定的从其规定。</w:t>
      </w:r>
    </w:p>
    <w:p w14:paraId="108D6AF2"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1C4C7ECA"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（三）收益分配方案</w:t>
      </w:r>
    </w:p>
    <w:p w14:paraId="3DA8B9B0"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基金收益分配方案由基金管理人拟定，并由基金托管人复核后确定。</w:t>
      </w:r>
    </w:p>
    <w:p w14:paraId="0CE87885"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（四）收益分配的时间和程序</w:t>
      </w:r>
    </w:p>
    <w:p w14:paraId="4D644927"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本基金每个工作日进行收益分配。每个开放日公告前一个开放日</w:t>
      </w:r>
      <w:r w:rsidRPr="00F00B77">
        <w:rPr>
          <w:rFonts w:hint="eastAsia"/>
          <w:sz w:val="24"/>
        </w:rPr>
        <w:t>各类基金份额的</w:t>
      </w:r>
      <w:r w:rsidRPr="00F00B77">
        <w:rPr>
          <w:rFonts w:ascii="宋体" w:hAnsi="宋体" w:hint="eastAsia"/>
          <w:sz w:val="24"/>
        </w:rPr>
        <w:t>每万份基金已实现收益和7日年化收益率。若遇法定节假日，应于节假日结束后第二个自然日，披露节假日期间的</w:t>
      </w:r>
      <w:r w:rsidRPr="00F00B77">
        <w:rPr>
          <w:rFonts w:hint="eastAsia"/>
          <w:sz w:val="24"/>
        </w:rPr>
        <w:t>各类基金份额的</w:t>
      </w:r>
      <w:r w:rsidRPr="00F00B77">
        <w:rPr>
          <w:rFonts w:ascii="宋体" w:hAnsi="宋体" w:hint="eastAsia"/>
          <w:sz w:val="24"/>
        </w:rPr>
        <w:t>每万份基金已实现收益和节假日最后一日的7日年化收益率，以及节假日后首个开放日的</w:t>
      </w:r>
      <w:r w:rsidRPr="00F00B77">
        <w:rPr>
          <w:rFonts w:hint="eastAsia"/>
          <w:sz w:val="24"/>
        </w:rPr>
        <w:t>各类基金份额的</w:t>
      </w:r>
      <w:r w:rsidRPr="00F00B77">
        <w:rPr>
          <w:rFonts w:ascii="宋体" w:hAnsi="宋体" w:hint="eastAsia"/>
          <w:sz w:val="24"/>
        </w:rPr>
        <w:t>每万份基金已实现收益和7日年化收益率。经中国证监会同意，可以适当延迟计算或公告。法律法规另有规定的，从其规定。</w:t>
      </w:r>
    </w:p>
    <w:p w14:paraId="1B5737E9" w14:textId="77777777" w:rsidR="00084DB4" w:rsidRPr="00F00B77" w:rsidRDefault="00084DB4">
      <w:pPr>
        <w:adjustRightInd w:val="0"/>
        <w:snapToGrid w:val="0"/>
        <w:spacing w:line="360" w:lineRule="auto"/>
        <w:ind w:firstLine="480"/>
        <w:rPr>
          <w:rFonts w:ascii="宋体" w:hAnsi="宋体"/>
          <w:sz w:val="24"/>
        </w:rPr>
      </w:pPr>
      <w:r w:rsidRPr="00F00B77">
        <w:rPr>
          <w:rFonts w:ascii="宋体" w:hAnsi="宋体" w:hint="eastAsia"/>
          <w:sz w:val="24"/>
        </w:rPr>
        <w:t>本基金每日例行按照基金合同的约定对当天实现的收益进行收益结转(如遇节假日可顺延)，每日例行的收益结转不再另行公告。</w:t>
      </w:r>
    </w:p>
    <w:p w14:paraId="7C0897D8"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（五）本基金</w:t>
      </w:r>
      <w:r w:rsidRPr="00F00B77">
        <w:rPr>
          <w:rFonts w:hint="eastAsia"/>
          <w:sz w:val="24"/>
        </w:rPr>
        <w:t>各类基金份额的</w:t>
      </w:r>
      <w:r w:rsidRPr="00F00B77">
        <w:rPr>
          <w:rFonts w:ascii="宋体" w:hAnsi="宋体" w:hint="eastAsia"/>
          <w:sz w:val="24"/>
        </w:rPr>
        <w:t>每万份基金已实现收益及7日年化收益率的计算见</w:t>
      </w:r>
      <w:r w:rsidR="00FF3BFB" w:rsidRPr="00F00B77">
        <w:rPr>
          <w:rFonts w:ascii="宋体" w:hAnsi="宋体" w:hint="eastAsia"/>
          <w:sz w:val="24"/>
        </w:rPr>
        <w:t>招募说明书</w:t>
      </w:r>
      <w:r w:rsidRPr="00F00B77">
        <w:rPr>
          <w:rFonts w:ascii="宋体" w:hAnsi="宋体" w:hint="eastAsia"/>
          <w:sz w:val="24"/>
        </w:rPr>
        <w:t>第十</w:t>
      </w:r>
      <w:r w:rsidR="00FF3BFB" w:rsidRPr="00F00B77">
        <w:rPr>
          <w:rFonts w:ascii="宋体" w:hAnsi="宋体" w:hint="eastAsia"/>
          <w:sz w:val="24"/>
        </w:rPr>
        <w:t>五</w:t>
      </w:r>
      <w:r w:rsidRPr="00F00B77">
        <w:rPr>
          <w:rFonts w:ascii="宋体" w:hAnsi="宋体" w:hint="eastAsia"/>
          <w:sz w:val="24"/>
        </w:rPr>
        <w:t>部分。</w:t>
      </w:r>
    </w:p>
    <w:p w14:paraId="70B62E21" w14:textId="77777777" w:rsidR="00084DB4" w:rsidRPr="00F00B77" w:rsidRDefault="00084DB4">
      <w:pPr>
        <w:widowControl/>
        <w:adjustRightInd w:val="0"/>
        <w:snapToGrid w:val="0"/>
        <w:spacing w:line="360" w:lineRule="auto"/>
        <w:ind w:firstLine="200"/>
        <w:rPr>
          <w:rFonts w:ascii="宋体" w:hAnsi="宋体"/>
          <w:kern w:val="0"/>
          <w:sz w:val="24"/>
        </w:rPr>
      </w:pPr>
    </w:p>
    <w:p w14:paraId="1814A126" w14:textId="77777777" w:rsidR="00084DB4" w:rsidRPr="00F00B77" w:rsidRDefault="00084DB4" w:rsidP="004A3EE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F00B77">
        <w:rPr>
          <w:rFonts w:ascii="宋体" w:hAnsi="宋体"/>
          <w:b/>
          <w:kern w:val="0"/>
          <w:sz w:val="30"/>
        </w:rPr>
        <w:br w:type="page"/>
      </w:r>
      <w:bookmarkStart w:id="59" w:name="_Toc491431677"/>
      <w:r w:rsidRPr="00F00B77">
        <w:rPr>
          <w:rFonts w:ascii="宋体" w:hAnsi="宋体" w:hint="eastAsia"/>
          <w:b/>
          <w:kern w:val="0"/>
          <w:sz w:val="30"/>
        </w:rPr>
        <w:t>十</w:t>
      </w:r>
      <w:r w:rsidR="00D87150" w:rsidRPr="00F00B77">
        <w:rPr>
          <w:rFonts w:ascii="宋体" w:hAnsi="宋体" w:hint="eastAsia"/>
          <w:b/>
          <w:kern w:val="0"/>
          <w:sz w:val="30"/>
        </w:rPr>
        <w:t>四</w:t>
      </w:r>
      <w:r w:rsidRPr="00F00B77">
        <w:rPr>
          <w:rFonts w:ascii="宋体" w:hAnsi="宋体" w:hint="eastAsia"/>
          <w:b/>
          <w:kern w:val="0"/>
          <w:sz w:val="30"/>
        </w:rPr>
        <w:t>、基金的费用与税收</w:t>
      </w:r>
      <w:bookmarkEnd w:id="59"/>
    </w:p>
    <w:p w14:paraId="6A76FDB4" w14:textId="77777777" w:rsidR="00084DB4" w:rsidRPr="00F00B77" w:rsidRDefault="00084DB4">
      <w:pPr>
        <w:adjustRightInd w:val="0"/>
        <w:snapToGrid w:val="0"/>
        <w:spacing w:line="360" w:lineRule="auto"/>
        <w:ind w:firstLineChars="200" w:firstLine="482"/>
        <w:rPr>
          <w:i/>
          <w:sz w:val="24"/>
        </w:rPr>
      </w:pPr>
      <w:r w:rsidRPr="00F00B77">
        <w:rPr>
          <w:rFonts w:hAnsi="宋体"/>
          <w:b/>
          <w:sz w:val="24"/>
        </w:rPr>
        <w:t>（一）基金费用的种类</w:t>
      </w:r>
      <w:r w:rsidRPr="00F00B77">
        <w:rPr>
          <w:b/>
          <w:sz w:val="24"/>
        </w:rPr>
        <w:t xml:space="preserve"> </w:t>
      </w:r>
    </w:p>
    <w:p w14:paraId="71EFC67E"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、基金管理人的管理费；</w:t>
      </w:r>
    </w:p>
    <w:p w14:paraId="169EC364"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、基金托管人的托管费；</w:t>
      </w:r>
    </w:p>
    <w:p w14:paraId="63BA91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、销售服务费；</w:t>
      </w:r>
    </w:p>
    <w:p w14:paraId="0764CC6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bCs/>
          <w:sz w:val="24"/>
        </w:rPr>
        <w:t>、《基金合同》生效后与基金相关的信息披露费用；</w:t>
      </w:r>
    </w:p>
    <w:p w14:paraId="4102634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bCs/>
          <w:sz w:val="24"/>
        </w:rPr>
        <w:t>、《基金合同》生效后与基金相关的会计师费、律师费</w:t>
      </w:r>
      <w:r w:rsidRPr="00F00B77">
        <w:rPr>
          <w:rFonts w:hint="eastAsia"/>
          <w:bCs/>
          <w:sz w:val="24"/>
        </w:rPr>
        <w:t>、</w:t>
      </w:r>
      <w:r w:rsidRPr="00F00B77">
        <w:rPr>
          <w:bCs/>
          <w:sz w:val="24"/>
        </w:rPr>
        <w:t>仲裁</w:t>
      </w:r>
      <w:r w:rsidRPr="00F00B77">
        <w:rPr>
          <w:rFonts w:hint="eastAsia"/>
          <w:bCs/>
          <w:sz w:val="24"/>
        </w:rPr>
        <w:t>费</w:t>
      </w:r>
      <w:r w:rsidRPr="00F00B77">
        <w:rPr>
          <w:bCs/>
          <w:sz w:val="24"/>
        </w:rPr>
        <w:t>和诉讼费；</w:t>
      </w:r>
    </w:p>
    <w:p w14:paraId="13A8AA0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bCs/>
          <w:sz w:val="24"/>
        </w:rPr>
        <w:t>、基金份额持有人大会费用；</w:t>
      </w:r>
    </w:p>
    <w:p w14:paraId="488F068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bCs/>
          <w:sz w:val="24"/>
        </w:rPr>
        <w:t>、基金的证券交易费用；</w:t>
      </w:r>
    </w:p>
    <w:p w14:paraId="31FAA0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bCs/>
          <w:sz w:val="24"/>
        </w:rPr>
        <w:t>、基金的银行汇划费用；</w:t>
      </w:r>
    </w:p>
    <w:p w14:paraId="76F0A7F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、基金的开户费用、账户维护费用；</w:t>
      </w:r>
    </w:p>
    <w:p w14:paraId="09695F8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bCs/>
          <w:sz w:val="24"/>
        </w:rPr>
        <w:t>、按照国家有关规定和《基金合同》约定，可以在基金财产中列支的其他费用。</w:t>
      </w:r>
    </w:p>
    <w:p w14:paraId="2A8307AD" w14:textId="77777777" w:rsidR="00084DB4" w:rsidRPr="00F00B77" w:rsidRDefault="00084DB4">
      <w:pPr>
        <w:adjustRightInd w:val="0"/>
        <w:snapToGrid w:val="0"/>
        <w:spacing w:line="360" w:lineRule="auto"/>
        <w:ind w:firstLineChars="200" w:firstLine="482"/>
        <w:rPr>
          <w:i/>
          <w:kern w:val="0"/>
          <w:sz w:val="24"/>
        </w:rPr>
      </w:pPr>
      <w:r w:rsidRPr="00F00B77">
        <w:rPr>
          <w:rFonts w:hAnsi="宋体"/>
          <w:b/>
          <w:sz w:val="24"/>
        </w:rPr>
        <w:t>（二）基金费用计提方法、计提标准和支付方式</w:t>
      </w:r>
      <w:r w:rsidRPr="00F00B77">
        <w:rPr>
          <w:b/>
          <w:sz w:val="24"/>
        </w:rPr>
        <w:t xml:space="preserve"> </w:t>
      </w:r>
    </w:p>
    <w:p w14:paraId="7FCA49D1" w14:textId="77777777" w:rsidR="00084DB4" w:rsidRPr="00F00B77" w:rsidRDefault="00084DB4">
      <w:pPr>
        <w:adjustRightInd w:val="0"/>
        <w:snapToGrid w:val="0"/>
        <w:spacing w:line="360" w:lineRule="auto"/>
        <w:ind w:firstLineChars="200" w:firstLine="480"/>
        <w:rPr>
          <w:sz w:val="24"/>
        </w:rPr>
      </w:pPr>
      <w:r w:rsidRPr="00F00B77">
        <w:rPr>
          <w:rFonts w:hint="eastAsia"/>
          <w:sz w:val="24"/>
        </w:rPr>
        <w:t>1</w:t>
      </w:r>
      <w:r w:rsidRPr="00F00B77">
        <w:rPr>
          <w:rFonts w:hint="eastAsia"/>
          <w:sz w:val="24"/>
        </w:rPr>
        <w:t>、与基金运作有关的费用</w:t>
      </w:r>
    </w:p>
    <w:p w14:paraId="0E7ECC3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）基金管理人的管理费</w:t>
      </w:r>
      <w:r w:rsidRPr="00F00B77">
        <w:rPr>
          <w:rFonts w:hint="eastAsia"/>
          <w:bCs/>
          <w:sz w:val="24"/>
        </w:rPr>
        <w:t xml:space="preserve"> </w:t>
      </w:r>
    </w:p>
    <w:p w14:paraId="316C31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本基金的管理费按前一日基金资产净值的</w:t>
      </w:r>
      <w:r w:rsidRPr="00F00B77">
        <w:rPr>
          <w:rFonts w:hint="eastAsia"/>
          <w:bCs/>
          <w:sz w:val="24"/>
        </w:rPr>
        <w:t>0.3%</w:t>
      </w:r>
      <w:r w:rsidRPr="00F00B77">
        <w:rPr>
          <w:rFonts w:hint="eastAsia"/>
          <w:bCs/>
          <w:sz w:val="24"/>
        </w:rPr>
        <w:t>年费率计提。管理费的计算方法如下：</w:t>
      </w:r>
    </w:p>
    <w:p w14:paraId="1EB84E9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w:t>
      </w:r>
      <w:r w:rsidRPr="00F00B77">
        <w:rPr>
          <w:rFonts w:hint="eastAsia"/>
          <w:bCs/>
          <w:sz w:val="24"/>
        </w:rPr>
        <w:t>E</w:t>
      </w:r>
      <w:r w:rsidRPr="00F00B77">
        <w:rPr>
          <w:rFonts w:hint="eastAsia"/>
          <w:bCs/>
          <w:sz w:val="24"/>
        </w:rPr>
        <w:t>×</w:t>
      </w:r>
      <w:r w:rsidRPr="00F00B77">
        <w:rPr>
          <w:rFonts w:hint="eastAsia"/>
          <w:bCs/>
          <w:sz w:val="24"/>
        </w:rPr>
        <w:t>0.3%</w:t>
      </w:r>
      <w:r w:rsidRPr="00F00B77">
        <w:rPr>
          <w:rFonts w:hint="eastAsia"/>
          <w:bCs/>
          <w:sz w:val="24"/>
        </w:rPr>
        <w:t>÷当年天数</w:t>
      </w:r>
    </w:p>
    <w:p w14:paraId="1FACE38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为每日应计提的基金管理费</w:t>
      </w:r>
    </w:p>
    <w:p w14:paraId="46A1B3F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E</w:t>
      </w:r>
      <w:r w:rsidRPr="00F00B77">
        <w:rPr>
          <w:rFonts w:hint="eastAsia"/>
          <w:bCs/>
          <w:sz w:val="24"/>
        </w:rPr>
        <w:t>为前一日的基金资产净值</w:t>
      </w:r>
    </w:p>
    <w:p w14:paraId="44820996" w14:textId="77777777" w:rsidR="00084DB4" w:rsidRPr="00F00B77" w:rsidRDefault="00FD4301" w:rsidP="00FD4301">
      <w:pPr>
        <w:adjustRightInd w:val="0"/>
        <w:snapToGrid w:val="0"/>
        <w:spacing w:line="360" w:lineRule="auto"/>
        <w:ind w:firstLineChars="200" w:firstLine="480"/>
        <w:rPr>
          <w:bCs/>
          <w:sz w:val="24"/>
        </w:rPr>
      </w:pPr>
      <w:r w:rsidRPr="00F00B77">
        <w:rPr>
          <w:rFonts w:hint="eastAsia"/>
          <w:bCs/>
          <w:sz w:val="24"/>
        </w:rPr>
        <w:t>基金管理费每日计提，按月支付。由基金管理人与基金托管人核对一致后，由基金托管人于次月首日起第</w:t>
      </w:r>
      <w:r w:rsidRPr="00F00B77">
        <w:rPr>
          <w:rFonts w:hint="eastAsia"/>
          <w:bCs/>
          <w:sz w:val="24"/>
        </w:rPr>
        <w:t>3</w:t>
      </w:r>
      <w:r w:rsidRPr="00F00B77">
        <w:rPr>
          <w:rFonts w:hint="eastAsia"/>
          <w:bCs/>
          <w:sz w:val="24"/>
        </w:rPr>
        <w:t>个工作日从基金财产中一次性支付给基金管理人，若遇法定节假日、休息日或不可抗力致使无法按时支付的，支付日期顺延</w:t>
      </w:r>
      <w:r w:rsidR="00084DB4" w:rsidRPr="00F00B77">
        <w:rPr>
          <w:rFonts w:hint="eastAsia"/>
          <w:bCs/>
          <w:sz w:val="24"/>
        </w:rPr>
        <w:t>。</w:t>
      </w:r>
    </w:p>
    <w:p w14:paraId="4BB686D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）基金托管人的托管费</w:t>
      </w:r>
    </w:p>
    <w:p w14:paraId="345F237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本基金的托管费按前一日基金资产净值的</w:t>
      </w:r>
      <w:r w:rsidRPr="00F00B77">
        <w:rPr>
          <w:rFonts w:hint="eastAsia"/>
          <w:bCs/>
          <w:sz w:val="24"/>
        </w:rPr>
        <w:t>0.0</w:t>
      </w:r>
      <w:r w:rsidR="003D6AC7" w:rsidRPr="00F00B77">
        <w:rPr>
          <w:rFonts w:hint="eastAsia"/>
          <w:bCs/>
          <w:sz w:val="24"/>
        </w:rPr>
        <w:t>5</w:t>
      </w:r>
      <w:r w:rsidRPr="00F00B77">
        <w:rPr>
          <w:rFonts w:hint="eastAsia"/>
          <w:bCs/>
          <w:sz w:val="24"/>
        </w:rPr>
        <w:t>%</w:t>
      </w:r>
      <w:r w:rsidRPr="00F00B77">
        <w:rPr>
          <w:rFonts w:hint="eastAsia"/>
          <w:bCs/>
          <w:sz w:val="24"/>
        </w:rPr>
        <w:t>的年费率计提。托管费的计算方法如下：</w:t>
      </w:r>
    </w:p>
    <w:p w14:paraId="40E186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w:t>
      </w:r>
      <w:r w:rsidRPr="00F00B77">
        <w:rPr>
          <w:rFonts w:hint="eastAsia"/>
          <w:bCs/>
          <w:sz w:val="24"/>
        </w:rPr>
        <w:t>E</w:t>
      </w:r>
      <w:r w:rsidRPr="00F00B77">
        <w:rPr>
          <w:rFonts w:hint="eastAsia"/>
          <w:bCs/>
          <w:sz w:val="24"/>
        </w:rPr>
        <w:t>×</w:t>
      </w:r>
      <w:r w:rsidRPr="00F00B77">
        <w:rPr>
          <w:rFonts w:hint="eastAsia"/>
          <w:bCs/>
          <w:sz w:val="24"/>
        </w:rPr>
        <w:t>0.0</w:t>
      </w:r>
      <w:r w:rsidR="003D6AC7" w:rsidRPr="00F00B77">
        <w:rPr>
          <w:rFonts w:hint="eastAsia"/>
          <w:bCs/>
          <w:sz w:val="24"/>
        </w:rPr>
        <w:t>5</w:t>
      </w:r>
      <w:r w:rsidRPr="00F00B77">
        <w:rPr>
          <w:rFonts w:hint="eastAsia"/>
          <w:bCs/>
          <w:sz w:val="24"/>
        </w:rPr>
        <w:t>%</w:t>
      </w:r>
      <w:r w:rsidRPr="00F00B77">
        <w:rPr>
          <w:rFonts w:hint="eastAsia"/>
          <w:bCs/>
          <w:sz w:val="24"/>
        </w:rPr>
        <w:t>÷当年天数</w:t>
      </w:r>
    </w:p>
    <w:p w14:paraId="26F6402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为每日应计提的基金托管费</w:t>
      </w:r>
    </w:p>
    <w:p w14:paraId="5008E3F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E</w:t>
      </w:r>
      <w:r w:rsidRPr="00F00B77">
        <w:rPr>
          <w:rFonts w:hint="eastAsia"/>
          <w:bCs/>
          <w:sz w:val="24"/>
        </w:rPr>
        <w:t>为前一日的基金资产净值</w:t>
      </w:r>
    </w:p>
    <w:p w14:paraId="001DC6CF" w14:textId="77777777" w:rsidR="00084DB4" w:rsidRPr="00F00B77" w:rsidRDefault="00FD4301" w:rsidP="00FD4301">
      <w:pPr>
        <w:adjustRightInd w:val="0"/>
        <w:snapToGrid w:val="0"/>
        <w:spacing w:line="360" w:lineRule="auto"/>
        <w:ind w:firstLineChars="200" w:firstLine="480"/>
        <w:rPr>
          <w:bCs/>
          <w:sz w:val="24"/>
        </w:rPr>
      </w:pPr>
      <w:r w:rsidRPr="00F00B77">
        <w:rPr>
          <w:rFonts w:hint="eastAsia"/>
          <w:bCs/>
          <w:sz w:val="24"/>
        </w:rPr>
        <w:t>基金托管费每日计提，按月支付。由基金管理人与基金托管人核对一致后，由基金托管人复核后于次月首日起第</w:t>
      </w:r>
      <w:r w:rsidRPr="00F00B77">
        <w:rPr>
          <w:rFonts w:hint="eastAsia"/>
          <w:bCs/>
          <w:sz w:val="24"/>
        </w:rPr>
        <w:t>3</w:t>
      </w:r>
      <w:r w:rsidRPr="00F00B77">
        <w:rPr>
          <w:rFonts w:hint="eastAsia"/>
          <w:bCs/>
          <w:sz w:val="24"/>
        </w:rPr>
        <w:t>个工作日从基金财产中一次性支付给基金托管人，若遇法定节假日、休息日或不可抗力致使无法按时支付的，支付日期顺延</w:t>
      </w:r>
      <w:r w:rsidR="00084DB4" w:rsidRPr="00F00B77">
        <w:rPr>
          <w:rFonts w:hint="eastAsia"/>
          <w:bCs/>
          <w:sz w:val="24"/>
        </w:rPr>
        <w:t>。</w:t>
      </w:r>
    </w:p>
    <w:p w14:paraId="1160AB6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2</w:t>
      </w:r>
      <w:r w:rsidRPr="00F00B77">
        <w:rPr>
          <w:rFonts w:hint="eastAsia"/>
          <w:sz w:val="24"/>
        </w:rPr>
        <w:t>、与基金销售有关的费用</w:t>
      </w:r>
    </w:p>
    <w:p w14:paraId="449C2460"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w:t>
      </w:r>
      <w:r w:rsidR="008B321A" w:rsidRPr="00F00B77">
        <w:rPr>
          <w:rFonts w:hint="eastAsia"/>
          <w:bCs/>
          <w:sz w:val="24"/>
        </w:rPr>
        <w:t>除法律法规另有规定或基金合同另有约定外，</w:t>
      </w:r>
      <w:r w:rsidRPr="00F00B77">
        <w:rPr>
          <w:rFonts w:hint="eastAsia"/>
          <w:bCs/>
          <w:sz w:val="24"/>
        </w:rPr>
        <w:t>本基金不收取申购费用和赎回费用</w:t>
      </w:r>
      <w:r w:rsidRPr="00F00B77">
        <w:rPr>
          <w:rFonts w:hint="eastAsia"/>
          <w:sz w:val="24"/>
        </w:rPr>
        <w:t>。</w:t>
      </w:r>
    </w:p>
    <w:p w14:paraId="352C4130"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）基金销售服务费</w:t>
      </w:r>
    </w:p>
    <w:p w14:paraId="7DCD90F8" w14:textId="77777777" w:rsidR="00084DB4" w:rsidRPr="00F00B77" w:rsidRDefault="00084DB4">
      <w:pPr>
        <w:adjustRightInd w:val="0"/>
        <w:snapToGrid w:val="0"/>
        <w:spacing w:line="360" w:lineRule="auto"/>
        <w:ind w:firstLineChars="200" w:firstLine="480"/>
        <w:rPr>
          <w:sz w:val="24"/>
        </w:rPr>
      </w:pPr>
      <w:r w:rsidRPr="00F00B77">
        <w:rPr>
          <w:rFonts w:hint="eastAsia"/>
          <w:sz w:val="24"/>
        </w:rPr>
        <w:t>本基金各类基金份额按照不同的费率计提销售服务费，在通常情况下，本基金</w:t>
      </w:r>
      <w:r w:rsidRPr="00F00B77">
        <w:rPr>
          <w:rFonts w:hint="eastAsia"/>
          <w:sz w:val="24"/>
        </w:rPr>
        <w:t xml:space="preserve">A </w:t>
      </w:r>
      <w:r w:rsidRPr="00F00B77">
        <w:rPr>
          <w:rFonts w:hint="eastAsia"/>
          <w:sz w:val="24"/>
        </w:rPr>
        <w:t>类基金份额的销售服务费按前一日</w:t>
      </w:r>
      <w:r w:rsidRPr="00F00B77">
        <w:rPr>
          <w:rFonts w:hint="eastAsia"/>
          <w:sz w:val="24"/>
        </w:rPr>
        <w:t>A</w:t>
      </w:r>
      <w:r w:rsidRPr="00F00B77">
        <w:rPr>
          <w:rFonts w:hint="eastAsia"/>
          <w:sz w:val="24"/>
        </w:rPr>
        <w:t>类基金份额的基金资产净值的</w:t>
      </w:r>
      <w:r w:rsidRPr="00F00B77">
        <w:rPr>
          <w:rFonts w:hint="eastAsia"/>
          <w:sz w:val="24"/>
        </w:rPr>
        <w:t>0.25%</w:t>
      </w:r>
      <w:r w:rsidRPr="00F00B77">
        <w:rPr>
          <w:rFonts w:hint="eastAsia"/>
          <w:sz w:val="24"/>
        </w:rPr>
        <w:t>年费率计提，本基金</w:t>
      </w:r>
      <w:r w:rsidRPr="00F00B77">
        <w:rPr>
          <w:rFonts w:hint="eastAsia"/>
          <w:sz w:val="24"/>
        </w:rPr>
        <w:t>E</w:t>
      </w:r>
      <w:r w:rsidRPr="00F00B77">
        <w:rPr>
          <w:rFonts w:hint="eastAsia"/>
          <w:sz w:val="24"/>
        </w:rPr>
        <w:t>类基金份额的销售服务费按前一日</w:t>
      </w:r>
      <w:r w:rsidRPr="00F00B77">
        <w:rPr>
          <w:rFonts w:hint="eastAsia"/>
          <w:sz w:val="24"/>
        </w:rPr>
        <w:t>E</w:t>
      </w:r>
      <w:r w:rsidRPr="00F00B77">
        <w:rPr>
          <w:rFonts w:hint="eastAsia"/>
          <w:sz w:val="24"/>
        </w:rPr>
        <w:t>类基金份额的基金资产净值的</w:t>
      </w:r>
      <w:r w:rsidRPr="00F00B77">
        <w:rPr>
          <w:rFonts w:hint="eastAsia"/>
          <w:sz w:val="24"/>
        </w:rPr>
        <w:t>0.01%</w:t>
      </w:r>
      <w:r w:rsidRPr="00F00B77">
        <w:rPr>
          <w:rFonts w:hint="eastAsia"/>
          <w:sz w:val="24"/>
        </w:rPr>
        <w:t>年费率计提。</w:t>
      </w:r>
    </w:p>
    <w:p w14:paraId="523F85AF" w14:textId="77777777" w:rsidR="00084DB4" w:rsidRPr="00F00B77" w:rsidRDefault="00084DB4">
      <w:pPr>
        <w:adjustRightInd w:val="0"/>
        <w:snapToGrid w:val="0"/>
        <w:spacing w:line="360" w:lineRule="auto"/>
        <w:ind w:firstLineChars="200" w:firstLine="480"/>
        <w:rPr>
          <w:sz w:val="24"/>
        </w:rPr>
      </w:pPr>
      <w:r w:rsidRPr="00F00B77">
        <w:rPr>
          <w:rFonts w:hint="eastAsia"/>
          <w:sz w:val="24"/>
        </w:rPr>
        <w:t>各类基金份额的基金销售服务费计提的计算公式如下：</w:t>
      </w:r>
    </w:p>
    <w:p w14:paraId="69F873B2" w14:textId="77777777" w:rsidR="00084DB4" w:rsidRPr="00F00B77" w:rsidRDefault="00084DB4">
      <w:pPr>
        <w:adjustRightInd w:val="0"/>
        <w:snapToGrid w:val="0"/>
        <w:spacing w:line="360" w:lineRule="auto"/>
        <w:ind w:firstLineChars="200" w:firstLine="480"/>
        <w:rPr>
          <w:sz w:val="24"/>
        </w:rPr>
      </w:pPr>
      <w:r w:rsidRPr="00F00B77">
        <w:rPr>
          <w:rFonts w:hint="eastAsia"/>
          <w:sz w:val="24"/>
        </w:rPr>
        <w:t>H</w:t>
      </w:r>
      <w:r w:rsidRPr="00F00B77">
        <w:rPr>
          <w:rFonts w:hint="eastAsia"/>
          <w:sz w:val="24"/>
        </w:rPr>
        <w:t>＝</w:t>
      </w:r>
      <w:r w:rsidRPr="00F00B77">
        <w:rPr>
          <w:rFonts w:hint="eastAsia"/>
          <w:sz w:val="24"/>
        </w:rPr>
        <w:t>E</w:t>
      </w:r>
      <w:r w:rsidRPr="00F00B77">
        <w:rPr>
          <w:rFonts w:hint="eastAsia"/>
          <w:sz w:val="24"/>
        </w:rPr>
        <w:t>×年销售服务费率÷当年天数</w:t>
      </w:r>
    </w:p>
    <w:p w14:paraId="7B7B6DC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H</w:t>
      </w:r>
      <w:r w:rsidRPr="00F00B77">
        <w:rPr>
          <w:rFonts w:hint="eastAsia"/>
          <w:sz w:val="24"/>
        </w:rPr>
        <w:t>为某类基金份额每日应计提的基金销售服务费</w:t>
      </w:r>
    </w:p>
    <w:p w14:paraId="493007CC" w14:textId="77777777" w:rsidR="00084DB4" w:rsidRPr="00F00B77" w:rsidRDefault="00084DB4">
      <w:pPr>
        <w:adjustRightInd w:val="0"/>
        <w:snapToGrid w:val="0"/>
        <w:spacing w:line="360" w:lineRule="auto"/>
        <w:ind w:firstLineChars="200" w:firstLine="480"/>
        <w:rPr>
          <w:sz w:val="24"/>
        </w:rPr>
      </w:pPr>
      <w:r w:rsidRPr="00F00B77">
        <w:rPr>
          <w:rFonts w:hint="eastAsia"/>
          <w:sz w:val="24"/>
        </w:rPr>
        <w:t>E</w:t>
      </w:r>
      <w:r w:rsidRPr="00F00B77">
        <w:rPr>
          <w:rFonts w:hint="eastAsia"/>
          <w:sz w:val="24"/>
        </w:rPr>
        <w:t>为前一日该类基金份额的基金资产净值</w:t>
      </w:r>
    </w:p>
    <w:p w14:paraId="52A7EB1C" w14:textId="77777777" w:rsidR="00084DB4" w:rsidRPr="00F00B77" w:rsidRDefault="00084DB4">
      <w:pPr>
        <w:adjustRightInd w:val="0"/>
        <w:snapToGrid w:val="0"/>
        <w:spacing w:line="360" w:lineRule="auto"/>
        <w:ind w:firstLineChars="200" w:firstLine="480"/>
        <w:rPr>
          <w:bCs/>
          <w:sz w:val="24"/>
        </w:rPr>
      </w:pPr>
      <w:r w:rsidRPr="00F00B77">
        <w:rPr>
          <w:rFonts w:hint="eastAsia"/>
          <w:sz w:val="24"/>
        </w:rPr>
        <w:t>基金销售服务费每日计提，按月支付。由基金管理人向基金托管人发送划付指令，由基金托管人复核后于次月首日起第</w:t>
      </w:r>
      <w:r w:rsidRPr="00F00B77">
        <w:rPr>
          <w:rFonts w:hint="eastAsia"/>
          <w:sz w:val="24"/>
        </w:rPr>
        <w:t>3</w:t>
      </w:r>
      <w:r w:rsidRPr="00F00B77">
        <w:rPr>
          <w:rFonts w:hint="eastAsia"/>
          <w:sz w:val="24"/>
        </w:rPr>
        <w:t>个工作日内从基金财产中一次性支付给基金管理人，由基金管理人代付给销售机构，若遇法定节假日、休息日或不可抗力致使无法按时支付的，支付日期顺延</w:t>
      </w:r>
      <w:r w:rsidRPr="00F00B77">
        <w:rPr>
          <w:rFonts w:hint="eastAsia"/>
          <w:bCs/>
          <w:sz w:val="24"/>
        </w:rPr>
        <w:t>。</w:t>
      </w:r>
    </w:p>
    <w:p w14:paraId="0EF36E63" w14:textId="77777777" w:rsidR="00084DB4" w:rsidRPr="00F00B77" w:rsidRDefault="00084DB4">
      <w:pPr>
        <w:adjustRightInd w:val="0"/>
        <w:snapToGrid w:val="0"/>
        <w:spacing w:line="360" w:lineRule="auto"/>
        <w:ind w:firstLineChars="200" w:firstLine="480"/>
        <w:rPr>
          <w:sz w:val="24"/>
        </w:rPr>
      </w:pPr>
      <w:r w:rsidRPr="00F00B77">
        <w:rPr>
          <w:rFonts w:hint="eastAsia"/>
          <w:sz w:val="24"/>
        </w:rPr>
        <w:t>上述“一、基金费用的种类”中第</w:t>
      </w:r>
      <w:r w:rsidRPr="00F00B77">
        <w:rPr>
          <w:rFonts w:hint="eastAsia"/>
          <w:sz w:val="24"/>
        </w:rPr>
        <w:t>4</w:t>
      </w:r>
      <w:r w:rsidRPr="00F00B77">
        <w:rPr>
          <w:rFonts w:hint="eastAsia"/>
          <w:sz w:val="24"/>
        </w:rPr>
        <w:t>－</w:t>
      </w:r>
      <w:r w:rsidRPr="00F00B77">
        <w:rPr>
          <w:rFonts w:hint="eastAsia"/>
          <w:sz w:val="24"/>
        </w:rPr>
        <w:t>10</w:t>
      </w:r>
      <w:r w:rsidRPr="00F00B77">
        <w:rPr>
          <w:rFonts w:hint="eastAsia"/>
          <w:sz w:val="24"/>
        </w:rPr>
        <w:t>项费用，根据有关法规及相应协议规定，按费用实际支出金额列入当期费用，由基金托管人从基金财产中支付。</w:t>
      </w:r>
    </w:p>
    <w:p w14:paraId="2BDE7DF2"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（三）不列入基金费用的项目</w:t>
      </w:r>
      <w:r w:rsidRPr="00F00B77">
        <w:rPr>
          <w:b/>
          <w:sz w:val="24"/>
        </w:rPr>
        <w:t xml:space="preserve"> </w:t>
      </w:r>
    </w:p>
    <w:p w14:paraId="11926650"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下列费用不列入基金费用：</w:t>
      </w:r>
    </w:p>
    <w:p w14:paraId="386BC3C9"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1</w:t>
      </w:r>
      <w:r w:rsidRPr="00F00B77">
        <w:rPr>
          <w:rFonts w:hAnsi="宋体" w:hint="eastAsia"/>
          <w:sz w:val="24"/>
          <w:szCs w:val="21"/>
        </w:rPr>
        <w:t>、基金管理人和基金托管人因未履行或未完全履行义务导致的费用支出或基金财产的损失；</w:t>
      </w:r>
    </w:p>
    <w:p w14:paraId="1942BCC1"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2</w:t>
      </w:r>
      <w:r w:rsidRPr="00F00B77">
        <w:rPr>
          <w:rFonts w:hAnsi="宋体" w:hint="eastAsia"/>
          <w:sz w:val="24"/>
          <w:szCs w:val="21"/>
        </w:rPr>
        <w:t>、基金管理人和基金托管人处理与基金运作无关的事项发生的费用；</w:t>
      </w:r>
    </w:p>
    <w:p w14:paraId="304FFD93"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3</w:t>
      </w:r>
      <w:r w:rsidRPr="00F00B77">
        <w:rPr>
          <w:rFonts w:hAnsi="宋体" w:hint="eastAsia"/>
          <w:sz w:val="24"/>
          <w:szCs w:val="21"/>
        </w:rPr>
        <w:t>、《基金合同》生效前的相关费用；</w:t>
      </w:r>
    </w:p>
    <w:p w14:paraId="07BFB27E"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4</w:t>
      </w:r>
      <w:r w:rsidRPr="00F00B77">
        <w:rPr>
          <w:rFonts w:hAnsi="宋体" w:hint="eastAsia"/>
          <w:sz w:val="24"/>
          <w:szCs w:val="21"/>
        </w:rPr>
        <w:t>、其他根据相关法律法规及中国证监会的有关规定不得列入基金费用的项目。</w:t>
      </w:r>
      <w:bookmarkStart w:id="60" w:name="_Hlt81193394"/>
      <w:bookmarkEnd w:id="60"/>
    </w:p>
    <w:p w14:paraId="602F4731" w14:textId="77777777" w:rsidR="00084DB4" w:rsidRPr="00F00B77" w:rsidRDefault="00084DB4">
      <w:pPr>
        <w:adjustRightInd w:val="0"/>
        <w:snapToGrid w:val="0"/>
        <w:spacing w:line="360" w:lineRule="auto"/>
        <w:ind w:firstLineChars="200" w:firstLine="482"/>
        <w:rPr>
          <w:b/>
          <w:sz w:val="24"/>
        </w:rPr>
      </w:pPr>
      <w:r w:rsidRPr="00F00B77">
        <w:rPr>
          <w:rFonts w:hint="eastAsia"/>
          <w:b/>
          <w:sz w:val="24"/>
        </w:rPr>
        <w:t>（</w:t>
      </w:r>
      <w:r w:rsidRPr="00F00B77">
        <w:rPr>
          <w:b/>
          <w:sz w:val="24"/>
        </w:rPr>
        <w:t>四</w:t>
      </w:r>
      <w:r w:rsidRPr="00F00B77">
        <w:rPr>
          <w:rFonts w:hint="eastAsia"/>
          <w:b/>
          <w:sz w:val="24"/>
        </w:rPr>
        <w:t>）费用调整</w:t>
      </w:r>
    </w:p>
    <w:p w14:paraId="10CAFE37" w14:textId="77777777" w:rsidR="00084DB4" w:rsidRPr="00F00B77" w:rsidRDefault="00084DB4">
      <w:pPr>
        <w:adjustRightInd w:val="0"/>
        <w:snapToGrid w:val="0"/>
        <w:spacing w:line="360" w:lineRule="auto"/>
        <w:ind w:firstLineChars="200" w:firstLine="480"/>
        <w:rPr>
          <w:rFonts w:hAnsi="宋体"/>
          <w:bCs/>
          <w:sz w:val="24"/>
          <w:szCs w:val="21"/>
        </w:rPr>
      </w:pPr>
      <w:r w:rsidRPr="00F00B77">
        <w:rPr>
          <w:rFonts w:hAnsi="宋体" w:hint="eastAsia"/>
          <w:bCs/>
          <w:sz w:val="24"/>
          <w:szCs w:val="21"/>
        </w:rPr>
        <w:t>基金管理人和基金托管人可根据基金发展情况</w:t>
      </w:r>
      <w:r w:rsidR="003B3475" w:rsidRPr="00F00B77">
        <w:rPr>
          <w:rFonts w:hAnsi="宋体" w:hint="eastAsia"/>
          <w:bCs/>
          <w:sz w:val="24"/>
          <w:szCs w:val="21"/>
        </w:rPr>
        <w:t>，</w:t>
      </w:r>
      <w:r w:rsidR="00C8249C" w:rsidRPr="00F00B77">
        <w:rPr>
          <w:rFonts w:hAnsi="宋体" w:hint="eastAsia"/>
          <w:bCs/>
          <w:sz w:val="24"/>
          <w:szCs w:val="21"/>
        </w:rPr>
        <w:t>在</w:t>
      </w:r>
      <w:r w:rsidR="00C8249C" w:rsidRPr="00F00B77">
        <w:rPr>
          <w:rFonts w:hAnsi="宋体"/>
          <w:bCs/>
          <w:sz w:val="24"/>
          <w:szCs w:val="21"/>
        </w:rPr>
        <w:t>履行适当程序后</w:t>
      </w:r>
      <w:r w:rsidRPr="00F00B77">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56874E88"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（五）</w:t>
      </w:r>
      <w:r w:rsidRPr="00F00B77">
        <w:rPr>
          <w:b/>
          <w:bCs/>
          <w:sz w:val="24"/>
        </w:rPr>
        <w:t>基金税收</w:t>
      </w:r>
    </w:p>
    <w:p w14:paraId="1FDCAD5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本基金运作过程中涉及的各纳税主体，其纳税义务按国家税收法律、法规执行。</w:t>
      </w:r>
    </w:p>
    <w:p w14:paraId="6FF2DF0F" w14:textId="77777777" w:rsidR="00084DB4" w:rsidRPr="00F00B77" w:rsidRDefault="00084DB4">
      <w:pPr>
        <w:adjustRightInd w:val="0"/>
        <w:snapToGrid w:val="0"/>
        <w:spacing w:line="360" w:lineRule="auto"/>
        <w:rPr>
          <w:rFonts w:ascii="宋体" w:hAnsi="宋体"/>
          <w:kern w:val="0"/>
          <w:sz w:val="24"/>
        </w:rPr>
      </w:pPr>
    </w:p>
    <w:p w14:paraId="53643756"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1" w:name="_Toc491431678"/>
      <w:r w:rsidRPr="00F00B77">
        <w:rPr>
          <w:rFonts w:ascii="宋体" w:hAnsi="宋体" w:hint="eastAsia"/>
          <w:b/>
          <w:kern w:val="0"/>
          <w:sz w:val="30"/>
        </w:rPr>
        <w:t>十</w:t>
      </w:r>
      <w:r w:rsidR="00D87150" w:rsidRPr="00F00B77">
        <w:rPr>
          <w:rFonts w:ascii="宋体" w:hAnsi="宋体" w:hint="eastAsia"/>
          <w:b/>
          <w:kern w:val="0"/>
          <w:sz w:val="30"/>
        </w:rPr>
        <w:t>五</w:t>
      </w:r>
      <w:r w:rsidRPr="00F00B77">
        <w:rPr>
          <w:rFonts w:ascii="宋体" w:hAnsi="宋体" w:hint="eastAsia"/>
          <w:b/>
          <w:kern w:val="0"/>
          <w:sz w:val="30"/>
        </w:rPr>
        <w:t>、基金的会计与审计</w:t>
      </w:r>
      <w:bookmarkEnd w:id="61"/>
    </w:p>
    <w:p w14:paraId="46ABC5DE"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（一）基金会计政策</w:t>
      </w:r>
      <w:r w:rsidRPr="00F00B77">
        <w:rPr>
          <w:b/>
          <w:sz w:val="24"/>
        </w:rPr>
        <w:t xml:space="preserve"> </w:t>
      </w:r>
    </w:p>
    <w:p w14:paraId="46D2B781" w14:textId="77777777" w:rsidR="00084DB4" w:rsidRPr="00F00B77" w:rsidRDefault="00084DB4">
      <w:pPr>
        <w:adjustRightInd w:val="0"/>
        <w:snapToGrid w:val="0"/>
        <w:spacing w:line="360" w:lineRule="auto"/>
        <w:ind w:firstLineChars="200" w:firstLine="480"/>
        <w:rPr>
          <w:sz w:val="24"/>
        </w:rPr>
      </w:pPr>
      <w:r w:rsidRPr="00F00B77">
        <w:rPr>
          <w:rFonts w:hint="eastAsia"/>
          <w:sz w:val="24"/>
        </w:rPr>
        <w:t>1</w:t>
      </w:r>
      <w:r w:rsidRPr="00F00B77">
        <w:rPr>
          <w:rFonts w:hint="eastAsia"/>
          <w:sz w:val="24"/>
        </w:rPr>
        <w:t>、基金管理人为本基金的基金会计责任方；</w:t>
      </w:r>
    </w:p>
    <w:p w14:paraId="1CD6B23F" w14:textId="77777777" w:rsidR="00084DB4" w:rsidRPr="00F00B77" w:rsidRDefault="00084DB4">
      <w:pPr>
        <w:adjustRightInd w:val="0"/>
        <w:snapToGrid w:val="0"/>
        <w:spacing w:line="360" w:lineRule="auto"/>
        <w:ind w:firstLineChars="200" w:firstLine="480"/>
        <w:rPr>
          <w:bCs/>
          <w:sz w:val="24"/>
        </w:rPr>
      </w:pPr>
      <w:r w:rsidRPr="00F00B77">
        <w:rPr>
          <w:rFonts w:hint="eastAsia"/>
          <w:sz w:val="24"/>
        </w:rPr>
        <w:t>2</w:t>
      </w:r>
      <w:r w:rsidRPr="00F00B77">
        <w:rPr>
          <w:rFonts w:hint="eastAsia"/>
          <w:sz w:val="24"/>
        </w:rPr>
        <w:t>、基金的会计年度为公历年度的</w:t>
      </w:r>
      <w:r w:rsidRPr="00F00B77">
        <w:rPr>
          <w:rFonts w:hint="eastAsia"/>
          <w:sz w:val="24"/>
        </w:rPr>
        <w:t>1</w:t>
      </w:r>
      <w:r w:rsidRPr="00F00B77">
        <w:rPr>
          <w:rFonts w:hint="eastAsia"/>
          <w:sz w:val="24"/>
        </w:rPr>
        <w:t>月</w:t>
      </w:r>
      <w:r w:rsidRPr="00F00B77">
        <w:rPr>
          <w:rFonts w:hint="eastAsia"/>
          <w:sz w:val="24"/>
        </w:rPr>
        <w:t>1</w:t>
      </w:r>
      <w:r w:rsidRPr="00F00B77">
        <w:rPr>
          <w:rFonts w:hint="eastAsia"/>
          <w:sz w:val="24"/>
        </w:rPr>
        <w:t>日至</w:t>
      </w:r>
      <w:r w:rsidRPr="00F00B77">
        <w:rPr>
          <w:rFonts w:hint="eastAsia"/>
          <w:sz w:val="24"/>
        </w:rPr>
        <w:t>12</w:t>
      </w:r>
      <w:r w:rsidRPr="00F00B77">
        <w:rPr>
          <w:rFonts w:hint="eastAsia"/>
          <w:sz w:val="24"/>
        </w:rPr>
        <w:t>月</w:t>
      </w:r>
      <w:r w:rsidRPr="00F00B77">
        <w:rPr>
          <w:rFonts w:hint="eastAsia"/>
          <w:sz w:val="24"/>
        </w:rPr>
        <w:t>31</w:t>
      </w:r>
      <w:r w:rsidRPr="00F00B77">
        <w:rPr>
          <w:rFonts w:hint="eastAsia"/>
          <w:sz w:val="24"/>
        </w:rPr>
        <w:t>日；</w:t>
      </w:r>
      <w:r w:rsidRPr="00F00B77">
        <w:rPr>
          <w:bCs/>
          <w:sz w:val="24"/>
        </w:rPr>
        <w:t xml:space="preserve"> </w:t>
      </w:r>
    </w:p>
    <w:p w14:paraId="7380E151" w14:textId="77777777" w:rsidR="00084DB4" w:rsidRPr="00F00B77" w:rsidRDefault="00084DB4">
      <w:pPr>
        <w:adjustRightInd w:val="0"/>
        <w:snapToGrid w:val="0"/>
        <w:spacing w:line="360" w:lineRule="auto"/>
        <w:ind w:firstLineChars="200" w:firstLine="480"/>
        <w:rPr>
          <w:sz w:val="24"/>
        </w:rPr>
      </w:pPr>
      <w:r w:rsidRPr="00F00B77">
        <w:rPr>
          <w:rFonts w:hint="eastAsia"/>
          <w:sz w:val="24"/>
        </w:rPr>
        <w:t>3</w:t>
      </w:r>
      <w:r w:rsidRPr="00F00B77">
        <w:rPr>
          <w:rFonts w:hint="eastAsia"/>
          <w:sz w:val="24"/>
        </w:rPr>
        <w:t>、基金核算以人民币为记账本位币，以人民币元为记账单位；</w:t>
      </w:r>
    </w:p>
    <w:p w14:paraId="3250D6B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4</w:t>
      </w:r>
      <w:r w:rsidRPr="00F00B77">
        <w:rPr>
          <w:rFonts w:hint="eastAsia"/>
          <w:sz w:val="24"/>
        </w:rPr>
        <w:t>、会计制度执行国家有关会计制度；</w:t>
      </w:r>
    </w:p>
    <w:p w14:paraId="624AE34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5</w:t>
      </w:r>
      <w:r w:rsidRPr="00F00B77">
        <w:rPr>
          <w:rFonts w:hint="eastAsia"/>
          <w:sz w:val="24"/>
        </w:rPr>
        <w:t>、本基金独立建账、独立核算；</w:t>
      </w:r>
    </w:p>
    <w:p w14:paraId="6DFF0E9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6</w:t>
      </w:r>
      <w:r w:rsidRPr="00F00B77">
        <w:rPr>
          <w:rFonts w:hint="eastAsia"/>
          <w:sz w:val="24"/>
        </w:rPr>
        <w:t>、基金管理人及基金托管人各自保留完整的会计账目、凭证并进行日常的会计核算，按照有关规定编制基金会计报表；</w:t>
      </w:r>
    </w:p>
    <w:p w14:paraId="6CDF75D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7</w:t>
      </w:r>
      <w:r w:rsidRPr="00F00B77">
        <w:rPr>
          <w:rFonts w:hint="eastAsia"/>
          <w:sz w:val="24"/>
        </w:rPr>
        <w:t>、基金托管人每月与基金管理人就基金的会计核算、报表编制等进行核对并以书面方式确认。</w:t>
      </w:r>
    </w:p>
    <w:p w14:paraId="53B9BCB5"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（二）基金的年度审计</w:t>
      </w:r>
      <w:r w:rsidRPr="00F00B77">
        <w:rPr>
          <w:b/>
          <w:sz w:val="24"/>
        </w:rPr>
        <w:t xml:space="preserve"> </w:t>
      </w:r>
    </w:p>
    <w:p w14:paraId="17895DB9"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1</w:t>
      </w:r>
      <w:r w:rsidRPr="00F00B77">
        <w:rPr>
          <w:rFonts w:hAnsi="宋体" w:hint="eastAsia"/>
          <w:sz w:val="24"/>
          <w:szCs w:val="18"/>
        </w:rPr>
        <w:t>、基金管理人聘请与基金管理人、基金托管人相互独立的具有证券从业资格的会计师事务所及其注册会计师对本基金的年度财务报表进行审计。</w:t>
      </w:r>
    </w:p>
    <w:p w14:paraId="0BDD4040"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2</w:t>
      </w:r>
      <w:r w:rsidRPr="00F00B77">
        <w:rPr>
          <w:rFonts w:hAnsi="宋体" w:hint="eastAsia"/>
          <w:sz w:val="24"/>
          <w:szCs w:val="18"/>
        </w:rPr>
        <w:t>、会计师事务所更换经办注册会计师，应事先征得基金管理人同意。</w:t>
      </w:r>
    </w:p>
    <w:p w14:paraId="41F69A03"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3</w:t>
      </w:r>
      <w:r w:rsidRPr="00F00B77">
        <w:rPr>
          <w:rFonts w:hAnsi="宋体" w:hint="eastAsia"/>
          <w:sz w:val="24"/>
          <w:szCs w:val="18"/>
        </w:rPr>
        <w:t>、基金管理人认为有充足理由更换会计师事务所，须通报基金托管人。更换会计师事务所需在</w:t>
      </w:r>
      <w:r w:rsidRPr="00F00B77">
        <w:rPr>
          <w:rFonts w:hAnsi="宋体" w:hint="eastAsia"/>
          <w:sz w:val="24"/>
          <w:szCs w:val="18"/>
        </w:rPr>
        <w:t>2</w:t>
      </w:r>
      <w:r w:rsidRPr="00F00B77">
        <w:rPr>
          <w:rFonts w:hAnsi="宋体" w:hint="eastAsia"/>
          <w:sz w:val="24"/>
          <w:szCs w:val="18"/>
        </w:rPr>
        <w:t>日内在指定媒介公告并报中国证监会备案。</w:t>
      </w:r>
      <w:bookmarkStart w:id="62" w:name="_Hlt4221115"/>
      <w:bookmarkEnd w:id="62"/>
    </w:p>
    <w:p w14:paraId="2C7F38DC" w14:textId="77777777" w:rsidR="00084DB4" w:rsidRPr="00F00B77" w:rsidRDefault="00084DB4">
      <w:pPr>
        <w:adjustRightInd w:val="0"/>
        <w:snapToGrid w:val="0"/>
        <w:spacing w:line="360" w:lineRule="auto"/>
        <w:ind w:firstLineChars="200" w:firstLine="480"/>
        <w:rPr>
          <w:rFonts w:hAnsi="宋体"/>
          <w:sz w:val="24"/>
          <w:szCs w:val="18"/>
        </w:rPr>
      </w:pPr>
    </w:p>
    <w:p w14:paraId="27B52C9C" w14:textId="77777777" w:rsidR="00084DB4" w:rsidRPr="00F00B77" w:rsidRDefault="00084DB4">
      <w:pPr>
        <w:widowControl/>
        <w:adjustRightInd w:val="0"/>
        <w:snapToGrid w:val="0"/>
        <w:spacing w:line="360" w:lineRule="auto"/>
        <w:ind w:firstLine="200"/>
        <w:rPr>
          <w:rFonts w:ascii="宋体" w:hAnsi="宋体"/>
          <w:kern w:val="0"/>
          <w:sz w:val="24"/>
        </w:rPr>
      </w:pPr>
    </w:p>
    <w:p w14:paraId="6C7D2A98"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3" w:name="_Toc491431679"/>
      <w:r w:rsidRPr="00F00B77">
        <w:rPr>
          <w:rFonts w:ascii="宋体" w:hAnsi="宋体" w:hint="eastAsia"/>
          <w:b/>
          <w:kern w:val="0"/>
          <w:sz w:val="30"/>
        </w:rPr>
        <w:t>十</w:t>
      </w:r>
      <w:r w:rsidR="00D87150" w:rsidRPr="00F00B77">
        <w:rPr>
          <w:rFonts w:ascii="宋体" w:hAnsi="宋体" w:hint="eastAsia"/>
          <w:b/>
          <w:kern w:val="0"/>
          <w:sz w:val="30"/>
        </w:rPr>
        <w:t>六</w:t>
      </w:r>
      <w:r w:rsidRPr="00F00B77">
        <w:rPr>
          <w:rFonts w:ascii="宋体" w:hAnsi="宋体" w:hint="eastAsia"/>
          <w:b/>
          <w:kern w:val="0"/>
          <w:sz w:val="30"/>
        </w:rPr>
        <w:t>、基金的信息披露</w:t>
      </w:r>
      <w:bookmarkEnd w:id="63"/>
    </w:p>
    <w:p w14:paraId="18D805D4" w14:textId="77777777" w:rsidR="00084DB4" w:rsidRPr="00F00B77" w:rsidRDefault="00084DB4">
      <w:pPr>
        <w:adjustRightInd w:val="0"/>
        <w:snapToGrid w:val="0"/>
        <w:spacing w:line="360" w:lineRule="auto"/>
        <w:ind w:firstLineChars="200" w:firstLine="482"/>
        <w:rPr>
          <w:rFonts w:hAnsi="宋体"/>
          <w:sz w:val="24"/>
        </w:rPr>
      </w:pPr>
      <w:r w:rsidRPr="00F00B77">
        <w:rPr>
          <w:rFonts w:hAnsi="宋体"/>
          <w:b/>
          <w:sz w:val="24"/>
        </w:rPr>
        <w:t>（一）</w:t>
      </w:r>
      <w:r w:rsidRPr="00F00B77">
        <w:rPr>
          <w:rFonts w:hAnsi="宋体" w:hint="eastAsia"/>
          <w:sz w:val="24"/>
        </w:rPr>
        <w:t>本基金的信息披露应符合《基金法》、《运作办法》、《信息披露办法》、《基金合同》及其他有关规定。</w:t>
      </w:r>
    </w:p>
    <w:p w14:paraId="32644C31" w14:textId="77777777" w:rsidR="00084DB4" w:rsidRPr="00F00B77" w:rsidRDefault="00084DB4">
      <w:pPr>
        <w:adjustRightInd w:val="0"/>
        <w:snapToGrid w:val="0"/>
        <w:spacing w:line="360" w:lineRule="auto"/>
        <w:ind w:firstLineChars="200" w:firstLine="482"/>
        <w:rPr>
          <w:b/>
          <w:sz w:val="24"/>
        </w:rPr>
      </w:pPr>
      <w:r w:rsidRPr="00F00B77">
        <w:rPr>
          <w:b/>
          <w:bCs/>
          <w:sz w:val="24"/>
        </w:rPr>
        <w:t>（二）信息披露义务人</w:t>
      </w:r>
    </w:p>
    <w:p w14:paraId="4CCBB3CA"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本基金信息披露义务人包括基金管理人、基金托管人、召集基金份额持有人大会的基金份额持有人等法律法规和中国证监会规定的自然人、法人和其他组织。</w:t>
      </w:r>
    </w:p>
    <w:p w14:paraId="3DBD2ADE"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本基金信息披露义务人按照法律法规和中国证监会的规定披露基金信息，并保证所披露信息的真实性、准确性和完整性。</w:t>
      </w:r>
    </w:p>
    <w:p w14:paraId="1D22625D"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B2449D9"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（三）本基金信息披露义务人承诺公开披露的基金信息，不得有下列行为：</w:t>
      </w:r>
    </w:p>
    <w:p w14:paraId="4A31EF49"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、虚假记载、误导性陈述或者重大遗漏；</w:t>
      </w:r>
    </w:p>
    <w:p w14:paraId="78B59B1C"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、对证券投资业绩进行预测；</w:t>
      </w:r>
    </w:p>
    <w:p w14:paraId="6A0C67F9"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、违规承诺收益或者承担损失；</w:t>
      </w:r>
    </w:p>
    <w:p w14:paraId="78FD9D63"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、诋毁其他基金管理人、基金托管人或者基金销售机构；</w:t>
      </w:r>
    </w:p>
    <w:p w14:paraId="348BC851"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、登载任何自然人、法人或者其他组织的祝贺性、恭维性或推荐性的文字；</w:t>
      </w:r>
    </w:p>
    <w:p w14:paraId="71908DE2"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6</w:t>
      </w:r>
      <w:r w:rsidRPr="00F00B77">
        <w:rPr>
          <w:rFonts w:hAnsi="宋体" w:hint="eastAsia"/>
          <w:sz w:val="24"/>
        </w:rPr>
        <w:t>、中国证监会禁止的其他行为。</w:t>
      </w:r>
    </w:p>
    <w:p w14:paraId="51A01BB9" w14:textId="77777777" w:rsidR="00084DB4" w:rsidRPr="00F00B77" w:rsidRDefault="00084DB4">
      <w:pPr>
        <w:adjustRightInd w:val="0"/>
        <w:snapToGrid w:val="0"/>
        <w:spacing w:line="360" w:lineRule="auto"/>
        <w:ind w:firstLineChars="200" w:firstLine="482"/>
        <w:rPr>
          <w:bCs/>
          <w:sz w:val="24"/>
        </w:rPr>
      </w:pPr>
      <w:r w:rsidRPr="00F00B77">
        <w:rPr>
          <w:rFonts w:hAnsi="宋体"/>
          <w:b/>
          <w:sz w:val="24"/>
        </w:rPr>
        <w:t>（四）</w:t>
      </w:r>
      <w:r w:rsidRPr="00F00B77">
        <w:rPr>
          <w:rFonts w:hint="eastAsia"/>
          <w:bCs/>
          <w:sz w:val="24"/>
        </w:rPr>
        <w:t>本基金公开披露的信息应采用中文文本。如同时采用外文文本的，基金信息披露义务人应保证两种文本的内容一致。两种文本发生歧义的，以中文文本为准。</w:t>
      </w:r>
    </w:p>
    <w:p w14:paraId="0654758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本基金公开披露的信息采用阿拉伯数字；除特别说明外，货币单位为人民币元。</w:t>
      </w:r>
    </w:p>
    <w:p w14:paraId="712D9667"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（五）公开披露的基金信息</w:t>
      </w:r>
    </w:p>
    <w:p w14:paraId="7CEFEFD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公开披露的基金信息包括：</w:t>
      </w:r>
    </w:p>
    <w:p w14:paraId="1BD1FAA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、基金招募说明书、《基金合同》、基金托管协议</w:t>
      </w:r>
    </w:p>
    <w:p w14:paraId="6188CA6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7C8C78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00B77">
        <w:rPr>
          <w:rFonts w:hint="eastAsia"/>
          <w:bCs/>
          <w:sz w:val="24"/>
        </w:rPr>
        <w:t>6</w:t>
      </w:r>
      <w:r w:rsidRPr="00F00B77">
        <w:rPr>
          <w:rFonts w:hint="eastAsia"/>
          <w:bCs/>
          <w:sz w:val="24"/>
        </w:rPr>
        <w:t>个月结束之日起</w:t>
      </w:r>
      <w:r w:rsidRPr="00F00B77">
        <w:rPr>
          <w:rFonts w:hint="eastAsia"/>
          <w:bCs/>
          <w:sz w:val="24"/>
        </w:rPr>
        <w:t>45</w:t>
      </w:r>
      <w:r w:rsidRPr="00F00B77">
        <w:rPr>
          <w:rFonts w:hint="eastAsia"/>
          <w:bCs/>
          <w:sz w:val="24"/>
        </w:rPr>
        <w:t>日内，更新招募说明书并登载在网站上，将更新后的招募说明书摘要登载在指定媒介上；基金管理人在公告的</w:t>
      </w:r>
      <w:r w:rsidRPr="00F00B77">
        <w:rPr>
          <w:rFonts w:hint="eastAsia"/>
          <w:bCs/>
          <w:sz w:val="24"/>
        </w:rPr>
        <w:t>15</w:t>
      </w:r>
      <w:r w:rsidRPr="00F00B77">
        <w:rPr>
          <w:rFonts w:hint="eastAsia"/>
          <w:bCs/>
          <w:sz w:val="24"/>
        </w:rPr>
        <w:t>日前向主要办公场所所在地的中国证监会派出机构报送更新的招募说明书，并就有关更新内容提供书面说明。</w:t>
      </w:r>
    </w:p>
    <w:p w14:paraId="4C9C3DA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）基金托管协议是界定基金托管人和基金管理人在基金财产保管及基金运作监督等活动中的权利、义务关系的法律文件。</w:t>
      </w:r>
    </w:p>
    <w:p w14:paraId="20F6B3F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基金募集申请经中国证监会注册后，基金管理人在基金份额发售的</w:t>
      </w:r>
      <w:r w:rsidRPr="00F00B77">
        <w:rPr>
          <w:rFonts w:hint="eastAsia"/>
          <w:bCs/>
          <w:sz w:val="24"/>
        </w:rPr>
        <w:t>3</w:t>
      </w:r>
      <w:r w:rsidRPr="00F00B77">
        <w:rPr>
          <w:rFonts w:hint="eastAsia"/>
          <w:bCs/>
          <w:sz w:val="24"/>
        </w:rPr>
        <w:t>日前，将基金招募说明书、《基金合同》摘要登载在指定媒介上；基金管理人、基金托管人应当将《基金合同》、基金托管协议登载在网站上。</w:t>
      </w:r>
    </w:p>
    <w:p w14:paraId="33630BA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、基金份额发售公告</w:t>
      </w:r>
    </w:p>
    <w:p w14:paraId="79C4033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基金管理人应当就基金份额发售的具体事宜编制基金份额发售公告，并在披露招募说明书的当日登载于指定媒介上。</w:t>
      </w:r>
    </w:p>
    <w:p w14:paraId="6FBBB86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、《基金合同》生效公告</w:t>
      </w:r>
    </w:p>
    <w:p w14:paraId="0F9F4C6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基金管理人应当在收到中国证监会确认文件的次日在指定媒介上登载《基金合同》生效公告。</w:t>
      </w:r>
    </w:p>
    <w:p w14:paraId="6D41AE7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、各类基金份额的基金资产净值、每万份基金已实现收益和</w:t>
      </w:r>
      <w:r w:rsidRPr="00F00B77">
        <w:rPr>
          <w:rFonts w:hint="eastAsia"/>
          <w:bCs/>
          <w:sz w:val="24"/>
        </w:rPr>
        <w:t>7</w:t>
      </w:r>
      <w:r w:rsidRPr="00F00B77">
        <w:rPr>
          <w:rFonts w:hint="eastAsia"/>
          <w:bCs/>
          <w:sz w:val="24"/>
        </w:rPr>
        <w:t>日年化收益率公告</w:t>
      </w:r>
    </w:p>
    <w:p w14:paraId="0BCE7F1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）本基金的基金合同生效后，在开始办理基金份额申购或者赎回前，基金管理人将至少每周分别公告一次各类基金份额的基金资产净值、每万份基金已实现收益和</w:t>
      </w:r>
      <w:r w:rsidRPr="00F00B77">
        <w:rPr>
          <w:rFonts w:hint="eastAsia"/>
          <w:bCs/>
          <w:sz w:val="24"/>
        </w:rPr>
        <w:t>7</w:t>
      </w:r>
      <w:r w:rsidRPr="00F00B77">
        <w:rPr>
          <w:rFonts w:hint="eastAsia"/>
          <w:bCs/>
          <w:sz w:val="24"/>
        </w:rPr>
        <w:t>日年化收益率；</w:t>
      </w:r>
    </w:p>
    <w:p w14:paraId="0BEE856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各类基金份额的每万份基金已实现收益和</w:t>
      </w:r>
      <w:r w:rsidRPr="00F00B77">
        <w:rPr>
          <w:rFonts w:hint="eastAsia"/>
          <w:bCs/>
          <w:sz w:val="24"/>
        </w:rPr>
        <w:t>7</w:t>
      </w:r>
      <w:r w:rsidRPr="00F00B77">
        <w:rPr>
          <w:rFonts w:hint="eastAsia"/>
          <w:bCs/>
          <w:sz w:val="24"/>
        </w:rPr>
        <w:t>日年化收益率的计算方法如下：</w:t>
      </w:r>
    </w:p>
    <w:p w14:paraId="587F7C8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某类基金份额的日每万份基金已实现收益＝当日该类基金份额的已实现收益</w:t>
      </w:r>
      <w:r w:rsidRPr="00F00B77">
        <w:rPr>
          <w:rFonts w:hint="eastAsia"/>
          <w:bCs/>
          <w:sz w:val="24"/>
        </w:rPr>
        <w:t>/</w:t>
      </w:r>
      <w:r w:rsidRPr="00F00B77">
        <w:rPr>
          <w:rFonts w:hint="eastAsia"/>
          <w:bCs/>
          <w:sz w:val="24"/>
        </w:rPr>
        <w:t>当日该类基金份额总额×</w:t>
      </w:r>
      <w:r w:rsidRPr="00F00B77">
        <w:rPr>
          <w:rFonts w:hint="eastAsia"/>
          <w:bCs/>
          <w:sz w:val="24"/>
        </w:rPr>
        <w:t>10000</w:t>
      </w:r>
    </w:p>
    <w:p w14:paraId="2DDA34C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某类基金份额的</w:t>
      </w:r>
      <w:r w:rsidRPr="00F00B77">
        <w:rPr>
          <w:rFonts w:hint="eastAsia"/>
          <w:bCs/>
          <w:sz w:val="24"/>
        </w:rPr>
        <w:t>7</w:t>
      </w:r>
      <w:r w:rsidRPr="00F00B77">
        <w:rPr>
          <w:rFonts w:hint="eastAsia"/>
          <w:bCs/>
          <w:sz w:val="24"/>
          <w:lang w:val="zh-CN"/>
        </w:rPr>
        <w:t>日年化收益率</w:t>
      </w:r>
      <w:r w:rsidRPr="00F00B77">
        <w:rPr>
          <w:rFonts w:hint="eastAsia"/>
          <w:bCs/>
          <w:sz w:val="24"/>
        </w:rPr>
        <w:t>（</w:t>
      </w:r>
      <w:r w:rsidRPr="00F00B77">
        <w:rPr>
          <w:rFonts w:hint="eastAsia"/>
          <w:bCs/>
          <w:sz w:val="24"/>
        </w:rPr>
        <w:t>%</w:t>
      </w:r>
      <w:r w:rsidRPr="00F00B77">
        <w:rPr>
          <w:rFonts w:hint="eastAsia"/>
          <w:bCs/>
          <w:sz w:val="24"/>
        </w:rPr>
        <w:t>）</w:t>
      </w:r>
      <w:r w:rsidRPr="00F00B77">
        <w:rPr>
          <w:rFonts w:hint="eastAsia"/>
          <w:bCs/>
          <w:sz w:val="24"/>
        </w:rPr>
        <w:t>=</w:t>
      </w:r>
      <w:r w:rsidRPr="00F00B77">
        <w:rPr>
          <w:bCs/>
          <w:sz w:val="24"/>
        </w:rPr>
        <w:object w:dxaOrig="3480" w:dyaOrig="880" w14:anchorId="507C76B6">
          <v:shape id="Picture 4" o:spid="_x0000_i1026" type="#_x0000_t75" style="width:174pt;height:44.4pt;mso-position-horizontal-relative:page;mso-position-vertical-relative:page" o:ole="">
            <v:imagedata r:id="rId16" o:title=""/>
          </v:shape>
          <o:OLEObject Type="Embed" ProgID="Equation.DSMT4" ShapeID="Picture 4" DrawAspect="Content" ObjectID="_1565174449" r:id="rId17"/>
        </w:object>
      </w:r>
    </w:p>
    <w:p w14:paraId="27273399" w14:textId="77777777" w:rsidR="00084DB4" w:rsidRPr="00F00B77" w:rsidRDefault="00084DB4">
      <w:pPr>
        <w:adjustRightInd w:val="0"/>
        <w:snapToGrid w:val="0"/>
        <w:spacing w:line="360" w:lineRule="auto"/>
        <w:ind w:firstLineChars="200" w:firstLine="480"/>
        <w:rPr>
          <w:bCs/>
          <w:sz w:val="24"/>
          <w:lang w:val="zh-CN"/>
        </w:rPr>
      </w:pPr>
      <w:r w:rsidRPr="00F00B77">
        <w:rPr>
          <w:rFonts w:hint="eastAsia"/>
          <w:bCs/>
          <w:sz w:val="24"/>
          <w:lang w:val="zh-CN"/>
        </w:rPr>
        <w:t>其中，</w:t>
      </w:r>
      <w:r w:rsidRPr="00F00B77">
        <w:rPr>
          <w:rFonts w:hint="eastAsia"/>
          <w:bCs/>
          <w:sz w:val="24"/>
          <w:lang w:val="zh-CN"/>
        </w:rPr>
        <w:t>Ri</w:t>
      </w:r>
      <w:r w:rsidRPr="00F00B77">
        <w:rPr>
          <w:rFonts w:hint="eastAsia"/>
          <w:bCs/>
          <w:sz w:val="24"/>
          <w:lang w:val="zh-CN"/>
        </w:rPr>
        <w:t>为最近第</w:t>
      </w:r>
      <w:r w:rsidRPr="00F00B77">
        <w:rPr>
          <w:rFonts w:hint="eastAsia"/>
          <w:bCs/>
          <w:sz w:val="24"/>
          <w:lang w:val="zh-CN"/>
        </w:rPr>
        <w:t>i</w:t>
      </w:r>
      <w:r w:rsidRPr="00F00B77">
        <w:rPr>
          <w:rFonts w:hint="eastAsia"/>
          <w:bCs/>
          <w:sz w:val="24"/>
          <w:lang w:val="zh-CN"/>
        </w:rPr>
        <w:t>个自然日</w:t>
      </w:r>
      <w:r w:rsidRPr="00F00B77">
        <w:rPr>
          <w:rFonts w:hint="eastAsia"/>
          <w:bCs/>
          <w:sz w:val="24"/>
          <w:lang w:val="zh-CN"/>
        </w:rPr>
        <w:t>(</w:t>
      </w:r>
      <w:r w:rsidRPr="00F00B77">
        <w:rPr>
          <w:rFonts w:hint="eastAsia"/>
          <w:bCs/>
          <w:sz w:val="24"/>
          <w:lang w:val="zh-CN"/>
        </w:rPr>
        <w:t>包括计算当日</w:t>
      </w:r>
      <w:r w:rsidRPr="00F00B77">
        <w:rPr>
          <w:rFonts w:hint="eastAsia"/>
          <w:bCs/>
          <w:sz w:val="24"/>
          <w:lang w:val="zh-CN"/>
        </w:rPr>
        <w:t>)</w:t>
      </w:r>
      <w:r w:rsidRPr="00F00B77">
        <w:rPr>
          <w:rFonts w:hint="eastAsia"/>
          <w:bCs/>
          <w:sz w:val="24"/>
        </w:rPr>
        <w:t xml:space="preserve"> </w:t>
      </w:r>
      <w:r w:rsidRPr="00F00B77">
        <w:rPr>
          <w:rFonts w:hint="eastAsia"/>
          <w:bCs/>
          <w:sz w:val="24"/>
        </w:rPr>
        <w:t>该类基金份额</w:t>
      </w:r>
      <w:r w:rsidRPr="00F00B77">
        <w:rPr>
          <w:rFonts w:hint="eastAsia"/>
          <w:bCs/>
          <w:sz w:val="24"/>
          <w:lang w:val="zh-CN"/>
        </w:rPr>
        <w:t>的每万份基金已实现收益，</w:t>
      </w:r>
      <w:r w:rsidRPr="00F00B77">
        <w:rPr>
          <w:rFonts w:hint="eastAsia"/>
          <w:bCs/>
          <w:sz w:val="24"/>
        </w:rPr>
        <w:t>如果基金合同生效不足七日，按类似规则计算</w:t>
      </w:r>
      <w:r w:rsidRPr="00F00B77">
        <w:rPr>
          <w:rFonts w:hint="eastAsia"/>
          <w:bCs/>
          <w:sz w:val="24"/>
          <w:lang w:val="zh-CN"/>
        </w:rPr>
        <w:t>。</w:t>
      </w:r>
    </w:p>
    <w:p w14:paraId="25F339B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lang w:val="zh-CN"/>
        </w:rPr>
        <w:t>每万份基金已实现收益采用四舍五入保留至小数点后第</w:t>
      </w:r>
      <w:r w:rsidRPr="00F00B77">
        <w:rPr>
          <w:rFonts w:hint="eastAsia"/>
          <w:bCs/>
          <w:sz w:val="24"/>
          <w:lang w:val="zh-CN"/>
        </w:rPr>
        <w:t>4</w:t>
      </w:r>
      <w:r w:rsidRPr="00F00B77">
        <w:rPr>
          <w:rFonts w:hint="eastAsia"/>
          <w:bCs/>
          <w:sz w:val="24"/>
          <w:lang w:val="zh-CN"/>
        </w:rPr>
        <w:t>位，</w:t>
      </w:r>
      <w:r w:rsidRPr="00F00B77">
        <w:rPr>
          <w:rFonts w:hint="eastAsia"/>
          <w:bCs/>
          <w:sz w:val="24"/>
          <w:lang w:val="zh-CN"/>
        </w:rPr>
        <w:t>7</w:t>
      </w:r>
      <w:r w:rsidRPr="00F00B77">
        <w:rPr>
          <w:rFonts w:hint="eastAsia"/>
          <w:bCs/>
          <w:sz w:val="24"/>
          <w:lang w:val="zh-CN"/>
        </w:rPr>
        <w:t>日年化收益率采用四舍五入保留至百分号内小数点后第</w:t>
      </w:r>
      <w:r w:rsidRPr="00F00B77">
        <w:rPr>
          <w:rFonts w:hint="eastAsia"/>
          <w:bCs/>
          <w:sz w:val="24"/>
          <w:lang w:val="zh-CN"/>
        </w:rPr>
        <w:t>3</w:t>
      </w:r>
      <w:r w:rsidRPr="00F00B77">
        <w:rPr>
          <w:rFonts w:hint="eastAsia"/>
          <w:bCs/>
          <w:sz w:val="24"/>
          <w:lang w:val="zh-CN"/>
        </w:rPr>
        <w:t>位。</w:t>
      </w:r>
      <w:r w:rsidRPr="00F00B77">
        <w:rPr>
          <w:rFonts w:hint="eastAsia"/>
          <w:bCs/>
          <w:sz w:val="24"/>
        </w:rPr>
        <w:t>其中，当日</w:t>
      </w:r>
      <w:r w:rsidR="00D65B90" w:rsidRPr="00F00B77">
        <w:rPr>
          <w:rFonts w:hint="eastAsia"/>
          <w:bCs/>
          <w:sz w:val="24"/>
        </w:rPr>
        <w:t>该类</w:t>
      </w:r>
      <w:r w:rsidRPr="00F00B77">
        <w:rPr>
          <w:rFonts w:hint="eastAsia"/>
          <w:bCs/>
          <w:sz w:val="24"/>
        </w:rPr>
        <w:t>基金份额总额包括该类</w:t>
      </w:r>
      <w:r w:rsidRPr="00F00B77">
        <w:rPr>
          <w:bCs/>
          <w:sz w:val="24"/>
        </w:rPr>
        <w:t>基金份额</w:t>
      </w:r>
      <w:r w:rsidRPr="00F00B77">
        <w:rPr>
          <w:rFonts w:hint="eastAsia"/>
          <w:bCs/>
          <w:sz w:val="24"/>
        </w:rPr>
        <w:t>截至上一工作日</w:t>
      </w:r>
      <w:r w:rsidRPr="00F00B77">
        <w:rPr>
          <w:rFonts w:hint="eastAsia"/>
          <w:bCs/>
          <w:sz w:val="24"/>
        </w:rPr>
        <w:t>(</w:t>
      </w:r>
      <w:r w:rsidRPr="00F00B77">
        <w:rPr>
          <w:rFonts w:hint="eastAsia"/>
          <w:bCs/>
          <w:sz w:val="24"/>
        </w:rPr>
        <w:t>包括节假日</w:t>
      </w:r>
      <w:r w:rsidRPr="00F00B77">
        <w:rPr>
          <w:rFonts w:hint="eastAsia"/>
          <w:bCs/>
          <w:sz w:val="24"/>
        </w:rPr>
        <w:t>)</w:t>
      </w:r>
      <w:r w:rsidRPr="00F00B77">
        <w:rPr>
          <w:rFonts w:hint="eastAsia"/>
          <w:bCs/>
          <w:sz w:val="24"/>
        </w:rPr>
        <w:t>未结转份额（若有）。</w:t>
      </w:r>
      <w:r w:rsidRPr="00F00B77">
        <w:rPr>
          <w:rFonts w:hint="eastAsia"/>
          <w:bCs/>
          <w:sz w:val="24"/>
        </w:rPr>
        <w:t xml:space="preserve"> </w:t>
      </w:r>
    </w:p>
    <w:p w14:paraId="7EFAFA99" w14:textId="77777777" w:rsidR="00084DB4" w:rsidRPr="00F00B77" w:rsidRDefault="00084DB4">
      <w:pPr>
        <w:adjustRightInd w:val="0"/>
        <w:snapToGrid w:val="0"/>
        <w:spacing w:line="360" w:lineRule="auto"/>
        <w:ind w:firstLineChars="200" w:firstLine="480"/>
        <w:rPr>
          <w:bCs/>
          <w:sz w:val="24"/>
          <w:lang w:val="zh-CN"/>
        </w:rPr>
      </w:pPr>
      <w:r w:rsidRPr="00F00B77">
        <w:rPr>
          <w:rFonts w:hint="eastAsia"/>
          <w:bCs/>
          <w:sz w:val="24"/>
        </w:rPr>
        <w:t>（</w:t>
      </w:r>
      <w:r w:rsidRPr="00F00B77">
        <w:rPr>
          <w:rFonts w:hint="eastAsia"/>
          <w:bCs/>
          <w:sz w:val="24"/>
        </w:rPr>
        <w:t>2</w:t>
      </w:r>
      <w:r w:rsidRPr="00F00B77">
        <w:rPr>
          <w:rFonts w:hint="eastAsia"/>
          <w:bCs/>
          <w:sz w:val="24"/>
        </w:rPr>
        <w:t>）</w:t>
      </w:r>
      <w:r w:rsidRPr="00F00B77">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F00B77">
        <w:rPr>
          <w:rFonts w:hint="eastAsia"/>
          <w:bCs/>
          <w:sz w:val="24"/>
          <w:lang w:val="zh-CN"/>
        </w:rPr>
        <w:t>7</w:t>
      </w:r>
      <w:r w:rsidRPr="00F00B77">
        <w:rPr>
          <w:rFonts w:hint="eastAsia"/>
          <w:bCs/>
          <w:sz w:val="24"/>
          <w:lang w:val="zh-CN"/>
        </w:rPr>
        <w:t>日年化收益率。</w:t>
      </w:r>
    </w:p>
    <w:p w14:paraId="7D6CB1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w:t>
      </w:r>
      <w:r w:rsidRPr="00F00B77">
        <w:rPr>
          <w:rFonts w:hint="eastAsia"/>
          <w:bCs/>
          <w:sz w:val="24"/>
          <w:lang w:val="zh-CN"/>
        </w:rPr>
        <w:t>基金管理人将公告半年度和年度最后一个市场交易日（或自然日）各类基金份额的基金资产净值、每万份基金已实现收益和</w:t>
      </w:r>
      <w:r w:rsidRPr="00F00B77">
        <w:rPr>
          <w:rFonts w:hint="eastAsia"/>
          <w:bCs/>
          <w:sz w:val="24"/>
          <w:lang w:val="zh-CN"/>
        </w:rPr>
        <w:t>7</w:t>
      </w:r>
      <w:r w:rsidRPr="00F00B77">
        <w:rPr>
          <w:rFonts w:hint="eastAsia"/>
          <w:bCs/>
          <w:sz w:val="24"/>
          <w:lang w:val="zh-CN"/>
        </w:rPr>
        <w:t>日年化收益率。基金管理人应当在上述市场交易日（或自然日）的次日，将各类基金份额的基金资产净值、每万份基金已实现收益和</w:t>
      </w:r>
      <w:r w:rsidRPr="00F00B77">
        <w:rPr>
          <w:rFonts w:hint="eastAsia"/>
          <w:bCs/>
          <w:sz w:val="24"/>
          <w:lang w:val="zh-CN"/>
        </w:rPr>
        <w:t>7</w:t>
      </w:r>
      <w:r w:rsidRPr="00F00B77">
        <w:rPr>
          <w:rFonts w:hint="eastAsia"/>
          <w:bCs/>
          <w:sz w:val="24"/>
          <w:lang w:val="zh-CN"/>
        </w:rPr>
        <w:t>日年化收益率登载在指定媒介上。</w:t>
      </w:r>
    </w:p>
    <w:p w14:paraId="4DEFABD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、基金定期报告，包括基金年度报告、基金半年度报告和基金季度报告</w:t>
      </w:r>
    </w:p>
    <w:p w14:paraId="7E9F76F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基金管理人应当在每年结束之日起</w:t>
      </w:r>
      <w:r w:rsidRPr="00F00B77">
        <w:rPr>
          <w:rFonts w:hint="eastAsia"/>
          <w:bCs/>
          <w:sz w:val="24"/>
        </w:rPr>
        <w:t>90</w:t>
      </w:r>
      <w:r w:rsidRPr="00F00B77">
        <w:rPr>
          <w:rFonts w:hint="eastAsia"/>
          <w:bCs/>
          <w:sz w:val="24"/>
        </w:rPr>
        <w:t>日内，编制完成基金年度报告，并将年度报告正文登载于网站上，将年度报告摘要登载在指定媒介上。基金年度报告的财务会计报告应当经过审计。</w:t>
      </w:r>
    </w:p>
    <w:p w14:paraId="46A4069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基金管理人应当在上半年结束之日起</w:t>
      </w:r>
      <w:r w:rsidRPr="00F00B77">
        <w:rPr>
          <w:rFonts w:hint="eastAsia"/>
          <w:bCs/>
          <w:sz w:val="24"/>
        </w:rPr>
        <w:t>60</w:t>
      </w:r>
      <w:r w:rsidRPr="00F00B77">
        <w:rPr>
          <w:rFonts w:hint="eastAsia"/>
          <w:bCs/>
          <w:sz w:val="24"/>
        </w:rPr>
        <w:t>日内，编制完成基金半年度报告，并将半年度报告正文登载在网站上，将半年度报告摘要登载在指定媒介上。</w:t>
      </w:r>
    </w:p>
    <w:p w14:paraId="1D9D004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基金管理人应当在每个季度结束之日起</w:t>
      </w:r>
      <w:r w:rsidRPr="00F00B77">
        <w:rPr>
          <w:rFonts w:hint="eastAsia"/>
          <w:bCs/>
          <w:sz w:val="24"/>
        </w:rPr>
        <w:t>15</w:t>
      </w:r>
      <w:r w:rsidRPr="00F00B77">
        <w:rPr>
          <w:rFonts w:hint="eastAsia"/>
          <w:bCs/>
          <w:sz w:val="24"/>
        </w:rPr>
        <w:t>个工作日内，编制完成基金季度报告，并将季度报告登载在指定媒介上。</w:t>
      </w:r>
    </w:p>
    <w:p w14:paraId="2B1FA91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《基金合同》生效不足</w:t>
      </w:r>
      <w:r w:rsidRPr="00F00B77">
        <w:rPr>
          <w:rFonts w:hint="eastAsia"/>
          <w:bCs/>
          <w:sz w:val="24"/>
        </w:rPr>
        <w:t>2</w:t>
      </w:r>
      <w:r w:rsidRPr="00F00B77">
        <w:rPr>
          <w:rFonts w:hint="eastAsia"/>
          <w:bCs/>
          <w:sz w:val="24"/>
        </w:rPr>
        <w:t>个月的，基金管理人可以不编制当期季度报告、半年度报告或者年度报告。</w:t>
      </w:r>
    </w:p>
    <w:p w14:paraId="78A5906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基金定期报告在公开披露的第</w:t>
      </w:r>
      <w:r w:rsidRPr="00F00B77">
        <w:rPr>
          <w:rFonts w:hint="eastAsia"/>
          <w:bCs/>
          <w:sz w:val="24"/>
        </w:rPr>
        <w:t>2</w:t>
      </w:r>
      <w:r w:rsidRPr="00F00B77">
        <w:rPr>
          <w:rFonts w:hint="eastAsia"/>
          <w:bCs/>
          <w:sz w:val="24"/>
        </w:rPr>
        <w:t>个工作日，分别报中国证监会和基金管理人主要办公场所所在地中国证监会派出机构备案。报备应当采用电子文本或书面报告方式。</w:t>
      </w:r>
    </w:p>
    <w:p w14:paraId="02A24F4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、临时报告</w:t>
      </w:r>
    </w:p>
    <w:p w14:paraId="27C7708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本基金发生重大事件，有关信息披露义务人应当在</w:t>
      </w:r>
      <w:r w:rsidRPr="00F00B77">
        <w:rPr>
          <w:rFonts w:hint="eastAsia"/>
          <w:bCs/>
          <w:sz w:val="24"/>
        </w:rPr>
        <w:t>2</w:t>
      </w:r>
      <w:r w:rsidRPr="00F00B77">
        <w:rPr>
          <w:rFonts w:hint="eastAsia"/>
          <w:bCs/>
          <w:sz w:val="24"/>
        </w:rPr>
        <w:t>日内编制临时报告书，予以公告，并在公开披露日分别报中国证监会和基金管理人主要办公场所所在地的中国证监会派出机构备案。</w:t>
      </w:r>
    </w:p>
    <w:p w14:paraId="2934541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前款所称重大事件，是指可能对基金份额持有人权益或者基金资产净值产生重大影响的下列事件：</w:t>
      </w:r>
    </w:p>
    <w:p w14:paraId="578BDD6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基金份额持有人大会的召开；</w:t>
      </w:r>
    </w:p>
    <w:p w14:paraId="2BB9EF2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终止《基金合同》；</w:t>
      </w:r>
    </w:p>
    <w:p w14:paraId="17191F4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转换基金运作方式；</w:t>
      </w:r>
    </w:p>
    <w:p w14:paraId="39D2051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更换基金管理人、基金托管人；</w:t>
      </w:r>
    </w:p>
    <w:p w14:paraId="491B225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基金管理人、基金托管人的法定名称、住所发生变更；</w:t>
      </w:r>
    </w:p>
    <w:p w14:paraId="3100762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6</w:t>
      </w:r>
      <w:r w:rsidRPr="00F00B77">
        <w:rPr>
          <w:rFonts w:hint="eastAsia"/>
          <w:bCs/>
          <w:sz w:val="24"/>
        </w:rPr>
        <w:t>）</w:t>
      </w:r>
      <w:r w:rsidRPr="00F00B77">
        <w:rPr>
          <w:bCs/>
          <w:sz w:val="24"/>
        </w:rPr>
        <w:t>基金管理人股东及其出资比例发生变更；</w:t>
      </w:r>
    </w:p>
    <w:p w14:paraId="79C0E81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7</w:t>
      </w:r>
      <w:r w:rsidRPr="00F00B77">
        <w:rPr>
          <w:rFonts w:hint="eastAsia"/>
          <w:bCs/>
          <w:sz w:val="24"/>
        </w:rPr>
        <w:t>）</w:t>
      </w:r>
      <w:r w:rsidRPr="00F00B77">
        <w:rPr>
          <w:bCs/>
          <w:sz w:val="24"/>
        </w:rPr>
        <w:t>基金募集期延长；</w:t>
      </w:r>
    </w:p>
    <w:p w14:paraId="7894B03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8</w:t>
      </w:r>
      <w:r w:rsidRPr="00F00B77">
        <w:rPr>
          <w:rFonts w:hint="eastAsia"/>
          <w:bCs/>
          <w:sz w:val="24"/>
        </w:rPr>
        <w:t>）</w:t>
      </w:r>
      <w:r w:rsidRPr="00F00B77">
        <w:rPr>
          <w:bCs/>
          <w:sz w:val="24"/>
        </w:rPr>
        <w:t>基金管理人的董事长、总经理及其他高级管理人员、基金经理和基金托管人基金托管部门负责人发生变动；</w:t>
      </w:r>
    </w:p>
    <w:p w14:paraId="7B3923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9</w:t>
      </w:r>
      <w:r w:rsidRPr="00F00B77">
        <w:rPr>
          <w:rFonts w:hint="eastAsia"/>
          <w:bCs/>
          <w:sz w:val="24"/>
        </w:rPr>
        <w:t>）</w:t>
      </w:r>
      <w:r w:rsidRPr="00F00B77">
        <w:rPr>
          <w:bCs/>
          <w:sz w:val="24"/>
        </w:rPr>
        <w:t>基金管理人的董事在一年内变更超过百分之五十；</w:t>
      </w:r>
    </w:p>
    <w:p w14:paraId="5A15652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10</w:t>
      </w:r>
      <w:r w:rsidRPr="00F00B77">
        <w:rPr>
          <w:rFonts w:hint="eastAsia"/>
          <w:bCs/>
          <w:sz w:val="24"/>
        </w:rPr>
        <w:t>）</w:t>
      </w:r>
      <w:r w:rsidRPr="00F00B77">
        <w:rPr>
          <w:bCs/>
          <w:sz w:val="24"/>
        </w:rPr>
        <w:t>基金管理人、基金托管人基金托管部门的主要业务人员在一年内变动超过百分之三十；</w:t>
      </w:r>
    </w:p>
    <w:p w14:paraId="01D7A64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11</w:t>
      </w:r>
      <w:r w:rsidRPr="00F00B77">
        <w:rPr>
          <w:rFonts w:hint="eastAsia"/>
          <w:bCs/>
          <w:sz w:val="24"/>
        </w:rPr>
        <w:t>）</w:t>
      </w:r>
      <w:r w:rsidRPr="00F00B77">
        <w:rPr>
          <w:bCs/>
          <w:sz w:val="24"/>
        </w:rPr>
        <w:t>涉及基金</w:t>
      </w:r>
      <w:r w:rsidRPr="00F00B77">
        <w:rPr>
          <w:rFonts w:hint="eastAsia"/>
          <w:bCs/>
          <w:sz w:val="24"/>
        </w:rPr>
        <w:t>财产</w:t>
      </w:r>
      <w:r w:rsidRPr="00F00B77">
        <w:rPr>
          <w:bCs/>
          <w:sz w:val="24"/>
        </w:rPr>
        <w:t>、基金</w:t>
      </w:r>
      <w:r w:rsidRPr="00F00B77">
        <w:rPr>
          <w:rFonts w:hint="eastAsia"/>
          <w:bCs/>
          <w:sz w:val="24"/>
        </w:rPr>
        <w:t>管理业务</w:t>
      </w:r>
      <w:r w:rsidRPr="00F00B77">
        <w:rPr>
          <w:bCs/>
          <w:sz w:val="24"/>
        </w:rPr>
        <w:t>、基金托管业务的诉讼</w:t>
      </w:r>
      <w:r w:rsidRPr="00F00B77">
        <w:rPr>
          <w:rFonts w:hint="eastAsia"/>
          <w:bCs/>
          <w:sz w:val="24"/>
        </w:rPr>
        <w:t>或仲裁</w:t>
      </w:r>
      <w:r w:rsidRPr="00F00B77">
        <w:rPr>
          <w:bCs/>
          <w:sz w:val="24"/>
        </w:rPr>
        <w:t>；</w:t>
      </w:r>
    </w:p>
    <w:p w14:paraId="4911A77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12</w:t>
      </w:r>
      <w:r w:rsidRPr="00F00B77">
        <w:rPr>
          <w:rFonts w:hint="eastAsia"/>
          <w:bCs/>
          <w:sz w:val="24"/>
        </w:rPr>
        <w:t>）</w:t>
      </w:r>
      <w:r w:rsidRPr="00F00B77">
        <w:rPr>
          <w:bCs/>
          <w:sz w:val="24"/>
        </w:rPr>
        <w:t>基金管理人、基金托管人受到监管部门的调查；</w:t>
      </w:r>
    </w:p>
    <w:p w14:paraId="45532FC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13</w:t>
      </w:r>
      <w:r w:rsidRPr="00F00B77">
        <w:rPr>
          <w:rFonts w:hint="eastAsia"/>
          <w:bCs/>
          <w:sz w:val="24"/>
        </w:rPr>
        <w:t>）</w:t>
      </w:r>
      <w:r w:rsidRPr="00F00B77">
        <w:rPr>
          <w:bCs/>
          <w:sz w:val="24"/>
        </w:rPr>
        <w:t>基金管理人及其董事、总经理及其他高级管理人员、基金经理受到严重行政处罚，基金托管人及其基金托管部门负责人受到严重行政处罚；</w:t>
      </w:r>
    </w:p>
    <w:p w14:paraId="235C5C6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14</w:t>
      </w:r>
      <w:r w:rsidRPr="00F00B77">
        <w:rPr>
          <w:rFonts w:hint="eastAsia"/>
          <w:bCs/>
          <w:sz w:val="24"/>
        </w:rPr>
        <w:t>）</w:t>
      </w:r>
      <w:r w:rsidRPr="00F00B77">
        <w:rPr>
          <w:bCs/>
          <w:sz w:val="24"/>
        </w:rPr>
        <w:t>重大关联交易事项；</w:t>
      </w:r>
    </w:p>
    <w:p w14:paraId="2950B77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15</w:t>
      </w:r>
      <w:r w:rsidRPr="00F00B77">
        <w:rPr>
          <w:rFonts w:hint="eastAsia"/>
          <w:bCs/>
          <w:sz w:val="24"/>
        </w:rPr>
        <w:t>）</w:t>
      </w:r>
      <w:r w:rsidRPr="00F00B77">
        <w:rPr>
          <w:bCs/>
          <w:sz w:val="24"/>
        </w:rPr>
        <w:t>基金收益分配事项</w:t>
      </w:r>
      <w:r w:rsidRPr="00F00B77">
        <w:rPr>
          <w:rFonts w:hint="eastAsia"/>
          <w:bCs/>
          <w:sz w:val="24"/>
        </w:rPr>
        <w:t>，但基金合同另有约定的除外</w:t>
      </w:r>
      <w:r w:rsidRPr="00F00B77">
        <w:rPr>
          <w:bCs/>
          <w:sz w:val="24"/>
        </w:rPr>
        <w:t>；</w:t>
      </w:r>
    </w:p>
    <w:p w14:paraId="189B8CA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16</w:t>
      </w:r>
      <w:r w:rsidRPr="00F00B77">
        <w:rPr>
          <w:rFonts w:hint="eastAsia"/>
          <w:bCs/>
          <w:sz w:val="24"/>
        </w:rPr>
        <w:t>）</w:t>
      </w:r>
      <w:r w:rsidRPr="00F00B77">
        <w:rPr>
          <w:bCs/>
          <w:sz w:val="24"/>
        </w:rPr>
        <w:t>管理费、托管费</w:t>
      </w:r>
      <w:r w:rsidRPr="00F00B77">
        <w:rPr>
          <w:rFonts w:hint="eastAsia"/>
          <w:bCs/>
          <w:sz w:val="24"/>
        </w:rPr>
        <w:t>、销售服务费</w:t>
      </w:r>
      <w:r w:rsidRPr="00F00B77">
        <w:rPr>
          <w:bCs/>
          <w:sz w:val="24"/>
        </w:rPr>
        <w:t>等费用计提标准、计提方式和费率发生变更；</w:t>
      </w:r>
    </w:p>
    <w:p w14:paraId="22709C0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17</w:t>
      </w:r>
      <w:r w:rsidRPr="00F00B77">
        <w:rPr>
          <w:rFonts w:hint="eastAsia"/>
          <w:bCs/>
          <w:sz w:val="24"/>
        </w:rPr>
        <w:t>）</w:t>
      </w:r>
      <w:r w:rsidRPr="00F00B77">
        <w:rPr>
          <w:bCs/>
          <w:sz w:val="24"/>
        </w:rPr>
        <w:t>基金</w:t>
      </w:r>
      <w:r w:rsidRPr="00F00B77">
        <w:rPr>
          <w:rFonts w:hint="eastAsia"/>
          <w:bCs/>
          <w:sz w:val="24"/>
        </w:rPr>
        <w:t>资产</w:t>
      </w:r>
      <w:r w:rsidRPr="00F00B77">
        <w:rPr>
          <w:bCs/>
          <w:sz w:val="24"/>
        </w:rPr>
        <w:t>净值计价错误达基金</w:t>
      </w:r>
      <w:r w:rsidRPr="00F00B77">
        <w:rPr>
          <w:rFonts w:hint="eastAsia"/>
          <w:bCs/>
          <w:sz w:val="24"/>
        </w:rPr>
        <w:t>资产</w:t>
      </w:r>
      <w:r w:rsidRPr="00F00B77">
        <w:rPr>
          <w:bCs/>
          <w:sz w:val="24"/>
        </w:rPr>
        <w:t>净值百分之零点五；</w:t>
      </w:r>
    </w:p>
    <w:p w14:paraId="551E371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18</w:t>
      </w:r>
      <w:r w:rsidRPr="00F00B77">
        <w:rPr>
          <w:rFonts w:hint="eastAsia"/>
          <w:bCs/>
          <w:sz w:val="24"/>
        </w:rPr>
        <w:t>）</w:t>
      </w:r>
      <w:r w:rsidRPr="00F00B77">
        <w:rPr>
          <w:bCs/>
          <w:sz w:val="24"/>
        </w:rPr>
        <w:t>基金改聘会计师事务所；</w:t>
      </w:r>
    </w:p>
    <w:p w14:paraId="033568C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19</w:t>
      </w:r>
      <w:r w:rsidRPr="00F00B77">
        <w:rPr>
          <w:rFonts w:hint="eastAsia"/>
          <w:bCs/>
          <w:sz w:val="24"/>
        </w:rPr>
        <w:t>）</w:t>
      </w:r>
      <w:r w:rsidRPr="00F00B77">
        <w:rPr>
          <w:bCs/>
          <w:sz w:val="24"/>
        </w:rPr>
        <w:t>变更基金销售机构；</w:t>
      </w:r>
    </w:p>
    <w:p w14:paraId="330206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20</w:t>
      </w:r>
      <w:r w:rsidRPr="00F00B77">
        <w:rPr>
          <w:rFonts w:hint="eastAsia"/>
          <w:bCs/>
          <w:sz w:val="24"/>
        </w:rPr>
        <w:t>）</w:t>
      </w:r>
      <w:r w:rsidRPr="00F00B77">
        <w:rPr>
          <w:bCs/>
          <w:sz w:val="24"/>
        </w:rPr>
        <w:t>更换基金登记机构；</w:t>
      </w:r>
    </w:p>
    <w:p w14:paraId="6FD3108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21</w:t>
      </w:r>
      <w:r w:rsidRPr="00F00B77">
        <w:rPr>
          <w:rFonts w:hint="eastAsia"/>
          <w:bCs/>
          <w:sz w:val="24"/>
        </w:rPr>
        <w:t>）</w:t>
      </w:r>
      <w:r w:rsidRPr="00F00B77">
        <w:rPr>
          <w:bCs/>
          <w:sz w:val="24"/>
        </w:rPr>
        <w:t>本基金开始办理申购、赎回；</w:t>
      </w:r>
    </w:p>
    <w:p w14:paraId="0F2EA6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22</w:t>
      </w:r>
      <w:r w:rsidRPr="00F00B77">
        <w:rPr>
          <w:rFonts w:hint="eastAsia"/>
          <w:bCs/>
          <w:sz w:val="24"/>
        </w:rPr>
        <w:t>）</w:t>
      </w:r>
      <w:r w:rsidRPr="00F00B77">
        <w:rPr>
          <w:bCs/>
          <w:sz w:val="24"/>
        </w:rPr>
        <w:t>本基金收费方式发生变更；</w:t>
      </w:r>
    </w:p>
    <w:p w14:paraId="0BAD95F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23</w:t>
      </w:r>
      <w:r w:rsidRPr="00F00B77">
        <w:rPr>
          <w:rFonts w:hint="eastAsia"/>
          <w:bCs/>
          <w:sz w:val="24"/>
        </w:rPr>
        <w:t>）</w:t>
      </w:r>
      <w:r w:rsidRPr="00F00B77">
        <w:rPr>
          <w:bCs/>
          <w:sz w:val="24"/>
        </w:rPr>
        <w:t>本基金发生巨额赎回并延期</w:t>
      </w:r>
      <w:r w:rsidRPr="00F00B77">
        <w:rPr>
          <w:rFonts w:hint="eastAsia"/>
          <w:bCs/>
          <w:sz w:val="24"/>
        </w:rPr>
        <w:t>办理</w:t>
      </w:r>
      <w:r w:rsidRPr="00F00B77">
        <w:rPr>
          <w:bCs/>
          <w:sz w:val="24"/>
        </w:rPr>
        <w:t>；</w:t>
      </w:r>
    </w:p>
    <w:p w14:paraId="1D5FB42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24</w:t>
      </w:r>
      <w:r w:rsidRPr="00F00B77">
        <w:rPr>
          <w:rFonts w:hint="eastAsia"/>
          <w:bCs/>
          <w:sz w:val="24"/>
        </w:rPr>
        <w:t>）</w:t>
      </w:r>
      <w:r w:rsidRPr="00F00B77">
        <w:rPr>
          <w:bCs/>
          <w:sz w:val="24"/>
        </w:rPr>
        <w:t>本基金连续发生巨额赎回并暂停接受赎回申请；</w:t>
      </w:r>
    </w:p>
    <w:p w14:paraId="7B8DDF5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25</w:t>
      </w:r>
      <w:r w:rsidRPr="00F00B77">
        <w:rPr>
          <w:rFonts w:hint="eastAsia"/>
          <w:bCs/>
          <w:sz w:val="24"/>
        </w:rPr>
        <w:t>）本基金暂停接受申购、赎回申请；</w:t>
      </w:r>
    </w:p>
    <w:p w14:paraId="0CBE749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26</w:t>
      </w:r>
      <w:r w:rsidRPr="00F00B77">
        <w:rPr>
          <w:rFonts w:hint="eastAsia"/>
          <w:bCs/>
          <w:sz w:val="24"/>
        </w:rPr>
        <w:t>）本基金暂停接受申购、赎回申请后重新接受申购、赎回；</w:t>
      </w:r>
    </w:p>
    <w:p w14:paraId="018B5F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27</w:t>
      </w:r>
      <w:r w:rsidRPr="00F00B77">
        <w:rPr>
          <w:rFonts w:hint="eastAsia"/>
          <w:bCs/>
          <w:sz w:val="24"/>
        </w:rPr>
        <w:t>）调整本基金的份额类别设置；</w:t>
      </w:r>
    </w:p>
    <w:p w14:paraId="5AE550F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28</w:t>
      </w:r>
      <w:r w:rsidRPr="00F00B77">
        <w:rPr>
          <w:rFonts w:hint="eastAsia"/>
          <w:bCs/>
          <w:sz w:val="24"/>
        </w:rPr>
        <w:t>）中国证监会和基金合同约定的其他事项。</w:t>
      </w:r>
    </w:p>
    <w:p w14:paraId="2A601C7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、澄清公告</w:t>
      </w:r>
    </w:p>
    <w:p w14:paraId="4431463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315F9A4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、基金份额持有人大会决议</w:t>
      </w:r>
    </w:p>
    <w:p w14:paraId="3BAE57A8"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基金份额持有人大会决定的事项，应当依法报</w:t>
      </w:r>
      <w:r w:rsidRPr="00F00B77">
        <w:rPr>
          <w:rFonts w:hint="eastAsia"/>
          <w:bCs/>
          <w:sz w:val="24"/>
        </w:rPr>
        <w:t>中国证监会</w:t>
      </w:r>
      <w:r w:rsidRPr="00F00B77">
        <w:rPr>
          <w:bCs/>
          <w:sz w:val="24"/>
        </w:rPr>
        <w:t>备案，并予以公告。</w:t>
      </w:r>
    </w:p>
    <w:p w14:paraId="2A6594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60E700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、基金投资资产支持证券情况</w:t>
      </w:r>
    </w:p>
    <w:p w14:paraId="42EDB8E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00B77">
        <w:rPr>
          <w:rFonts w:hint="eastAsia"/>
          <w:bCs/>
          <w:sz w:val="24"/>
        </w:rPr>
        <w:t>10</w:t>
      </w:r>
      <w:r w:rsidRPr="00F00B77">
        <w:rPr>
          <w:rFonts w:hint="eastAsia"/>
          <w:bCs/>
          <w:sz w:val="24"/>
        </w:rPr>
        <w:t>名资产支持证券明细。</w:t>
      </w:r>
    </w:p>
    <w:p w14:paraId="34DA69E1" w14:textId="77777777" w:rsidR="00084DB4" w:rsidRPr="00F00B77" w:rsidRDefault="00084DB4">
      <w:pPr>
        <w:adjustRightInd w:val="0"/>
        <w:snapToGrid w:val="0"/>
        <w:spacing w:line="360" w:lineRule="auto"/>
        <w:ind w:firstLineChars="200" w:firstLine="480"/>
        <w:rPr>
          <w:sz w:val="24"/>
        </w:rPr>
      </w:pPr>
      <w:r w:rsidRPr="00F00B77">
        <w:rPr>
          <w:rFonts w:hint="eastAsia"/>
          <w:bCs/>
          <w:sz w:val="24"/>
        </w:rPr>
        <w:t>10</w:t>
      </w:r>
      <w:r w:rsidRPr="00F00B77">
        <w:rPr>
          <w:rFonts w:hint="eastAsia"/>
          <w:bCs/>
          <w:sz w:val="24"/>
        </w:rPr>
        <w:t>、中国证监会规定的其他信息。</w:t>
      </w:r>
    </w:p>
    <w:p w14:paraId="3A1CA3EC" w14:textId="77777777" w:rsidR="00084DB4" w:rsidRPr="00F00B77" w:rsidRDefault="00084DB4">
      <w:pPr>
        <w:adjustRightInd w:val="0"/>
        <w:snapToGrid w:val="0"/>
        <w:spacing w:line="360" w:lineRule="auto"/>
        <w:ind w:firstLineChars="200" w:firstLine="482"/>
        <w:rPr>
          <w:b/>
          <w:bCs/>
          <w:sz w:val="24"/>
        </w:rPr>
      </w:pPr>
      <w:r w:rsidRPr="00F00B77">
        <w:rPr>
          <w:b/>
          <w:bCs/>
          <w:sz w:val="24"/>
        </w:rPr>
        <w:t>（六）信息披露事务管理</w:t>
      </w:r>
    </w:p>
    <w:p w14:paraId="77C95D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基金管理人、基金托管人应当建立健全信息披露管理制度，指定专人负责管理信息披露事务。</w:t>
      </w:r>
    </w:p>
    <w:p w14:paraId="031A2C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基金信息披露义务人公开披露基金信息，应当符合中国证监会相关基金信息披露内容与格式准则的规定。</w:t>
      </w:r>
    </w:p>
    <w:p w14:paraId="1E226A0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基金托管人应当按照相关法律法规、中国证监会的规定和《基金合同》的约定，对基金管理人编制的</w:t>
      </w:r>
      <w:r w:rsidRPr="00F00B77">
        <w:rPr>
          <w:rFonts w:hint="eastAsia"/>
          <w:bCs/>
          <w:sz w:val="24"/>
          <w:lang w:val="zh-CN"/>
        </w:rPr>
        <w:t>各类基金份额的</w:t>
      </w:r>
      <w:r w:rsidRPr="00F00B77">
        <w:rPr>
          <w:rFonts w:hint="eastAsia"/>
          <w:bCs/>
          <w:sz w:val="24"/>
        </w:rPr>
        <w:t>基金资产净值、每万份基金已实现收益、</w:t>
      </w:r>
      <w:r w:rsidRPr="00F00B77">
        <w:rPr>
          <w:rFonts w:hint="eastAsia"/>
          <w:bCs/>
          <w:sz w:val="24"/>
        </w:rPr>
        <w:t>7</w:t>
      </w:r>
      <w:r w:rsidRPr="00F00B77">
        <w:rPr>
          <w:rFonts w:hint="eastAsia"/>
          <w:bCs/>
          <w:sz w:val="24"/>
        </w:rPr>
        <w:t>日年化收益率、基金份额申购赎回价格、基金定期报告和定期更新的招募说明书等公开披露的相关基金信息进行复核、审查，并向基金管理人出具书面文件或者盖章确认。</w:t>
      </w:r>
    </w:p>
    <w:p w14:paraId="29496EA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基金管理人、基金托管人应当在指定媒介中选择披露信息的媒介。</w:t>
      </w:r>
    </w:p>
    <w:p w14:paraId="0126AF5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420AE8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为基金信息披露义务人公开披露的基金信息出具审计报告、法律意见书的专业机构，应当制作工作底稿，并将相关档案至少保存到《基金合同》终止</w:t>
      </w:r>
      <w:r w:rsidRPr="00F00B77">
        <w:rPr>
          <w:bCs/>
          <w:sz w:val="24"/>
        </w:rPr>
        <w:t>后</w:t>
      </w:r>
      <w:r w:rsidRPr="00F00B77">
        <w:rPr>
          <w:rFonts w:hint="eastAsia"/>
          <w:bCs/>
          <w:sz w:val="24"/>
        </w:rPr>
        <w:t>十年。</w:t>
      </w:r>
    </w:p>
    <w:p w14:paraId="34D49E21"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（七）信息披露文件的存放与查阅</w:t>
      </w:r>
    </w:p>
    <w:p w14:paraId="5BC32D8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招募说明书公布后，应当分别置备于基金管理人、基金托管人和基金销售机构的住所，供公众查阅、复制。</w:t>
      </w:r>
    </w:p>
    <w:p w14:paraId="69B78B0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基金定期报告公布后，应当分别置备于基金管理人和基金托管人的住所，以供公众查阅、复制。</w:t>
      </w:r>
    </w:p>
    <w:p w14:paraId="415E9C8F" w14:textId="77777777" w:rsidR="00084DB4" w:rsidRPr="00F00B77" w:rsidRDefault="00084DB4">
      <w:pPr>
        <w:widowControl/>
        <w:adjustRightInd w:val="0"/>
        <w:snapToGrid w:val="0"/>
        <w:spacing w:line="360" w:lineRule="auto"/>
        <w:rPr>
          <w:rFonts w:ascii="宋体" w:hAnsi="宋体"/>
          <w:b/>
          <w:kern w:val="0"/>
          <w:sz w:val="30"/>
        </w:rPr>
      </w:pPr>
    </w:p>
    <w:p w14:paraId="65A8F92E"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4" w:name="_Toc491431680"/>
      <w:r w:rsidRPr="00F00B77">
        <w:rPr>
          <w:rFonts w:ascii="宋体" w:hAnsi="宋体" w:hint="eastAsia"/>
          <w:b/>
          <w:kern w:val="0"/>
          <w:sz w:val="30"/>
        </w:rPr>
        <w:t>十</w:t>
      </w:r>
      <w:r w:rsidR="00D87150" w:rsidRPr="00F00B77">
        <w:rPr>
          <w:rFonts w:ascii="宋体" w:hAnsi="宋体" w:hint="eastAsia"/>
          <w:b/>
          <w:kern w:val="0"/>
          <w:sz w:val="30"/>
        </w:rPr>
        <w:t>七</w:t>
      </w:r>
      <w:r w:rsidRPr="00F00B77">
        <w:rPr>
          <w:rFonts w:ascii="宋体" w:hAnsi="宋体" w:hint="eastAsia"/>
          <w:b/>
          <w:kern w:val="0"/>
          <w:sz w:val="30"/>
        </w:rPr>
        <w:t>、风险揭示</w:t>
      </w:r>
      <w:bookmarkEnd w:id="64"/>
    </w:p>
    <w:p w14:paraId="1E6C54BF"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证券投资基金（以下简称</w:t>
      </w:r>
      <w:r w:rsidRPr="00F00B77">
        <w:rPr>
          <w:rFonts w:ascii="宋体" w:hAnsi="宋体"/>
          <w:sz w:val="24"/>
          <w:szCs w:val="24"/>
        </w:rPr>
        <w:t>“基金”）是一</w:t>
      </w:r>
      <w:r w:rsidRPr="00F00B77">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5" w:name="_Hlt91150550"/>
      <w:bookmarkStart w:id="66" w:name="_Hlt88901012"/>
      <w:bookmarkStart w:id="67" w:name="_Toc109537396"/>
      <w:bookmarkEnd w:id="65"/>
      <w:bookmarkEnd w:id="66"/>
      <w:r w:rsidRPr="00F00B77">
        <w:rPr>
          <w:rFonts w:hAnsi="宋体"/>
          <w:sz w:val="24"/>
          <w:szCs w:val="24"/>
        </w:rPr>
        <w:t>生的收益，也可能承担</w:t>
      </w:r>
      <w:bookmarkEnd w:id="67"/>
      <w:r w:rsidRPr="00F00B77">
        <w:rPr>
          <w:rFonts w:hAnsi="宋体"/>
          <w:sz w:val="24"/>
          <w:szCs w:val="24"/>
        </w:rPr>
        <w:t>基金投资所带来的损失。</w:t>
      </w:r>
    </w:p>
    <w:p w14:paraId="3CFBE09B"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DA6E3F" w:rsidRPr="00F00B77">
        <w:rPr>
          <w:rFonts w:hAnsi="宋体" w:hint="eastAsia"/>
          <w:sz w:val="24"/>
          <w:szCs w:val="24"/>
        </w:rPr>
        <w:t>后</w:t>
      </w:r>
      <w:r w:rsidRPr="00F00B77">
        <w:rPr>
          <w:rFonts w:hAnsi="宋体"/>
          <w:sz w:val="24"/>
          <w:szCs w:val="24"/>
        </w:rPr>
        <w:t>扣除申购申请份额总数及基金转换中转入申请份额总数后的余额）超过基金总份额的百分之十时，投资人将可能无法及时赎回持有的全部基金份额。</w:t>
      </w:r>
    </w:p>
    <w:p w14:paraId="25E45D26"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基金分为股票</w:t>
      </w:r>
      <w:r w:rsidRPr="00F00B77">
        <w:rPr>
          <w:rFonts w:hAnsi="宋体" w:hint="eastAsia"/>
          <w:sz w:val="24"/>
          <w:szCs w:val="24"/>
        </w:rPr>
        <w:t>型</w:t>
      </w:r>
      <w:r w:rsidRPr="00F00B77">
        <w:rPr>
          <w:rFonts w:hAnsi="宋体"/>
          <w:sz w:val="24"/>
          <w:szCs w:val="24"/>
        </w:rPr>
        <w:t>基金、混合</w:t>
      </w:r>
      <w:r w:rsidRPr="00F00B77">
        <w:rPr>
          <w:rFonts w:hAnsi="宋体" w:hint="eastAsia"/>
          <w:sz w:val="24"/>
          <w:szCs w:val="24"/>
        </w:rPr>
        <w:t>型</w:t>
      </w:r>
      <w:r w:rsidRPr="00F00B77">
        <w:rPr>
          <w:rFonts w:hAnsi="宋体"/>
          <w:sz w:val="24"/>
          <w:szCs w:val="24"/>
        </w:rPr>
        <w:t>基金、债券</w:t>
      </w:r>
      <w:r w:rsidRPr="00F00B77">
        <w:rPr>
          <w:rFonts w:hAnsi="宋体" w:hint="eastAsia"/>
          <w:sz w:val="24"/>
          <w:szCs w:val="24"/>
        </w:rPr>
        <w:t>型</w:t>
      </w:r>
      <w:r w:rsidRPr="00F00B77">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44D62F2E"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67DCD046"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2F0218"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18"/>
        </w:rPr>
        <w:t>投资者购买本货币市场基金并不等于将资金作为存款存放在银行或存款类金融机构，基金管理人不保证基金一定盈利，也不保证最低收益。</w:t>
      </w:r>
    </w:p>
    <w:p w14:paraId="2F702571" w14:textId="77777777" w:rsidR="00084DB4" w:rsidRPr="00F00B77" w:rsidRDefault="00084DB4">
      <w:pPr>
        <w:widowControl/>
        <w:adjustRightInd w:val="0"/>
        <w:snapToGrid w:val="0"/>
        <w:spacing w:line="360" w:lineRule="auto"/>
        <w:ind w:firstLineChars="200" w:firstLine="480"/>
        <w:rPr>
          <w:sz w:val="24"/>
          <w:szCs w:val="24"/>
        </w:rPr>
      </w:pPr>
      <w:r w:rsidRPr="00F00B77">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00B77">
        <w:rPr>
          <w:rFonts w:hint="eastAsia"/>
          <w:sz w:val="24"/>
          <w:szCs w:val="24"/>
        </w:rPr>
        <w:t>“</w:t>
      </w:r>
      <w:r w:rsidRPr="00F00B77">
        <w:rPr>
          <w:rFonts w:hAnsi="宋体"/>
          <w:sz w:val="24"/>
          <w:szCs w:val="24"/>
        </w:rPr>
        <w:t>买者自负</w:t>
      </w:r>
      <w:r w:rsidRPr="00F00B77">
        <w:rPr>
          <w:rFonts w:hint="eastAsia"/>
          <w:sz w:val="24"/>
          <w:szCs w:val="24"/>
        </w:rPr>
        <w:t>”</w:t>
      </w:r>
      <w:r w:rsidRPr="00F00B77">
        <w:rPr>
          <w:rFonts w:hAnsi="宋体"/>
          <w:sz w:val="24"/>
          <w:szCs w:val="24"/>
        </w:rPr>
        <w:t>原则，在做出投资决策后，基金运营状况与基金净值变化引致的投资风险，由投资人自行负担。</w:t>
      </w:r>
    </w:p>
    <w:p w14:paraId="7C5927E7"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基金份额持有人须了解并承受以下风险：</w:t>
      </w:r>
    </w:p>
    <w:p w14:paraId="035CD08B"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（一）市场风险</w:t>
      </w:r>
      <w:r w:rsidRPr="00F00B77">
        <w:rPr>
          <w:b/>
          <w:kern w:val="0"/>
          <w:sz w:val="24"/>
          <w:szCs w:val="24"/>
        </w:rPr>
        <w:t xml:space="preserve"> </w:t>
      </w:r>
    </w:p>
    <w:p w14:paraId="1AB90F4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证券市场价格因受到经济因素、政治因素、投资心理和交易制度等各种因素的影响而引起的波动，将对基金收益水平产生潜在风险，主要包括：</w:t>
      </w:r>
      <w:r w:rsidRPr="00F00B77">
        <w:rPr>
          <w:kern w:val="0"/>
          <w:sz w:val="24"/>
          <w:szCs w:val="24"/>
        </w:rPr>
        <w:t xml:space="preserve"> </w:t>
      </w:r>
    </w:p>
    <w:p w14:paraId="488C0C21"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1</w:t>
      </w:r>
      <w:r w:rsidRPr="00F00B77">
        <w:rPr>
          <w:rFonts w:hAnsi="宋体"/>
          <w:kern w:val="0"/>
          <w:sz w:val="24"/>
          <w:szCs w:val="24"/>
        </w:rPr>
        <w:t>、政策风险。因国家宏观政策（如货币政策、财政政策、行业政策、地区发展政策等）和证券市场监管政策发生变化，导致市场价格波动而产生风险。</w:t>
      </w:r>
      <w:r w:rsidRPr="00F00B77">
        <w:rPr>
          <w:kern w:val="0"/>
          <w:sz w:val="24"/>
          <w:szCs w:val="24"/>
        </w:rPr>
        <w:t xml:space="preserve"> </w:t>
      </w:r>
    </w:p>
    <w:p w14:paraId="3FBA3910"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2</w:t>
      </w:r>
      <w:r w:rsidRPr="00F00B77">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62BE3F1"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3</w:t>
      </w:r>
      <w:r w:rsidRPr="00F00B77">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00B77">
        <w:rPr>
          <w:kern w:val="0"/>
          <w:sz w:val="24"/>
          <w:szCs w:val="24"/>
        </w:rPr>
        <w:t xml:space="preserve"> </w:t>
      </w:r>
    </w:p>
    <w:p w14:paraId="3CD4792E"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4</w:t>
      </w:r>
      <w:r w:rsidRPr="00F00B77">
        <w:rPr>
          <w:rFonts w:hAnsi="宋体"/>
          <w:kern w:val="0"/>
          <w:sz w:val="24"/>
          <w:szCs w:val="24"/>
        </w:rPr>
        <w:t>、</w:t>
      </w:r>
      <w:r w:rsidRPr="00F00B77">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F00B77">
        <w:rPr>
          <w:rFonts w:hAnsi="宋体"/>
          <w:kern w:val="0"/>
          <w:sz w:val="24"/>
          <w:szCs w:val="24"/>
        </w:rPr>
        <w:t>从而产生风险</w:t>
      </w:r>
      <w:r w:rsidRPr="00F00B77">
        <w:rPr>
          <w:rFonts w:hAnsi="宋体" w:hint="eastAsia"/>
          <w:kern w:val="0"/>
          <w:sz w:val="24"/>
          <w:szCs w:val="24"/>
        </w:rPr>
        <w:t>。</w:t>
      </w:r>
    </w:p>
    <w:p w14:paraId="3E39B161"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kern w:val="0"/>
          <w:sz w:val="24"/>
          <w:szCs w:val="24"/>
        </w:rPr>
        <w:t>5</w:t>
      </w:r>
      <w:r w:rsidRPr="00F00B77">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46569DA5"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6</w:t>
      </w:r>
      <w:r w:rsidRPr="00F00B77">
        <w:rPr>
          <w:rFonts w:hint="eastAsia"/>
          <w:kern w:val="0"/>
          <w:sz w:val="24"/>
          <w:szCs w:val="24"/>
        </w:rPr>
        <w:t>、债券收益率曲线变动风险。是指收益率曲线没有按预期变化导致基金投资决策出现偏差。</w:t>
      </w:r>
    </w:p>
    <w:p w14:paraId="03EAA0C1"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7</w:t>
      </w:r>
      <w:r w:rsidRPr="00F00B77">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B25CF79"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8</w:t>
      </w:r>
      <w:r w:rsidRPr="00F00B77">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54953A1C"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（二）管理风险</w:t>
      </w:r>
      <w:r w:rsidRPr="00F00B77">
        <w:rPr>
          <w:b/>
          <w:kern w:val="0"/>
          <w:sz w:val="24"/>
          <w:szCs w:val="24"/>
        </w:rPr>
        <w:t xml:space="preserve"> </w:t>
      </w:r>
    </w:p>
    <w:p w14:paraId="7BE32640"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00B77">
        <w:rPr>
          <w:kern w:val="0"/>
          <w:sz w:val="24"/>
          <w:szCs w:val="24"/>
        </w:rPr>
        <w:t xml:space="preserve"> </w:t>
      </w:r>
    </w:p>
    <w:p w14:paraId="543F5C89"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（三）流动性风险</w:t>
      </w:r>
      <w:r w:rsidRPr="00F00B77">
        <w:rPr>
          <w:b/>
          <w:kern w:val="0"/>
          <w:sz w:val="24"/>
          <w:szCs w:val="24"/>
        </w:rPr>
        <w:t xml:space="preserve"> </w:t>
      </w:r>
    </w:p>
    <w:p w14:paraId="1DCDD434" w14:textId="77777777" w:rsidR="00084DB4" w:rsidRPr="00F00B77" w:rsidRDefault="00084DB4">
      <w:pPr>
        <w:widowControl/>
        <w:adjustRightInd w:val="0"/>
        <w:snapToGrid w:val="0"/>
        <w:spacing w:line="360" w:lineRule="auto"/>
        <w:ind w:firstLineChars="200" w:firstLine="480"/>
        <w:rPr>
          <w:i/>
          <w:kern w:val="0"/>
          <w:sz w:val="24"/>
          <w:szCs w:val="24"/>
        </w:rPr>
      </w:pPr>
      <w:r w:rsidRPr="00F00B77">
        <w:rPr>
          <w:rFonts w:hAnsi="宋体"/>
          <w:kern w:val="0"/>
          <w:sz w:val="24"/>
          <w:szCs w:val="24"/>
        </w:rPr>
        <w:t>本基金属于开放式基金，在基金的所有开放日，基金管理人都有义务接受投资人的赎回。如果基金资产不能迅速转变成现金，或者变现为现金时使</w:t>
      </w:r>
      <w:r w:rsidRPr="00F00B77">
        <w:rPr>
          <w:rFonts w:hAnsi="宋体" w:hint="eastAsia"/>
          <w:kern w:val="0"/>
          <w:sz w:val="24"/>
          <w:szCs w:val="24"/>
        </w:rPr>
        <w:t>资产</w:t>
      </w:r>
      <w:r w:rsidRPr="00F00B77">
        <w:rPr>
          <w:rFonts w:hAnsi="宋体"/>
          <w:kern w:val="0"/>
          <w:sz w:val="24"/>
          <w:szCs w:val="24"/>
        </w:rPr>
        <w:t>净值产生不利的影响，都会影响基金运作和收益水平。尤其是在发生巨额赎回时，</w:t>
      </w:r>
      <w:r w:rsidRPr="00F00B77">
        <w:rPr>
          <w:rFonts w:hAnsi="宋体" w:hint="eastAsia"/>
          <w:kern w:val="0"/>
          <w:sz w:val="24"/>
          <w:szCs w:val="24"/>
        </w:rPr>
        <w:t>因市场交易量不足，某些投资品种的流动性不佳，可能导致证券不能迅速、低成本地转变为现金，从而影响基金运作和收益水平</w:t>
      </w:r>
      <w:r w:rsidRPr="00F00B77">
        <w:rPr>
          <w:rFonts w:hAnsi="宋体"/>
          <w:kern w:val="0"/>
          <w:sz w:val="24"/>
          <w:szCs w:val="24"/>
        </w:rPr>
        <w:t>。</w:t>
      </w:r>
      <w:r w:rsidRPr="00F00B77">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7C529FF6" w14:textId="77777777" w:rsidR="00084DB4" w:rsidRPr="00F00B77" w:rsidRDefault="00084DB4">
      <w:pPr>
        <w:widowControl/>
        <w:adjustRightInd w:val="0"/>
        <w:snapToGrid w:val="0"/>
        <w:spacing w:line="360" w:lineRule="auto"/>
        <w:ind w:firstLineChars="200" w:firstLine="482"/>
        <w:rPr>
          <w:rFonts w:hAnsi="宋体"/>
          <w:b/>
          <w:kern w:val="0"/>
          <w:sz w:val="24"/>
          <w:szCs w:val="24"/>
        </w:rPr>
      </w:pPr>
      <w:r w:rsidRPr="00F00B77">
        <w:rPr>
          <w:rFonts w:hAnsi="宋体"/>
          <w:b/>
          <w:kern w:val="0"/>
          <w:sz w:val="24"/>
          <w:szCs w:val="24"/>
        </w:rPr>
        <w:t>（四）</w:t>
      </w:r>
      <w:r w:rsidRPr="00F00B77">
        <w:rPr>
          <w:rFonts w:hAnsi="宋体" w:hint="eastAsia"/>
          <w:b/>
          <w:kern w:val="0"/>
          <w:sz w:val="24"/>
          <w:szCs w:val="24"/>
        </w:rPr>
        <w:t>交易对手违约风险</w:t>
      </w:r>
    </w:p>
    <w:p w14:paraId="08CF8EBE"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1DA3B191" w14:textId="77777777" w:rsidR="00084DB4" w:rsidRPr="00F00B77" w:rsidRDefault="00084DB4">
      <w:pPr>
        <w:widowControl/>
        <w:adjustRightInd w:val="0"/>
        <w:snapToGrid w:val="0"/>
        <w:spacing w:line="360" w:lineRule="auto"/>
        <w:ind w:firstLineChars="200" w:firstLine="482"/>
        <w:rPr>
          <w:b/>
          <w:kern w:val="0"/>
          <w:sz w:val="24"/>
        </w:rPr>
      </w:pPr>
      <w:r w:rsidRPr="00F00B77">
        <w:rPr>
          <w:rFonts w:hint="eastAsia"/>
          <w:b/>
          <w:kern w:val="0"/>
          <w:sz w:val="24"/>
        </w:rPr>
        <w:t>（五）</w:t>
      </w:r>
      <w:r w:rsidR="008D3784" w:rsidRPr="00F00B77">
        <w:rPr>
          <w:rFonts w:hint="eastAsia"/>
          <w:b/>
          <w:kern w:val="0"/>
          <w:sz w:val="24"/>
        </w:rPr>
        <w:t>货币市场</w:t>
      </w:r>
      <w:r w:rsidR="008D3784" w:rsidRPr="00F00B77">
        <w:rPr>
          <w:b/>
          <w:kern w:val="0"/>
          <w:sz w:val="24"/>
        </w:rPr>
        <w:t>基金的</w:t>
      </w:r>
      <w:r w:rsidRPr="00F00B77">
        <w:rPr>
          <w:rFonts w:hint="eastAsia"/>
          <w:b/>
          <w:kern w:val="0"/>
          <w:sz w:val="24"/>
        </w:rPr>
        <w:t>特定风险</w:t>
      </w:r>
    </w:p>
    <w:p w14:paraId="2BDFD767" w14:textId="77777777" w:rsidR="00084DB4" w:rsidRPr="00F00B77" w:rsidRDefault="008D3784">
      <w:pPr>
        <w:widowControl/>
        <w:adjustRightInd w:val="0"/>
        <w:snapToGrid w:val="0"/>
        <w:spacing w:line="360" w:lineRule="auto"/>
        <w:ind w:firstLineChars="200" w:firstLine="480"/>
        <w:rPr>
          <w:sz w:val="24"/>
          <w:szCs w:val="18"/>
        </w:rPr>
      </w:pPr>
      <w:r w:rsidRPr="00F00B77">
        <w:rPr>
          <w:sz w:val="24"/>
          <w:szCs w:val="18"/>
        </w:rPr>
        <w:t>1</w:t>
      </w:r>
      <w:r w:rsidRPr="00F00B77">
        <w:rPr>
          <w:rFonts w:hint="eastAsia"/>
          <w:sz w:val="24"/>
          <w:szCs w:val="18"/>
        </w:rPr>
        <w:t>、</w:t>
      </w:r>
      <w:r w:rsidR="00084DB4" w:rsidRPr="00F00B77">
        <w:rPr>
          <w:rFonts w:hint="eastAsia"/>
          <w:sz w:val="24"/>
          <w:szCs w:val="18"/>
        </w:rPr>
        <w:t>本基金投资于货币市场工具，面临货币市场利率波动的风险，基金每日的收益将根据市场情况上下波动，在极端情况下可能为负值。</w:t>
      </w:r>
      <w:r w:rsidR="00084DB4" w:rsidRPr="00F00B77">
        <w:rPr>
          <w:rFonts w:hint="eastAsia"/>
          <w:kern w:val="0"/>
          <w:sz w:val="24"/>
        </w:rPr>
        <w:t>由于货币市场基金的特殊要求，</w:t>
      </w:r>
      <w:r w:rsidR="00084DB4" w:rsidRPr="00F00B77">
        <w:rPr>
          <w:rFonts w:hint="eastAsia"/>
          <w:sz w:val="24"/>
          <w:szCs w:val="18"/>
        </w:rPr>
        <w:t>为满足投资者的赎回需要，基金</w:t>
      </w:r>
      <w:r w:rsidR="00084DB4" w:rsidRPr="00F00B77">
        <w:rPr>
          <w:rFonts w:hint="eastAsia"/>
          <w:kern w:val="0"/>
          <w:sz w:val="24"/>
        </w:rPr>
        <w:t>必须保持一定的现金比例以应对赎回的需求</w:t>
      </w:r>
      <w:r w:rsidR="00084DB4" w:rsidRPr="00F00B77">
        <w:rPr>
          <w:rFonts w:hint="eastAsia"/>
          <w:sz w:val="24"/>
          <w:szCs w:val="18"/>
        </w:rPr>
        <w:t>，</w:t>
      </w:r>
      <w:r w:rsidR="00084DB4" w:rsidRPr="00F00B77">
        <w:rPr>
          <w:rFonts w:hint="eastAsia"/>
          <w:kern w:val="0"/>
          <w:sz w:val="24"/>
        </w:rPr>
        <w:t>在管理现金头寸时，有可能存在现金不足的风险或现金过多而带来的机会成本风险</w:t>
      </w:r>
      <w:r w:rsidR="00084DB4" w:rsidRPr="00F00B77">
        <w:rPr>
          <w:rFonts w:hint="eastAsia"/>
          <w:sz w:val="24"/>
          <w:szCs w:val="18"/>
        </w:rPr>
        <w:t>。</w:t>
      </w:r>
    </w:p>
    <w:p w14:paraId="45574815" w14:textId="77777777" w:rsidR="00DD64D4" w:rsidRPr="00F00B77" w:rsidRDefault="008D3784" w:rsidP="00DD64D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w:t>
      </w:r>
      <w:r w:rsidR="00DD64D4" w:rsidRPr="00F00B77">
        <w:rPr>
          <w:rFonts w:hint="eastAsia"/>
          <w:bCs/>
          <w:sz w:val="24"/>
        </w:rPr>
        <w:t>当影子定价确定的基金资产净值与摊余成本法计算的基金资产净值的正偏离度绝对值达到</w:t>
      </w:r>
      <w:r w:rsidR="00DD64D4" w:rsidRPr="00F00B77">
        <w:rPr>
          <w:bCs/>
          <w:sz w:val="24"/>
        </w:rPr>
        <w:t>0.5%</w:t>
      </w:r>
      <w:r w:rsidR="00DD64D4" w:rsidRPr="00F00B77">
        <w:rPr>
          <w:rFonts w:hint="eastAsia"/>
          <w:bCs/>
          <w:sz w:val="24"/>
        </w:rPr>
        <w:t>时，基金管理人应当暂停接受申购并在</w:t>
      </w:r>
      <w:r w:rsidR="00DD64D4" w:rsidRPr="00F00B77">
        <w:rPr>
          <w:bCs/>
          <w:sz w:val="24"/>
        </w:rPr>
        <w:t>5</w:t>
      </w:r>
      <w:r w:rsidR="00DD64D4" w:rsidRPr="00F00B77">
        <w:rPr>
          <w:rFonts w:hint="eastAsia"/>
          <w:bCs/>
          <w:sz w:val="24"/>
        </w:rPr>
        <w:t>个交易日内将正偏离度绝对值调整到</w:t>
      </w:r>
      <w:r w:rsidR="00DD64D4" w:rsidRPr="00F00B77">
        <w:rPr>
          <w:bCs/>
          <w:sz w:val="24"/>
        </w:rPr>
        <w:t>0.5%</w:t>
      </w:r>
      <w:r w:rsidR="00DD64D4" w:rsidRPr="00F00B77">
        <w:rPr>
          <w:rFonts w:hint="eastAsia"/>
          <w:bCs/>
          <w:sz w:val="24"/>
        </w:rPr>
        <w:t>以内。</w:t>
      </w:r>
      <w:r w:rsidR="00DD64D4" w:rsidRPr="00F00B77">
        <w:rPr>
          <w:bCs/>
          <w:sz w:val="24"/>
        </w:rPr>
        <w:t>故</w:t>
      </w:r>
      <w:r w:rsidR="00DD64D4" w:rsidRPr="00F00B77">
        <w:rPr>
          <w:rFonts w:hint="eastAsia"/>
          <w:bCs/>
          <w:sz w:val="24"/>
        </w:rPr>
        <w:t>投资</w:t>
      </w:r>
      <w:r w:rsidR="00DD64D4" w:rsidRPr="00F00B77">
        <w:rPr>
          <w:bCs/>
          <w:sz w:val="24"/>
        </w:rPr>
        <w:t>者</w:t>
      </w:r>
      <w:r w:rsidR="00DD64D4" w:rsidRPr="00F00B77">
        <w:rPr>
          <w:rFonts w:hint="eastAsia"/>
          <w:bCs/>
          <w:sz w:val="24"/>
        </w:rPr>
        <w:t>可能</w:t>
      </w:r>
      <w:r w:rsidR="00DD64D4" w:rsidRPr="00F00B77">
        <w:rPr>
          <w:bCs/>
          <w:sz w:val="24"/>
        </w:rPr>
        <w:t>面临暂停申购的风险</w:t>
      </w:r>
      <w:r w:rsidR="00DD64D4" w:rsidRPr="00F00B77">
        <w:rPr>
          <w:rFonts w:hint="eastAsia"/>
          <w:bCs/>
          <w:sz w:val="24"/>
        </w:rPr>
        <w:t>。当负偏离度绝对值连续两个交易日超过</w:t>
      </w:r>
      <w:r w:rsidR="00DD64D4" w:rsidRPr="00F00B77">
        <w:rPr>
          <w:rFonts w:hint="eastAsia"/>
          <w:bCs/>
          <w:sz w:val="24"/>
        </w:rPr>
        <w:t>0.5%</w:t>
      </w:r>
      <w:r w:rsidR="00DD64D4" w:rsidRPr="00F00B77">
        <w:rPr>
          <w:rFonts w:hint="eastAsia"/>
          <w:bCs/>
          <w:sz w:val="24"/>
        </w:rPr>
        <w:t>时，基金管理人</w:t>
      </w:r>
      <w:r w:rsidR="00AC2E64" w:rsidRPr="00F00B77">
        <w:rPr>
          <w:rFonts w:hint="eastAsia"/>
          <w:bCs/>
          <w:sz w:val="24"/>
        </w:rPr>
        <w:t>应当</w:t>
      </w:r>
      <w:r w:rsidR="00DD64D4" w:rsidRPr="00F00B77">
        <w:rPr>
          <w:rFonts w:hint="eastAsia"/>
          <w:bCs/>
          <w:sz w:val="24"/>
        </w:rPr>
        <w:t>采用公允价值估值方法对持有投资组合的账面价值进行调整，或者采取暂停接受所有赎回申请并终止基金合同进行财产清算等措施。</w:t>
      </w:r>
      <w:r w:rsidR="00DD64D4" w:rsidRPr="00F00B77">
        <w:rPr>
          <w:bCs/>
          <w:sz w:val="24"/>
        </w:rPr>
        <w:t>故</w:t>
      </w:r>
      <w:r w:rsidR="00DD64D4" w:rsidRPr="00F00B77">
        <w:rPr>
          <w:rFonts w:hint="eastAsia"/>
          <w:bCs/>
          <w:sz w:val="24"/>
        </w:rPr>
        <w:t>投资</w:t>
      </w:r>
      <w:r w:rsidR="00DD64D4" w:rsidRPr="00F00B77">
        <w:rPr>
          <w:bCs/>
          <w:sz w:val="24"/>
        </w:rPr>
        <w:t>者</w:t>
      </w:r>
      <w:r w:rsidR="00DD64D4" w:rsidRPr="00F00B77">
        <w:rPr>
          <w:rFonts w:hint="eastAsia"/>
          <w:bCs/>
          <w:sz w:val="24"/>
        </w:rPr>
        <w:t>可能</w:t>
      </w:r>
      <w:r w:rsidR="00DD64D4" w:rsidRPr="00F00B77">
        <w:rPr>
          <w:bCs/>
          <w:sz w:val="24"/>
        </w:rPr>
        <w:t>面临</w:t>
      </w:r>
      <w:r w:rsidR="00DD64D4" w:rsidRPr="00F00B77">
        <w:rPr>
          <w:rFonts w:hint="eastAsia"/>
          <w:bCs/>
          <w:sz w:val="24"/>
        </w:rPr>
        <w:t>上述</w:t>
      </w:r>
      <w:r w:rsidR="00DD64D4" w:rsidRPr="00F00B77">
        <w:rPr>
          <w:bCs/>
          <w:sz w:val="24"/>
        </w:rPr>
        <w:t>估值调整</w:t>
      </w:r>
      <w:r w:rsidR="00DD64D4" w:rsidRPr="00F00B77">
        <w:rPr>
          <w:rFonts w:hint="eastAsia"/>
          <w:bCs/>
          <w:sz w:val="24"/>
        </w:rPr>
        <w:t>或</w:t>
      </w:r>
      <w:r w:rsidR="00DD64D4" w:rsidRPr="00F00B77">
        <w:rPr>
          <w:bCs/>
          <w:sz w:val="24"/>
        </w:rPr>
        <w:t>暂停赎回及</w:t>
      </w:r>
      <w:r w:rsidR="00DD64D4" w:rsidRPr="00F00B77">
        <w:rPr>
          <w:rFonts w:hint="eastAsia"/>
          <w:bCs/>
          <w:sz w:val="24"/>
        </w:rPr>
        <w:t>基金</w:t>
      </w:r>
      <w:r w:rsidR="00DD64D4" w:rsidRPr="00F00B77">
        <w:rPr>
          <w:bCs/>
          <w:sz w:val="24"/>
        </w:rPr>
        <w:t>合同</w:t>
      </w:r>
      <w:r w:rsidR="00DD64D4" w:rsidRPr="00F00B77">
        <w:rPr>
          <w:rFonts w:hint="eastAsia"/>
          <w:bCs/>
          <w:sz w:val="24"/>
        </w:rPr>
        <w:t>提前</w:t>
      </w:r>
      <w:r w:rsidR="00DD64D4" w:rsidRPr="00F00B77">
        <w:rPr>
          <w:bCs/>
          <w:sz w:val="24"/>
        </w:rPr>
        <w:t>终止</w:t>
      </w:r>
      <w:r w:rsidR="00DD64D4" w:rsidRPr="00F00B77">
        <w:rPr>
          <w:rFonts w:hint="eastAsia"/>
          <w:bCs/>
          <w:sz w:val="24"/>
        </w:rPr>
        <w:t>的</w:t>
      </w:r>
      <w:r w:rsidR="00DD64D4" w:rsidRPr="00F00B77">
        <w:rPr>
          <w:bCs/>
          <w:sz w:val="24"/>
        </w:rPr>
        <w:t>风险</w:t>
      </w:r>
      <w:r w:rsidR="00DD64D4" w:rsidRPr="00F00B77">
        <w:rPr>
          <w:rFonts w:hint="eastAsia"/>
          <w:bCs/>
          <w:sz w:val="24"/>
        </w:rPr>
        <w:t>。</w:t>
      </w:r>
    </w:p>
    <w:p w14:paraId="40753A46" w14:textId="77777777" w:rsidR="008C3C01" w:rsidRPr="00F00B77" w:rsidRDefault="008D3784" w:rsidP="008C3C01">
      <w:pPr>
        <w:widowControl/>
        <w:adjustRightInd w:val="0"/>
        <w:snapToGrid w:val="0"/>
        <w:spacing w:line="360" w:lineRule="auto"/>
        <w:ind w:firstLineChars="200" w:firstLine="480"/>
        <w:rPr>
          <w:kern w:val="0"/>
          <w:sz w:val="24"/>
        </w:rPr>
      </w:pPr>
      <w:r w:rsidRPr="00F00B77">
        <w:rPr>
          <w:rFonts w:hint="eastAsia"/>
          <w:sz w:val="24"/>
          <w:szCs w:val="18"/>
        </w:rPr>
        <w:t>3</w:t>
      </w:r>
      <w:r w:rsidRPr="00F00B77">
        <w:rPr>
          <w:rFonts w:hint="eastAsia"/>
          <w:sz w:val="24"/>
          <w:szCs w:val="18"/>
        </w:rPr>
        <w:t>、</w:t>
      </w:r>
      <w:r w:rsidR="008C3C01" w:rsidRPr="00F00B77">
        <w:rPr>
          <w:rFonts w:hint="eastAsia"/>
          <w:bCs/>
          <w:sz w:val="24"/>
        </w:rPr>
        <w:t>在</w:t>
      </w:r>
      <w:r w:rsidR="008C3C01" w:rsidRPr="00F00B77">
        <w:rPr>
          <w:bCs/>
          <w:sz w:val="24"/>
        </w:rPr>
        <w:t>满足相关流动性风险管理要求的前提下，</w:t>
      </w:r>
      <w:r w:rsidR="008C3C01" w:rsidRPr="00F00B77">
        <w:rPr>
          <w:rFonts w:hint="eastAsia"/>
          <w:bCs/>
          <w:sz w:val="24"/>
        </w:rPr>
        <w:t>当本基金持有的现金、国债、中央银行票据、政策性金融债券以及</w:t>
      </w:r>
      <w:r w:rsidR="008C3C01" w:rsidRPr="00F00B77">
        <w:rPr>
          <w:rFonts w:hint="eastAsia"/>
          <w:bCs/>
          <w:sz w:val="24"/>
        </w:rPr>
        <w:t>5</w:t>
      </w:r>
      <w:r w:rsidR="008C3C01" w:rsidRPr="00F00B77">
        <w:rPr>
          <w:rFonts w:hint="eastAsia"/>
          <w:bCs/>
          <w:sz w:val="24"/>
        </w:rPr>
        <w:t>个交易日内到期的其他金融工具占基金资产净值的比例合计低于</w:t>
      </w:r>
      <w:r w:rsidR="008C3C01" w:rsidRPr="00F00B77">
        <w:rPr>
          <w:rFonts w:hint="eastAsia"/>
          <w:bCs/>
          <w:sz w:val="24"/>
        </w:rPr>
        <w:t>5%</w:t>
      </w:r>
      <w:r w:rsidR="008C3C01" w:rsidRPr="00F00B77">
        <w:rPr>
          <w:rFonts w:hint="eastAsia"/>
          <w:bCs/>
          <w:sz w:val="24"/>
        </w:rPr>
        <w:t>且偏离度为负时，</w:t>
      </w:r>
      <w:r w:rsidR="00AC2E64" w:rsidRPr="00F00B77">
        <w:rPr>
          <w:rFonts w:hint="eastAsia"/>
          <w:bCs/>
          <w:sz w:val="24"/>
        </w:rPr>
        <w:t>当日</w:t>
      </w:r>
      <w:r w:rsidR="008C3C01" w:rsidRPr="00F00B77">
        <w:rPr>
          <w:rFonts w:hint="eastAsia"/>
          <w:bCs/>
          <w:sz w:val="24"/>
        </w:rPr>
        <w:t>单个基金份额持有人申请赎回基金份额超过基金总份额</w:t>
      </w:r>
      <w:r w:rsidR="008C3C01" w:rsidRPr="00F00B77">
        <w:rPr>
          <w:rFonts w:hint="eastAsia"/>
          <w:bCs/>
          <w:sz w:val="24"/>
        </w:rPr>
        <w:t>1%</w:t>
      </w:r>
      <w:r w:rsidR="008C3C01" w:rsidRPr="00F00B77">
        <w:rPr>
          <w:rFonts w:hint="eastAsia"/>
          <w:bCs/>
          <w:sz w:val="24"/>
        </w:rPr>
        <w:t>以上的，该基金份额持有人可能</w:t>
      </w:r>
      <w:r w:rsidR="008C3C01" w:rsidRPr="00F00B77">
        <w:rPr>
          <w:bCs/>
          <w:sz w:val="24"/>
        </w:rPr>
        <w:t>面临被</w:t>
      </w:r>
      <w:r w:rsidR="008C3C01" w:rsidRPr="00F00B77">
        <w:rPr>
          <w:rFonts w:hint="eastAsia"/>
          <w:bCs/>
          <w:sz w:val="24"/>
        </w:rPr>
        <w:t>征收</w:t>
      </w:r>
      <w:r w:rsidR="008C3C01" w:rsidRPr="00F00B77">
        <w:rPr>
          <w:rFonts w:hint="eastAsia"/>
          <w:bCs/>
          <w:sz w:val="24"/>
        </w:rPr>
        <w:t>1%</w:t>
      </w:r>
      <w:r w:rsidR="008C3C01" w:rsidRPr="00F00B77">
        <w:rPr>
          <w:rFonts w:hint="eastAsia"/>
          <w:bCs/>
          <w:sz w:val="24"/>
        </w:rPr>
        <w:t>的强制赎回费用的</w:t>
      </w:r>
      <w:r w:rsidR="008C3C01" w:rsidRPr="00F00B77">
        <w:rPr>
          <w:bCs/>
          <w:sz w:val="24"/>
        </w:rPr>
        <w:t>风险</w:t>
      </w:r>
      <w:r w:rsidR="008C3C01" w:rsidRPr="00F00B77">
        <w:rPr>
          <w:rFonts w:hint="eastAsia"/>
          <w:bCs/>
          <w:sz w:val="24"/>
        </w:rPr>
        <w:t>，上述赎回费用全额计入基金财产。</w:t>
      </w:r>
      <w:r w:rsidRPr="00F00B77">
        <w:rPr>
          <w:rFonts w:hint="eastAsia"/>
          <w:bCs/>
          <w:sz w:val="24"/>
        </w:rPr>
        <w:t>此外</w:t>
      </w:r>
      <w:r w:rsidRPr="00F00B77">
        <w:rPr>
          <w:bCs/>
          <w:sz w:val="24"/>
        </w:rPr>
        <w:t>，</w:t>
      </w:r>
      <w:r w:rsidR="008C3C01" w:rsidRPr="00F00B77">
        <w:rPr>
          <w:rFonts w:hint="eastAsia"/>
          <w:bCs/>
          <w:sz w:val="24"/>
        </w:rPr>
        <w:t>单个基金份额持有人在单个开放日申请赎回基金份额超过基金总份额</w:t>
      </w:r>
      <w:r w:rsidR="008C3C01" w:rsidRPr="00F00B77">
        <w:rPr>
          <w:bCs/>
          <w:sz w:val="24"/>
        </w:rPr>
        <w:t>10%</w:t>
      </w:r>
      <w:r w:rsidR="008C3C01" w:rsidRPr="00F00B77">
        <w:rPr>
          <w:rFonts w:hint="eastAsia"/>
          <w:bCs/>
          <w:sz w:val="24"/>
        </w:rPr>
        <w:t>的，该基金份额持有人可能面临延期办理部分赎回申请或者延缓支付赎回款项的</w:t>
      </w:r>
      <w:r w:rsidR="008C3C01" w:rsidRPr="00F00B77">
        <w:rPr>
          <w:bCs/>
          <w:sz w:val="24"/>
        </w:rPr>
        <w:t>风险</w:t>
      </w:r>
      <w:r w:rsidR="008C3C01" w:rsidRPr="00F00B77">
        <w:rPr>
          <w:rFonts w:hint="eastAsia"/>
          <w:bCs/>
          <w:sz w:val="24"/>
        </w:rPr>
        <w:t>。</w:t>
      </w:r>
    </w:p>
    <w:p w14:paraId="6C4977CD"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六</w:t>
      </w:r>
      <w:r w:rsidRPr="00F00B77">
        <w:rPr>
          <w:rFonts w:hAnsi="宋体"/>
          <w:b/>
          <w:kern w:val="0"/>
          <w:sz w:val="24"/>
          <w:szCs w:val="24"/>
        </w:rPr>
        <w:t>）其他风险</w:t>
      </w:r>
      <w:r w:rsidRPr="00F00B77">
        <w:rPr>
          <w:b/>
          <w:kern w:val="0"/>
          <w:sz w:val="24"/>
          <w:szCs w:val="24"/>
        </w:rPr>
        <w:t xml:space="preserve"> </w:t>
      </w:r>
    </w:p>
    <w:p w14:paraId="5985F4A6"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1</w:t>
      </w:r>
      <w:r w:rsidRPr="00F00B77">
        <w:rPr>
          <w:rFonts w:hAnsi="宋体"/>
          <w:kern w:val="0"/>
          <w:sz w:val="24"/>
          <w:szCs w:val="24"/>
        </w:rPr>
        <w:t>、因技术因素而产生的风险，如电脑系统不可靠产生的风险；</w:t>
      </w:r>
      <w:r w:rsidRPr="00F00B77">
        <w:rPr>
          <w:kern w:val="0"/>
          <w:sz w:val="24"/>
          <w:szCs w:val="24"/>
        </w:rPr>
        <w:t xml:space="preserve"> </w:t>
      </w:r>
    </w:p>
    <w:p w14:paraId="030763D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2</w:t>
      </w:r>
      <w:r w:rsidRPr="00F00B77">
        <w:rPr>
          <w:rFonts w:hAnsi="宋体"/>
          <w:kern w:val="0"/>
          <w:sz w:val="24"/>
          <w:szCs w:val="24"/>
        </w:rPr>
        <w:t>、因基金业务快速发展，在制度建设、人员配备、内控制度建立等方面的不完善产生的风险；</w:t>
      </w:r>
      <w:r w:rsidRPr="00F00B77">
        <w:rPr>
          <w:kern w:val="0"/>
          <w:sz w:val="24"/>
          <w:szCs w:val="24"/>
        </w:rPr>
        <w:t xml:space="preserve"> </w:t>
      </w:r>
    </w:p>
    <w:p w14:paraId="4D8DF949"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3</w:t>
      </w:r>
      <w:r w:rsidRPr="00F00B77">
        <w:rPr>
          <w:rFonts w:hAnsi="宋体"/>
          <w:kern w:val="0"/>
          <w:sz w:val="24"/>
          <w:szCs w:val="24"/>
        </w:rPr>
        <w:t>、因人为因素而产生的风险、如内幕交易、欺诈行为等产生的风险；</w:t>
      </w:r>
      <w:r w:rsidRPr="00F00B77">
        <w:rPr>
          <w:kern w:val="0"/>
          <w:sz w:val="24"/>
          <w:szCs w:val="24"/>
        </w:rPr>
        <w:t xml:space="preserve"> </w:t>
      </w:r>
    </w:p>
    <w:p w14:paraId="5AA1389E"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4</w:t>
      </w:r>
      <w:r w:rsidRPr="00F00B77">
        <w:rPr>
          <w:rFonts w:hAnsi="宋体"/>
          <w:kern w:val="0"/>
          <w:sz w:val="24"/>
          <w:szCs w:val="24"/>
        </w:rPr>
        <w:t>、对主要业务人员如基金经理的依赖而可能产生的风险；</w:t>
      </w:r>
      <w:r w:rsidRPr="00F00B77">
        <w:rPr>
          <w:kern w:val="0"/>
          <w:sz w:val="24"/>
          <w:szCs w:val="24"/>
        </w:rPr>
        <w:t xml:space="preserve"> </w:t>
      </w:r>
    </w:p>
    <w:p w14:paraId="7605E0BC"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5</w:t>
      </w:r>
      <w:r w:rsidRPr="00F00B77">
        <w:rPr>
          <w:rFonts w:hAnsi="宋体"/>
          <w:kern w:val="0"/>
          <w:sz w:val="24"/>
          <w:szCs w:val="24"/>
        </w:rPr>
        <w:t>、因业务竞争压力可能产生的风险；</w:t>
      </w:r>
      <w:r w:rsidRPr="00F00B77">
        <w:rPr>
          <w:kern w:val="0"/>
          <w:sz w:val="24"/>
          <w:szCs w:val="24"/>
        </w:rPr>
        <w:t xml:space="preserve"> </w:t>
      </w:r>
    </w:p>
    <w:p w14:paraId="5A8B763F"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6</w:t>
      </w:r>
      <w:r w:rsidRPr="00F00B77">
        <w:rPr>
          <w:rFonts w:hAnsi="宋体"/>
          <w:kern w:val="0"/>
          <w:sz w:val="24"/>
          <w:szCs w:val="24"/>
        </w:rPr>
        <w:t>、战争、自然灾害等不可抗力可能导致基金财产的损失，影响基金收益水平，从而带来风险；</w:t>
      </w:r>
      <w:r w:rsidRPr="00F00B77">
        <w:rPr>
          <w:kern w:val="0"/>
          <w:sz w:val="24"/>
          <w:szCs w:val="24"/>
        </w:rPr>
        <w:t xml:space="preserve"> </w:t>
      </w:r>
    </w:p>
    <w:p w14:paraId="334422BC" w14:textId="77777777" w:rsidR="00084DB4" w:rsidRPr="00F00B77" w:rsidRDefault="00084DB4" w:rsidP="00EC3693">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7</w:t>
      </w:r>
      <w:r w:rsidRPr="00F00B77">
        <w:rPr>
          <w:rFonts w:hAnsi="宋体" w:hint="eastAsia"/>
          <w:kern w:val="0"/>
          <w:sz w:val="24"/>
          <w:szCs w:val="24"/>
        </w:rPr>
        <w:t>、金融市场危机、行业竞争、代理商违约、托管行违约等超出基金管理人自身直接控制能力之外的风险，也可能导致基金或者基金份额持有人利益受损。</w:t>
      </w:r>
    </w:p>
    <w:p w14:paraId="57F54396"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int="eastAsia"/>
          <w:kern w:val="0"/>
          <w:sz w:val="24"/>
          <w:szCs w:val="24"/>
        </w:rPr>
        <w:t>8</w:t>
      </w:r>
      <w:r w:rsidRPr="00F00B77">
        <w:rPr>
          <w:rFonts w:hAnsi="宋体"/>
          <w:kern w:val="0"/>
          <w:sz w:val="24"/>
          <w:szCs w:val="24"/>
        </w:rPr>
        <w:t>、其他意外导致的风险。</w:t>
      </w:r>
      <w:bookmarkStart w:id="68" w:name="OLE_LINK15"/>
    </w:p>
    <w:p w14:paraId="772EC1A8" w14:textId="77777777" w:rsidR="00084DB4" w:rsidRPr="00F00B77" w:rsidRDefault="00084DB4">
      <w:pPr>
        <w:widowControl/>
        <w:adjustRightInd w:val="0"/>
        <w:snapToGrid w:val="0"/>
        <w:spacing w:line="360" w:lineRule="auto"/>
        <w:rPr>
          <w:kern w:val="0"/>
          <w:sz w:val="24"/>
        </w:rPr>
      </w:pPr>
    </w:p>
    <w:p w14:paraId="57C84703" w14:textId="77777777" w:rsidR="00084DB4" w:rsidRPr="00F00B77" w:rsidRDefault="00084DB4" w:rsidP="004A3EE5">
      <w:pPr>
        <w:widowControl/>
        <w:adjustRightInd w:val="0"/>
        <w:snapToGrid w:val="0"/>
        <w:spacing w:beforeLines="50" w:before="143" w:afterLines="50" w:after="143" w:line="360" w:lineRule="auto"/>
        <w:jc w:val="center"/>
        <w:outlineLvl w:val="0"/>
        <w:rPr>
          <w:b/>
          <w:kern w:val="0"/>
          <w:sz w:val="30"/>
        </w:rPr>
      </w:pPr>
      <w:r w:rsidRPr="00F00B77">
        <w:rPr>
          <w:rFonts w:hAnsi="宋体"/>
          <w:b/>
          <w:kern w:val="0"/>
          <w:sz w:val="30"/>
        </w:rPr>
        <w:br w:type="page"/>
      </w:r>
      <w:bookmarkStart w:id="69" w:name="_Toc491431681"/>
      <w:r w:rsidRPr="00F00B77">
        <w:rPr>
          <w:rFonts w:hAnsi="宋体" w:hint="eastAsia"/>
          <w:b/>
          <w:kern w:val="0"/>
          <w:sz w:val="30"/>
        </w:rPr>
        <w:t>十</w:t>
      </w:r>
      <w:r w:rsidR="00D87150" w:rsidRPr="00F00B77">
        <w:rPr>
          <w:rFonts w:hAnsi="宋体" w:hint="eastAsia"/>
          <w:b/>
          <w:kern w:val="0"/>
          <w:sz w:val="30"/>
        </w:rPr>
        <w:t>八</w:t>
      </w:r>
      <w:r w:rsidRPr="00F00B77">
        <w:rPr>
          <w:rFonts w:hAnsi="宋体"/>
          <w:b/>
          <w:kern w:val="0"/>
          <w:sz w:val="30"/>
        </w:rPr>
        <w:t>、基金合同的变更、终止与基金财</w:t>
      </w:r>
      <w:bookmarkEnd w:id="68"/>
      <w:r w:rsidRPr="00F00B77">
        <w:rPr>
          <w:rFonts w:hAnsi="宋体"/>
          <w:b/>
          <w:kern w:val="0"/>
          <w:sz w:val="30"/>
        </w:rPr>
        <w:t>产的清算</w:t>
      </w:r>
      <w:bookmarkEnd w:id="69"/>
    </w:p>
    <w:p w14:paraId="39591708" w14:textId="77777777" w:rsidR="00084DB4" w:rsidRPr="00F00B77" w:rsidRDefault="00084DB4">
      <w:pPr>
        <w:widowControl/>
        <w:adjustRightInd w:val="0"/>
        <w:snapToGrid w:val="0"/>
        <w:spacing w:line="360" w:lineRule="auto"/>
        <w:ind w:firstLine="482"/>
        <w:rPr>
          <w:b/>
          <w:kern w:val="0"/>
          <w:sz w:val="24"/>
        </w:rPr>
      </w:pPr>
      <w:r w:rsidRPr="00F00B77">
        <w:rPr>
          <w:rFonts w:hAnsi="宋体"/>
          <w:b/>
          <w:kern w:val="0"/>
          <w:sz w:val="24"/>
        </w:rPr>
        <w:t>（一）《基金合同》的变更</w:t>
      </w:r>
    </w:p>
    <w:p w14:paraId="29D558B0" w14:textId="77777777" w:rsidR="00084DB4" w:rsidRPr="00F00B77" w:rsidRDefault="00084DB4">
      <w:pPr>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1</w:t>
      </w:r>
      <w:r w:rsidRPr="00F00B77">
        <w:rPr>
          <w:rFonts w:hAnsi="宋体" w:hint="eastAsia"/>
          <w:kern w:val="0"/>
          <w:sz w:val="24"/>
          <w:szCs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B8160D" w14:textId="77777777" w:rsidR="00084DB4" w:rsidRPr="00F00B77" w:rsidRDefault="00084DB4">
      <w:pPr>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2</w:t>
      </w:r>
      <w:r w:rsidRPr="00F00B77">
        <w:rPr>
          <w:rFonts w:hAnsi="宋体" w:hint="eastAsia"/>
          <w:kern w:val="0"/>
          <w:sz w:val="24"/>
          <w:szCs w:val="24"/>
        </w:rPr>
        <w:t>、</w:t>
      </w:r>
      <w:r w:rsidRPr="00F00B77">
        <w:rPr>
          <w:bCs/>
          <w:sz w:val="24"/>
        </w:rPr>
        <w:t>关于《基金合同》变更的基金份额持有人大会决议</w:t>
      </w:r>
      <w:r w:rsidRPr="00F00B77">
        <w:rPr>
          <w:rFonts w:hint="eastAsia"/>
          <w:bCs/>
          <w:sz w:val="24"/>
        </w:rPr>
        <w:t>生效</w:t>
      </w:r>
      <w:r w:rsidRPr="00F00B77">
        <w:rPr>
          <w:bCs/>
          <w:sz w:val="24"/>
        </w:rPr>
        <w:t>后方可执行，</w:t>
      </w:r>
      <w:r w:rsidRPr="00F00B77">
        <w:rPr>
          <w:rFonts w:hint="eastAsia"/>
          <w:bCs/>
          <w:sz w:val="24"/>
        </w:rPr>
        <w:t>并</w:t>
      </w:r>
      <w:r w:rsidRPr="00F00B77">
        <w:rPr>
          <w:bCs/>
          <w:sz w:val="24"/>
        </w:rPr>
        <w:t>自决议生效</w:t>
      </w:r>
      <w:r w:rsidRPr="00F00B77">
        <w:rPr>
          <w:rFonts w:hint="eastAsia"/>
          <w:bCs/>
          <w:sz w:val="24"/>
        </w:rPr>
        <w:t>后依照《信息披露办法》的规定</w:t>
      </w:r>
      <w:r w:rsidRPr="00F00B77">
        <w:rPr>
          <w:bCs/>
          <w:sz w:val="24"/>
        </w:rPr>
        <w:t>在</w:t>
      </w:r>
      <w:r w:rsidRPr="00F00B77">
        <w:rPr>
          <w:rFonts w:hint="eastAsia"/>
          <w:bCs/>
          <w:sz w:val="24"/>
        </w:rPr>
        <w:t>指定媒介</w:t>
      </w:r>
      <w:r w:rsidRPr="00F00B77">
        <w:rPr>
          <w:bCs/>
          <w:sz w:val="24"/>
        </w:rPr>
        <w:t>公告</w:t>
      </w:r>
      <w:r w:rsidRPr="00F00B77">
        <w:rPr>
          <w:rFonts w:hAnsi="宋体" w:hint="eastAsia"/>
          <w:kern w:val="0"/>
          <w:sz w:val="24"/>
          <w:szCs w:val="24"/>
        </w:rPr>
        <w:t>。</w:t>
      </w:r>
    </w:p>
    <w:p w14:paraId="4932E0D1" w14:textId="77777777" w:rsidR="00084DB4" w:rsidRPr="00F00B77" w:rsidRDefault="00084DB4">
      <w:pPr>
        <w:adjustRightInd w:val="0"/>
        <w:snapToGrid w:val="0"/>
        <w:spacing w:line="360" w:lineRule="auto"/>
        <w:ind w:firstLineChars="200" w:firstLine="482"/>
        <w:rPr>
          <w:b/>
          <w:kern w:val="0"/>
          <w:sz w:val="24"/>
        </w:rPr>
      </w:pPr>
      <w:r w:rsidRPr="00F00B77">
        <w:rPr>
          <w:rFonts w:hAnsi="宋体"/>
          <w:b/>
          <w:kern w:val="0"/>
          <w:sz w:val="24"/>
        </w:rPr>
        <w:t>（二）《基金合同》的终止事由</w:t>
      </w:r>
    </w:p>
    <w:p w14:paraId="3FE78193"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有下列情形之一的，《基金合同》应当终止：</w:t>
      </w:r>
    </w:p>
    <w:p w14:paraId="2F62C177"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、基金份额持有人大会决定终止的；</w:t>
      </w:r>
    </w:p>
    <w:p w14:paraId="7AA4BCA2"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、基金管理人、基金托管人职责终止，在</w:t>
      </w:r>
      <w:r w:rsidRPr="00F00B77">
        <w:rPr>
          <w:rFonts w:hAnsi="宋体" w:hint="eastAsia"/>
          <w:sz w:val="24"/>
        </w:rPr>
        <w:t>6</w:t>
      </w:r>
      <w:r w:rsidRPr="00F00B77">
        <w:rPr>
          <w:rFonts w:hAnsi="宋体" w:hint="eastAsia"/>
          <w:sz w:val="24"/>
        </w:rPr>
        <w:t>个月内没有新基金管理人、新基金托管人承接的；</w:t>
      </w:r>
    </w:p>
    <w:p w14:paraId="1CE57ADB"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、本基金作为被合并方与其他基金进行合并的；</w:t>
      </w:r>
    </w:p>
    <w:p w14:paraId="2AA6DB88"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、《基金合同》约定的其他情形；</w:t>
      </w:r>
    </w:p>
    <w:p w14:paraId="5E40BE2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、相关法律法规和中国证监会规定的其他情况。</w:t>
      </w:r>
    </w:p>
    <w:p w14:paraId="74CCD961"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（三）基金财产的清算</w:t>
      </w:r>
    </w:p>
    <w:p w14:paraId="71BC42F0"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、基金财产清算小组：自出现《基金合同》终止事由之日起</w:t>
      </w:r>
      <w:r w:rsidRPr="00F00B77">
        <w:rPr>
          <w:rFonts w:hAnsi="宋体" w:hint="eastAsia"/>
          <w:sz w:val="24"/>
        </w:rPr>
        <w:t>30</w:t>
      </w:r>
      <w:r w:rsidRPr="00F00B77">
        <w:rPr>
          <w:rFonts w:hAnsi="宋体" w:hint="eastAsia"/>
          <w:sz w:val="24"/>
        </w:rPr>
        <w:t>个工作日内成立清算小组，基金管理人组织基金财产清算小组并在中国证监会的监督下进行基金清算。</w:t>
      </w:r>
    </w:p>
    <w:p w14:paraId="5E60F62F"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8D152CC"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、基金财产清算小组职责：基金财产清算小组负责基金财产的保管、清理、估价、变现和分配。基金财产清算小组可以依法进行必要的民事活动。</w:t>
      </w:r>
    </w:p>
    <w:p w14:paraId="21624144"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、基金财产清算程序：</w:t>
      </w:r>
    </w:p>
    <w:p w14:paraId="516E896C"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1</w:t>
      </w:r>
      <w:r w:rsidRPr="00F00B77">
        <w:rPr>
          <w:rFonts w:hAnsi="宋体" w:hint="eastAsia"/>
          <w:sz w:val="24"/>
        </w:rPr>
        <w:t>）《基金合同》终止情形出现时，由基金财产清算小组统一接管基金财产；</w:t>
      </w:r>
    </w:p>
    <w:p w14:paraId="189AC529"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2</w:t>
      </w:r>
      <w:r w:rsidRPr="00F00B77">
        <w:rPr>
          <w:rFonts w:hAnsi="宋体" w:hint="eastAsia"/>
          <w:sz w:val="24"/>
        </w:rPr>
        <w:t>）对基金财产和债权债务进行清理和确认；</w:t>
      </w:r>
    </w:p>
    <w:p w14:paraId="048A6FF8"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3</w:t>
      </w:r>
      <w:r w:rsidRPr="00F00B77">
        <w:rPr>
          <w:rFonts w:hAnsi="宋体" w:hint="eastAsia"/>
          <w:sz w:val="24"/>
        </w:rPr>
        <w:t>）对基金财产进行估值和变现；</w:t>
      </w:r>
    </w:p>
    <w:p w14:paraId="4DF627C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4</w:t>
      </w:r>
      <w:r w:rsidRPr="00F00B77">
        <w:rPr>
          <w:rFonts w:hAnsi="宋体" w:hint="eastAsia"/>
          <w:sz w:val="24"/>
        </w:rPr>
        <w:t>）制作清算报告；</w:t>
      </w:r>
    </w:p>
    <w:p w14:paraId="7761D1D7"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5</w:t>
      </w:r>
      <w:r w:rsidRPr="00F00B77">
        <w:rPr>
          <w:rFonts w:hAnsi="宋体" w:hint="eastAsia"/>
          <w:sz w:val="24"/>
        </w:rPr>
        <w:t>）聘请会计师事务所对清算报告进行外部审计，聘请律师事务所对清算报告出具法律意见书；</w:t>
      </w:r>
    </w:p>
    <w:p w14:paraId="7EBC144C"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6</w:t>
      </w:r>
      <w:r w:rsidRPr="00F00B77">
        <w:rPr>
          <w:rFonts w:hAnsi="宋体" w:hint="eastAsia"/>
          <w:sz w:val="24"/>
        </w:rPr>
        <w:t>）将清算报告报中国证监会备案并公告；</w:t>
      </w:r>
    </w:p>
    <w:p w14:paraId="106396BB"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7</w:t>
      </w:r>
      <w:r w:rsidRPr="00F00B77">
        <w:rPr>
          <w:rFonts w:hAnsi="宋体" w:hint="eastAsia"/>
          <w:sz w:val="24"/>
        </w:rPr>
        <w:t>）对基金剩余财产进行分配。</w:t>
      </w:r>
    </w:p>
    <w:p w14:paraId="579A45CB"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、基金财产清算的期限为</w:t>
      </w:r>
      <w:r w:rsidRPr="00F00B77">
        <w:rPr>
          <w:rFonts w:hAnsi="宋体" w:hint="eastAsia"/>
          <w:sz w:val="24"/>
        </w:rPr>
        <w:t>6</w:t>
      </w:r>
      <w:r w:rsidRPr="00F00B77">
        <w:rPr>
          <w:rFonts w:hAnsi="宋体" w:hint="eastAsia"/>
          <w:sz w:val="24"/>
        </w:rPr>
        <w:t>个月，若遇基金持有的有价证券出现长期休市、停牌或其他流通受限的情形除外。</w:t>
      </w:r>
    </w:p>
    <w:p w14:paraId="54746FFC"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（四）清算费用</w:t>
      </w:r>
    </w:p>
    <w:p w14:paraId="11F8FE5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清算费用是指基金财产清算小组在进行基金清算过程中发生的所有合理费用，清算费用由基金财产清算小组优先从基金财产中支付。</w:t>
      </w:r>
    </w:p>
    <w:p w14:paraId="18417F96"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（五）</w:t>
      </w:r>
      <w:r w:rsidRPr="00F00B77">
        <w:rPr>
          <w:b/>
          <w:bCs/>
          <w:sz w:val="24"/>
        </w:rPr>
        <w:t>基金财产清算剩余资产的分配</w:t>
      </w:r>
    </w:p>
    <w:p w14:paraId="23C8514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6E28B3F"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（六）基金财产清算的公告</w:t>
      </w:r>
    </w:p>
    <w:p w14:paraId="4C04DF2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0B77">
        <w:rPr>
          <w:rFonts w:hint="eastAsia"/>
          <w:bCs/>
          <w:sz w:val="24"/>
        </w:rPr>
        <w:t>5</w:t>
      </w:r>
      <w:r w:rsidRPr="00F00B77">
        <w:rPr>
          <w:rFonts w:hint="eastAsia"/>
          <w:bCs/>
          <w:sz w:val="24"/>
        </w:rPr>
        <w:t>个工作日内由基金财产清算小组进行公告。</w:t>
      </w:r>
    </w:p>
    <w:p w14:paraId="71F1D141"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（七）基金财产清算账册及文件的保存</w:t>
      </w:r>
    </w:p>
    <w:p w14:paraId="64F58EA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基金财产清算账册及有关文件由基金托管人保存</w:t>
      </w:r>
      <w:r w:rsidRPr="00F00B77">
        <w:rPr>
          <w:rFonts w:hint="eastAsia"/>
          <w:bCs/>
          <w:sz w:val="24"/>
        </w:rPr>
        <w:t>15</w:t>
      </w:r>
      <w:r w:rsidRPr="00F00B77">
        <w:rPr>
          <w:rFonts w:hint="eastAsia"/>
          <w:bCs/>
          <w:sz w:val="24"/>
        </w:rPr>
        <w:t>年以上。</w:t>
      </w:r>
    </w:p>
    <w:p w14:paraId="3B6E164D" w14:textId="77777777" w:rsidR="00084DB4" w:rsidRPr="00F00B77" w:rsidRDefault="00084DB4">
      <w:pPr>
        <w:widowControl/>
        <w:adjustRightInd w:val="0"/>
        <w:snapToGrid w:val="0"/>
        <w:spacing w:line="500" w:lineRule="exact"/>
        <w:ind w:firstLineChars="200" w:firstLine="480"/>
        <w:rPr>
          <w:rFonts w:ascii="宋体" w:hAnsi="宋体"/>
          <w:kern w:val="0"/>
          <w:sz w:val="24"/>
        </w:rPr>
      </w:pPr>
    </w:p>
    <w:p w14:paraId="095A50F5"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70" w:name="_Toc491431682"/>
      <w:r w:rsidRPr="00F00B77">
        <w:rPr>
          <w:rFonts w:ascii="宋体" w:hAnsi="宋体" w:hint="eastAsia"/>
          <w:b/>
          <w:kern w:val="0"/>
          <w:sz w:val="30"/>
        </w:rPr>
        <w:t>十</w:t>
      </w:r>
      <w:r w:rsidR="00D87150" w:rsidRPr="00F00B77">
        <w:rPr>
          <w:rFonts w:ascii="宋体" w:hAnsi="宋体" w:hint="eastAsia"/>
          <w:b/>
          <w:kern w:val="0"/>
          <w:sz w:val="30"/>
        </w:rPr>
        <w:t>九</w:t>
      </w:r>
      <w:r w:rsidRPr="00F00B77">
        <w:rPr>
          <w:rFonts w:ascii="宋体" w:hAnsi="宋体" w:hint="eastAsia"/>
          <w:b/>
          <w:kern w:val="0"/>
          <w:sz w:val="30"/>
        </w:rPr>
        <w:t>、基金合同内容摘要</w:t>
      </w:r>
      <w:bookmarkEnd w:id="70"/>
    </w:p>
    <w:p w14:paraId="68E07755"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w:t>
      </w:r>
      <w:r w:rsidR="003A2C15" w:rsidRPr="00F00B77">
        <w:rPr>
          <w:rFonts w:hAnsi="宋体" w:hint="eastAsia"/>
          <w:b/>
          <w:kern w:val="0"/>
          <w:sz w:val="24"/>
        </w:rPr>
        <w:t>基金管理人、基金托管人和基金份额持有人</w:t>
      </w:r>
      <w:r w:rsidRPr="00F00B77">
        <w:rPr>
          <w:rFonts w:hAnsi="宋体" w:hint="eastAsia"/>
          <w:b/>
          <w:kern w:val="0"/>
          <w:sz w:val="24"/>
        </w:rPr>
        <w:t>的</w:t>
      </w:r>
      <w:r w:rsidRPr="00F00B77">
        <w:rPr>
          <w:rFonts w:hAnsi="宋体"/>
          <w:b/>
          <w:kern w:val="0"/>
          <w:sz w:val="24"/>
        </w:rPr>
        <w:t>权利</w:t>
      </w:r>
      <w:r w:rsidRPr="00F00B77">
        <w:rPr>
          <w:rFonts w:hAnsi="宋体" w:hint="eastAsia"/>
          <w:b/>
          <w:kern w:val="0"/>
          <w:sz w:val="24"/>
        </w:rPr>
        <w:t>与</w:t>
      </w:r>
      <w:r w:rsidRPr="00F00B77">
        <w:rPr>
          <w:rFonts w:hAnsi="宋体"/>
          <w:b/>
          <w:kern w:val="0"/>
          <w:sz w:val="24"/>
        </w:rPr>
        <w:t>义务</w:t>
      </w:r>
      <w:r w:rsidRPr="00F00B77">
        <w:rPr>
          <w:b/>
          <w:kern w:val="0"/>
          <w:sz w:val="24"/>
        </w:rPr>
        <w:t xml:space="preserve"> </w:t>
      </w:r>
    </w:p>
    <w:p w14:paraId="064ED7C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rFonts w:hAnsi="宋体"/>
          <w:kern w:val="0"/>
          <w:sz w:val="24"/>
        </w:rPr>
        <w:t>、基金管理人的权利与义务</w:t>
      </w:r>
      <w:r w:rsidRPr="00F00B77">
        <w:rPr>
          <w:kern w:val="0"/>
          <w:sz w:val="24"/>
        </w:rPr>
        <w:t xml:space="preserve"> </w:t>
      </w:r>
    </w:p>
    <w:p w14:paraId="19B9270B"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）根据《基金法》、《运作办法》及其他有关规定，基金管理人的权利包括但不限于：</w:t>
      </w:r>
    </w:p>
    <w:p w14:paraId="6F1B8F7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）依法募集资金；</w:t>
      </w:r>
    </w:p>
    <w:p w14:paraId="0F5C749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）自《基金合同》生效之日起，根据法律法规和《基金合同》独立运用并管理基金财产；</w:t>
      </w:r>
    </w:p>
    <w:p w14:paraId="68F2B2E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）依照《基金合同》收取基金管理费以及法律法规规定或中国证监会批准的其他费用；</w:t>
      </w:r>
    </w:p>
    <w:p w14:paraId="41C547A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）销售基金份额；</w:t>
      </w:r>
    </w:p>
    <w:p w14:paraId="485A399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）按照规定召集基金份额持有人大会；</w:t>
      </w:r>
    </w:p>
    <w:p w14:paraId="4861307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8D762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）在基金托管人更换时，提名新的基金托管人；</w:t>
      </w:r>
    </w:p>
    <w:p w14:paraId="74F9F0E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）选择、更换基金销售机构，对基金销售机构的相关行为进行监督和处理；</w:t>
      </w:r>
      <w:r w:rsidRPr="00F00B77">
        <w:rPr>
          <w:rFonts w:hint="eastAsia"/>
          <w:bCs/>
          <w:sz w:val="24"/>
        </w:rPr>
        <w:t xml:space="preserve"> </w:t>
      </w:r>
    </w:p>
    <w:p w14:paraId="339CE0F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）担任或委托其他符合条件的机构担任基金登记机构办理基金登记业务并获得《基金合同》规定的费用；</w:t>
      </w:r>
      <w:r w:rsidRPr="00F00B77">
        <w:rPr>
          <w:rFonts w:hint="eastAsia"/>
          <w:bCs/>
          <w:sz w:val="24"/>
        </w:rPr>
        <w:t xml:space="preserve"> </w:t>
      </w:r>
    </w:p>
    <w:p w14:paraId="246EF2A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）依据《基金合同》及有关法律规定决定基金收益的分配方案；</w:t>
      </w:r>
      <w:r w:rsidRPr="00F00B77">
        <w:rPr>
          <w:rFonts w:hint="eastAsia"/>
          <w:bCs/>
          <w:sz w:val="24"/>
        </w:rPr>
        <w:tab/>
      </w:r>
    </w:p>
    <w:p w14:paraId="4F5F5D0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）在《基金合同》约定的范围内，拒绝或暂停受理申购与赎回申请；</w:t>
      </w:r>
    </w:p>
    <w:p w14:paraId="18810BD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）依照法律法规为基金的利益行使因基金财产投资于证券所产生的权利；</w:t>
      </w:r>
    </w:p>
    <w:p w14:paraId="29B034B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）在法律法规允许的前提下，为基金的利益依法为基金进行融资；</w:t>
      </w:r>
      <w:r w:rsidRPr="00F00B77">
        <w:rPr>
          <w:rFonts w:hint="eastAsia"/>
          <w:bCs/>
          <w:sz w:val="24"/>
        </w:rPr>
        <w:t xml:space="preserve"> </w:t>
      </w:r>
    </w:p>
    <w:p w14:paraId="67E207E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）以基金管理人的名义，代表基金份额持有人的利益行使诉讼权利或者实施其他法律行为；</w:t>
      </w:r>
      <w:r w:rsidRPr="00F00B77">
        <w:rPr>
          <w:rFonts w:hint="eastAsia"/>
          <w:bCs/>
          <w:sz w:val="24"/>
        </w:rPr>
        <w:tab/>
      </w:r>
    </w:p>
    <w:p w14:paraId="6555D2B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）选择、更换律师事务所、会计师事务所、证券经纪商或其他为基金提供服务的外部机构；</w:t>
      </w:r>
      <w:r w:rsidRPr="00F00B77">
        <w:rPr>
          <w:rFonts w:hint="eastAsia"/>
          <w:bCs/>
          <w:sz w:val="24"/>
        </w:rPr>
        <w:tab/>
      </w:r>
    </w:p>
    <w:p w14:paraId="2882110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）在符合有关法律、法规的前提下，制定和调整有关基金认购、申购、赎回、转换等的业务规则；</w:t>
      </w:r>
    </w:p>
    <w:p w14:paraId="20D4CD4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）法律法规及中国证监会规定的和《基金合同》约定的其他权利。</w:t>
      </w:r>
    </w:p>
    <w:p w14:paraId="1ED4076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根据《基金法》、《运作办法》及其他有关规定，基金管理人的义务包括但不限于：</w:t>
      </w:r>
    </w:p>
    <w:p w14:paraId="472D598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）依法募集资金，办理或者委托经中国证监会认定的其他机构代为办理基金份额的发售、申购、赎回和登记事宜；</w:t>
      </w:r>
    </w:p>
    <w:p w14:paraId="31D1739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）办理基金备案手续；</w:t>
      </w:r>
    </w:p>
    <w:p w14:paraId="4B4BCA2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）自《基金合同》生效之日起，以诚实信用、谨慎勤勉的原则管理和运用基金财产；</w:t>
      </w:r>
    </w:p>
    <w:p w14:paraId="3598499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）配备足够的具有专业资格的人员进行基金投资分析、决策，以专业化的经营方式管理和运作基金财产；</w:t>
      </w:r>
    </w:p>
    <w:p w14:paraId="2E4CCC0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33BE0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）除依据《基金法》、《基金合同》及其他有关规定外，不得利用基金财产为自己及任何第三人谋取利益，不得委托第三人运作基金财产；</w:t>
      </w:r>
    </w:p>
    <w:p w14:paraId="3B26B57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）依法接受基金托管人的监督；</w:t>
      </w:r>
    </w:p>
    <w:p w14:paraId="570CA30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r w:rsidRPr="00F00B77">
        <w:rPr>
          <w:rFonts w:hint="eastAsia"/>
          <w:bCs/>
          <w:sz w:val="24"/>
        </w:rPr>
        <w:t>7</w:t>
      </w:r>
      <w:r w:rsidRPr="00F00B77">
        <w:rPr>
          <w:rFonts w:hint="eastAsia"/>
          <w:bCs/>
          <w:sz w:val="24"/>
        </w:rPr>
        <w:t>日年化收益率；</w:t>
      </w:r>
    </w:p>
    <w:p w14:paraId="1AD6DC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）进行基金会计核算并编制基金财务会计报告；</w:t>
      </w:r>
    </w:p>
    <w:p w14:paraId="3FCD1AA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）编制季度、半年度和年度基金报告；</w:t>
      </w:r>
    </w:p>
    <w:p w14:paraId="3A8485D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）严格按照《基金法》、《基金合同》及其他有关规定，履行信息披露及报告义务；</w:t>
      </w:r>
    </w:p>
    <w:p w14:paraId="090F1E5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）保守基金商业秘密，不泄露基金投资计划、投资意向等。除《基金法》、《基金合同》及其他有关规定另有规定外，在基金信息公开披露前应予保密，不向他人泄露；</w:t>
      </w:r>
    </w:p>
    <w:p w14:paraId="240AA60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）按《基金合同》的约定确定基金收益分配方案，及时向基金份额持有人分配基金收益；</w:t>
      </w:r>
    </w:p>
    <w:p w14:paraId="4791030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）按规定受理申购与赎回申请，及时、足额支付赎回款项；</w:t>
      </w:r>
    </w:p>
    <w:p w14:paraId="212E409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）依据《基金法》、《基金合同》及其他有关规定召集基金份额持有人大会或配合基金托管人、基金份额持有人依法召集基金份额持有人大会；</w:t>
      </w:r>
    </w:p>
    <w:p w14:paraId="0670D6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）按规定保存基金财产管理业务活动的会计账册、报表、记录和其他相关资料</w:t>
      </w:r>
      <w:r w:rsidRPr="00F00B77">
        <w:rPr>
          <w:rFonts w:hint="eastAsia"/>
          <w:bCs/>
          <w:sz w:val="24"/>
        </w:rPr>
        <w:t>15</w:t>
      </w:r>
      <w:r w:rsidRPr="00F00B77">
        <w:rPr>
          <w:rFonts w:hint="eastAsia"/>
          <w:bCs/>
          <w:sz w:val="24"/>
        </w:rPr>
        <w:t>年以上；</w:t>
      </w:r>
    </w:p>
    <w:p w14:paraId="31D8E0B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32C46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）组织并参加基金财产清算小组，参与基金财产的保管、清理、估价、变现和分配；</w:t>
      </w:r>
    </w:p>
    <w:p w14:paraId="7EA53BB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）面临解散、依法被撤销或者被依法宣告破产时，及时报告中国证监会并通知基金托管人；</w:t>
      </w:r>
    </w:p>
    <w:p w14:paraId="23EFEFD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）因违反《基金合同》导致基金财产的损失或损害基金份额持有人合法权益时，应当承担赔偿责任，其赔偿责任不因其退任而免除；</w:t>
      </w:r>
    </w:p>
    <w:p w14:paraId="46CFB17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8D6FC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22</w:t>
      </w:r>
      <w:r w:rsidRPr="00F00B77">
        <w:rPr>
          <w:rFonts w:hint="eastAsia"/>
          <w:bCs/>
          <w:sz w:val="24"/>
        </w:rPr>
        <w:t>）当基金管理人将其义务委托第三方处理时，应当对第三方处理有关基金事务的行为承担责任；</w:t>
      </w:r>
    </w:p>
    <w:p w14:paraId="5A9B699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23</w:t>
      </w:r>
      <w:r w:rsidRPr="00F00B77">
        <w:rPr>
          <w:rFonts w:hint="eastAsia"/>
          <w:bCs/>
          <w:sz w:val="24"/>
        </w:rPr>
        <w:t>）以基金管理人名义，代表基金份额持有人利益行使诉讼权利或实施其他法律行为；</w:t>
      </w:r>
      <w:r w:rsidRPr="00F00B77">
        <w:rPr>
          <w:rFonts w:hint="eastAsia"/>
          <w:bCs/>
          <w:sz w:val="24"/>
        </w:rPr>
        <w:tab/>
      </w:r>
    </w:p>
    <w:p w14:paraId="172F042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24</w:t>
      </w:r>
      <w:r w:rsidRPr="00F00B77">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F00B77">
        <w:rPr>
          <w:rFonts w:hint="eastAsia"/>
          <w:bCs/>
          <w:sz w:val="24"/>
        </w:rPr>
        <w:t>30</w:t>
      </w:r>
      <w:r w:rsidRPr="00F00B77">
        <w:rPr>
          <w:rFonts w:hint="eastAsia"/>
          <w:bCs/>
          <w:sz w:val="24"/>
        </w:rPr>
        <w:t>日内退还基金认购人；</w:t>
      </w:r>
    </w:p>
    <w:p w14:paraId="01BFF3E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25</w:t>
      </w:r>
      <w:r w:rsidRPr="00F00B77">
        <w:rPr>
          <w:rFonts w:hint="eastAsia"/>
          <w:bCs/>
          <w:sz w:val="24"/>
        </w:rPr>
        <w:t>）执行生效的基金份额持有人大会的决议；</w:t>
      </w:r>
    </w:p>
    <w:p w14:paraId="3BFD090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26</w:t>
      </w:r>
      <w:r w:rsidRPr="00F00B77">
        <w:rPr>
          <w:rFonts w:hint="eastAsia"/>
          <w:bCs/>
          <w:sz w:val="24"/>
        </w:rPr>
        <w:t>）建立并保存基金份额持有人名册；</w:t>
      </w:r>
    </w:p>
    <w:p w14:paraId="754F89F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27</w:t>
      </w:r>
      <w:r w:rsidRPr="00F00B77">
        <w:rPr>
          <w:rFonts w:hint="eastAsia"/>
          <w:bCs/>
          <w:sz w:val="24"/>
        </w:rPr>
        <w:t>）法律法规及中国证监会规定的和《基金合同》约定的其他义务。</w:t>
      </w:r>
    </w:p>
    <w:p w14:paraId="076D8DD9" w14:textId="77777777" w:rsidR="00084DB4" w:rsidRPr="00F00B77" w:rsidRDefault="00084DB4">
      <w:pPr>
        <w:widowControl/>
        <w:adjustRightInd w:val="0"/>
        <w:snapToGrid w:val="0"/>
        <w:spacing w:line="360" w:lineRule="auto"/>
        <w:ind w:firstLineChars="200" w:firstLine="480"/>
        <w:rPr>
          <w:kern w:val="0"/>
          <w:sz w:val="24"/>
        </w:rPr>
      </w:pPr>
      <w:bookmarkStart w:id="71" w:name="_Hlt88897298"/>
      <w:bookmarkEnd w:id="71"/>
      <w:r w:rsidRPr="00F00B77">
        <w:rPr>
          <w:kern w:val="0"/>
          <w:sz w:val="24"/>
        </w:rPr>
        <w:t>2</w:t>
      </w:r>
      <w:r w:rsidRPr="00F00B77">
        <w:rPr>
          <w:rFonts w:hAnsi="宋体"/>
          <w:kern w:val="0"/>
          <w:sz w:val="24"/>
        </w:rPr>
        <w:t>、基金托管人的权利与义务</w:t>
      </w:r>
      <w:r w:rsidRPr="00F00B77">
        <w:rPr>
          <w:kern w:val="0"/>
          <w:sz w:val="24"/>
        </w:rPr>
        <w:t xml:space="preserve"> </w:t>
      </w:r>
    </w:p>
    <w:p w14:paraId="10E776B5"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）根据《基金法》、《运作办法》及其他有关规定，基金托管人的权利包括但不限于：</w:t>
      </w:r>
    </w:p>
    <w:p w14:paraId="1AC1AC1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）自《基金合同》生效之日起，依法律法规和《基金合同》的规定安全保管基金财产；</w:t>
      </w:r>
    </w:p>
    <w:p w14:paraId="12F29F0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）依《基金合同》约定获得基金托管费以及法律法规规定或监管部门批准的其他费用；</w:t>
      </w:r>
    </w:p>
    <w:p w14:paraId="00CBB8B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27B2BC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）根据相关市场规则，为基金开设资金账户、证券账户等投资所需账户，为基金办理证券交易资金清算；</w:t>
      </w:r>
    </w:p>
    <w:p w14:paraId="6A4AB0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）提议召开或召集基金份额持有人大会；</w:t>
      </w:r>
    </w:p>
    <w:p w14:paraId="4E5E5F9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）在基金管理人更换时，提名新的基金管理人；</w:t>
      </w:r>
    </w:p>
    <w:p w14:paraId="1585B8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）法律法规及中国证监会规定的和《基金合同》约定的其他权利。</w:t>
      </w:r>
    </w:p>
    <w:p w14:paraId="46053EB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）根据《基金法》、《运作办法》及其他有关规定，基金托管人的义务包括但不限于：</w:t>
      </w:r>
    </w:p>
    <w:p w14:paraId="52435E8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）以诚实信用、勤勉尽责的原则持有并安全保管基金财产；</w:t>
      </w:r>
    </w:p>
    <w:p w14:paraId="7D8F14E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）设立专门的基金托管部门，具有符合要求的营业场所，配备足够的、合格的熟悉基金托管业务的专职人员，负责基金财产托管事宜；</w:t>
      </w:r>
    </w:p>
    <w:p w14:paraId="7522896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FF50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）除依据《基金法》、《基金合同》及其他有关规定外，不得利用基金财产为自己及任何第三人谋取利益，不得委托第三人托管基金财产；</w:t>
      </w:r>
    </w:p>
    <w:p w14:paraId="05B2A02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）保管由基金管理人代表基金签订的与基金有关的重大合同及有关凭证；</w:t>
      </w:r>
    </w:p>
    <w:p w14:paraId="30B652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）按规定开设基金财产的资金账户和证券账户等投资所需账户，按照《基金合同》的约定，根据基金管理人的投资指令，及时办理清算、交割事宜；</w:t>
      </w:r>
    </w:p>
    <w:p w14:paraId="5D9563D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）保守基金商业秘密，除《基金法》、《基金合同》及其他有关规定另有规定外，在基金信息公开披露前予以保密，不得向他人泄露；</w:t>
      </w:r>
    </w:p>
    <w:p w14:paraId="4724F9F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）复核、审查基金管理人计算的各类基金份额的基金资产净值、每万份基金已实现收益和</w:t>
      </w:r>
      <w:r w:rsidRPr="00F00B77">
        <w:rPr>
          <w:rFonts w:hint="eastAsia"/>
          <w:bCs/>
          <w:sz w:val="24"/>
        </w:rPr>
        <w:t>7</w:t>
      </w:r>
      <w:r w:rsidRPr="00F00B77">
        <w:rPr>
          <w:rFonts w:hint="eastAsia"/>
          <w:bCs/>
          <w:sz w:val="24"/>
        </w:rPr>
        <w:t>日年化收益率；</w:t>
      </w:r>
    </w:p>
    <w:p w14:paraId="70973D8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）办理与基金托管业务活动有关的信息披露事项；</w:t>
      </w:r>
    </w:p>
    <w:p w14:paraId="7520E7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A5054C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）保存基金托管业务活动的记录、账册、报表和其他相关资料</w:t>
      </w:r>
      <w:r w:rsidRPr="00F00B77">
        <w:rPr>
          <w:rFonts w:hint="eastAsia"/>
          <w:bCs/>
          <w:sz w:val="24"/>
        </w:rPr>
        <w:t>15</w:t>
      </w:r>
      <w:r w:rsidRPr="00F00B77">
        <w:rPr>
          <w:rFonts w:hint="eastAsia"/>
          <w:bCs/>
          <w:sz w:val="24"/>
        </w:rPr>
        <w:t>年以上；</w:t>
      </w:r>
    </w:p>
    <w:p w14:paraId="46D1242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）建立并保存基金份额持有人名册；</w:t>
      </w:r>
    </w:p>
    <w:p w14:paraId="60646EB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）按规定制作相关账册并与基金管理人核对；</w:t>
      </w:r>
    </w:p>
    <w:p w14:paraId="07F8431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）依据基金管理人的指令或有关规定向基金份额持有人支付基金收益和赎回款项；</w:t>
      </w:r>
    </w:p>
    <w:p w14:paraId="5A319BD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）依据《基金法》、《基金合同》及其他有关规定，召集基金份额持有人大会或配合基金管理人、基金份额持有人依法召集基金份额持有人大会；</w:t>
      </w:r>
    </w:p>
    <w:p w14:paraId="3C33AD6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）按照法律法规和《基金合同》的规定监督基金管理人的投资运作；</w:t>
      </w:r>
    </w:p>
    <w:p w14:paraId="2590AB7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）参加基金财产清算小组，参与基金财产的保管、清理、估价、变现和分配；</w:t>
      </w:r>
    </w:p>
    <w:p w14:paraId="3A0E42D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）面临解散、依法被撤销或者被依法宣告破产时，及时报告中国证监会，并通知基金管理人；</w:t>
      </w:r>
    </w:p>
    <w:p w14:paraId="50278A7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）因违反《基金合同》导致基金财产损失时，应承担赔偿责任，其赔偿责任不因其退任而免除；</w:t>
      </w:r>
    </w:p>
    <w:p w14:paraId="17F91A2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A6D393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）执行生效的基金份额持有人大会的决议；</w:t>
      </w:r>
    </w:p>
    <w:p w14:paraId="5B38ADC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22</w:t>
      </w:r>
      <w:r w:rsidRPr="00F00B77">
        <w:rPr>
          <w:rFonts w:hint="eastAsia"/>
          <w:bCs/>
          <w:sz w:val="24"/>
        </w:rPr>
        <w:t>）法律法规及中国证监会规定的和《基金合同》约定的其他义务。</w:t>
      </w:r>
    </w:p>
    <w:p w14:paraId="28705B81" w14:textId="77777777" w:rsidR="00084DB4" w:rsidRPr="00F00B77" w:rsidRDefault="00084DB4">
      <w:pPr>
        <w:adjustRightInd w:val="0"/>
        <w:snapToGrid w:val="0"/>
        <w:spacing w:line="360" w:lineRule="auto"/>
        <w:ind w:firstLineChars="200" w:firstLine="480"/>
        <w:rPr>
          <w:kern w:val="0"/>
          <w:sz w:val="24"/>
        </w:rPr>
      </w:pPr>
      <w:r w:rsidRPr="00F00B77">
        <w:rPr>
          <w:kern w:val="0"/>
          <w:sz w:val="24"/>
        </w:rPr>
        <w:t>3</w:t>
      </w:r>
      <w:r w:rsidRPr="00F00B77">
        <w:rPr>
          <w:kern w:val="0"/>
          <w:sz w:val="24"/>
        </w:rPr>
        <w:t>、基金份额持有人的权利与义务</w:t>
      </w:r>
      <w:r w:rsidRPr="00F00B77">
        <w:rPr>
          <w:kern w:val="0"/>
          <w:sz w:val="24"/>
        </w:rPr>
        <w:t xml:space="preserve"> </w:t>
      </w:r>
    </w:p>
    <w:p w14:paraId="79732905" w14:textId="77777777" w:rsidR="00084DB4" w:rsidRPr="00F00B77" w:rsidRDefault="00084DB4">
      <w:pPr>
        <w:adjustRightInd w:val="0"/>
        <w:snapToGrid w:val="0"/>
        <w:spacing w:line="360" w:lineRule="auto"/>
        <w:ind w:firstLineChars="200" w:firstLine="480"/>
        <w:rPr>
          <w:bCs/>
          <w:sz w:val="24"/>
        </w:rPr>
      </w:pPr>
      <w:r w:rsidRPr="00F00B77">
        <w:rPr>
          <w:bCs/>
          <w:sz w:val="24"/>
        </w:rPr>
        <w:t>基金投资者</w:t>
      </w:r>
      <w:r w:rsidRPr="00F00B77">
        <w:rPr>
          <w:rFonts w:hint="eastAsia"/>
          <w:bCs/>
          <w:sz w:val="24"/>
        </w:rPr>
        <w:t>持有</w:t>
      </w:r>
      <w:r w:rsidRPr="00F00B77">
        <w:rPr>
          <w:bCs/>
          <w:sz w:val="24"/>
        </w:rPr>
        <w:t>本基金基金份额的行为即视为对《基金合同》的承认和接受，基金投资者自依据《基金合同》取得</w:t>
      </w:r>
      <w:r w:rsidRPr="00F00B77">
        <w:rPr>
          <w:rFonts w:hint="eastAsia"/>
          <w:bCs/>
          <w:sz w:val="24"/>
        </w:rPr>
        <w:t>本基金</w:t>
      </w:r>
      <w:r w:rsidRPr="00F00B77">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1F997C1" w14:textId="77777777" w:rsidR="00084DB4" w:rsidRPr="00F00B77" w:rsidRDefault="007913B3">
      <w:pPr>
        <w:adjustRightInd w:val="0"/>
        <w:snapToGrid w:val="0"/>
        <w:spacing w:line="360" w:lineRule="auto"/>
        <w:ind w:firstLineChars="200" w:firstLine="480"/>
        <w:rPr>
          <w:bCs/>
          <w:sz w:val="24"/>
        </w:rPr>
      </w:pPr>
      <w:r w:rsidRPr="00F00B77">
        <w:rPr>
          <w:rFonts w:hint="eastAsia"/>
          <w:bCs/>
          <w:sz w:val="24"/>
        </w:rPr>
        <w:t>同一类别</w:t>
      </w:r>
      <w:r w:rsidR="00084DB4" w:rsidRPr="00F00B77">
        <w:rPr>
          <w:bCs/>
          <w:sz w:val="24"/>
        </w:rPr>
        <w:t>每份基金份额具有同等的合法权益。</w:t>
      </w:r>
    </w:p>
    <w:p w14:paraId="6F3FB987" w14:textId="77777777" w:rsidR="00084DB4" w:rsidRPr="00F00B77" w:rsidRDefault="00084DB4">
      <w:pPr>
        <w:widowControl/>
        <w:adjustRightInd w:val="0"/>
        <w:snapToGrid w:val="0"/>
        <w:spacing w:line="360" w:lineRule="auto"/>
        <w:ind w:firstLineChars="200" w:firstLine="480"/>
        <w:rPr>
          <w:bCs/>
          <w:sz w:val="24"/>
        </w:rPr>
      </w:pPr>
      <w:bookmarkStart w:id="72" w:name="_Hlt88899909"/>
      <w:bookmarkEnd w:id="72"/>
      <w:r w:rsidRPr="00F00B77">
        <w:rPr>
          <w:bCs/>
          <w:sz w:val="24"/>
        </w:rPr>
        <w:t>（</w:t>
      </w:r>
      <w:r w:rsidRPr="00F00B77">
        <w:rPr>
          <w:bCs/>
          <w:sz w:val="24"/>
        </w:rPr>
        <w:t>1</w:t>
      </w:r>
      <w:r w:rsidRPr="00F00B77">
        <w:rPr>
          <w:bCs/>
          <w:sz w:val="24"/>
        </w:rPr>
        <w:t>）根据《基金法》、《运作办法》</w:t>
      </w:r>
      <w:bookmarkStart w:id="73" w:name="_Hlt88825668"/>
      <w:bookmarkEnd w:id="73"/>
      <w:r w:rsidRPr="00F00B77">
        <w:rPr>
          <w:bCs/>
          <w:sz w:val="24"/>
        </w:rPr>
        <w:t>及其他有关规定，基金份额持有人的权利包括但不限于：</w:t>
      </w:r>
    </w:p>
    <w:p w14:paraId="7ABD57E4"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）分享基金财产收益；</w:t>
      </w:r>
    </w:p>
    <w:p w14:paraId="4CE1BCBD"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）参与分配清算后的剩余基金财产；</w:t>
      </w:r>
    </w:p>
    <w:p w14:paraId="0B1282B1"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）依法</w:t>
      </w:r>
      <w:r w:rsidRPr="00F00B77">
        <w:rPr>
          <w:rFonts w:hint="eastAsia"/>
          <w:bCs/>
          <w:sz w:val="24"/>
        </w:rPr>
        <w:t>并按照基金合同和招募说明书的规定</w:t>
      </w:r>
      <w:r w:rsidRPr="00F00B77">
        <w:rPr>
          <w:bCs/>
          <w:sz w:val="24"/>
        </w:rPr>
        <w:t>申请赎回</w:t>
      </w:r>
      <w:r w:rsidR="00DB7C82" w:rsidRPr="00F00B77">
        <w:rPr>
          <w:rFonts w:hint="eastAsia"/>
          <w:bCs/>
          <w:sz w:val="24"/>
        </w:rPr>
        <w:t>或转让</w:t>
      </w:r>
      <w:r w:rsidRPr="00F00B77">
        <w:rPr>
          <w:bCs/>
          <w:sz w:val="24"/>
        </w:rPr>
        <w:t>其持有的基金份额；</w:t>
      </w:r>
    </w:p>
    <w:p w14:paraId="602C8695"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）按照规定要求召开基金份额持有人大会</w:t>
      </w:r>
      <w:r w:rsidRPr="00F00B77">
        <w:rPr>
          <w:rFonts w:hint="eastAsia"/>
          <w:bCs/>
          <w:sz w:val="24"/>
        </w:rPr>
        <w:t>或者召集基金份额持有人大会</w:t>
      </w:r>
      <w:r w:rsidRPr="00F00B77">
        <w:rPr>
          <w:bCs/>
          <w:sz w:val="24"/>
        </w:rPr>
        <w:t>；</w:t>
      </w:r>
    </w:p>
    <w:p w14:paraId="2733EA81"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）出席或者委派代表出席基金份额持有人大会，对基金份额持有人大会审议事项行使表决权；</w:t>
      </w:r>
    </w:p>
    <w:p w14:paraId="0DB831AE"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）查阅或者复制公开披露的基金信息资料；</w:t>
      </w:r>
    </w:p>
    <w:p w14:paraId="6E569961"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）监督基金管理人的投资运作；</w:t>
      </w:r>
    </w:p>
    <w:p w14:paraId="0B470EC9" w14:textId="77777777" w:rsidR="00084DB4" w:rsidRPr="00F00B77" w:rsidRDefault="00084DB4">
      <w:pPr>
        <w:adjustRightInd w:val="0"/>
        <w:snapToGrid w:val="0"/>
        <w:spacing w:line="360" w:lineRule="auto"/>
        <w:ind w:firstLineChars="200" w:firstLine="480"/>
        <w:rPr>
          <w:bCs/>
          <w:sz w:val="24"/>
        </w:rPr>
      </w:pPr>
      <w:r w:rsidRPr="00F00B77">
        <w:rPr>
          <w:bCs/>
          <w:sz w:val="24"/>
        </w:rPr>
        <w:t>8</w:t>
      </w:r>
      <w:r w:rsidRPr="00F00B77">
        <w:rPr>
          <w:bCs/>
          <w:sz w:val="24"/>
        </w:rPr>
        <w:t>）对基金管理人、基金托管人、基金</w:t>
      </w:r>
      <w:r w:rsidRPr="00F00B77">
        <w:rPr>
          <w:rFonts w:hint="eastAsia"/>
          <w:bCs/>
          <w:sz w:val="24"/>
        </w:rPr>
        <w:t>服务</w:t>
      </w:r>
      <w:r w:rsidRPr="00F00B77">
        <w:rPr>
          <w:bCs/>
          <w:sz w:val="24"/>
        </w:rPr>
        <w:t>机构损害其合法权益的行为依法提起诉讼或仲裁；</w:t>
      </w:r>
    </w:p>
    <w:p w14:paraId="400EE1E7" w14:textId="77777777" w:rsidR="00084DB4" w:rsidRPr="00F00B77" w:rsidRDefault="00084DB4">
      <w:pPr>
        <w:adjustRightInd w:val="0"/>
        <w:snapToGrid w:val="0"/>
        <w:spacing w:line="360" w:lineRule="auto"/>
        <w:ind w:firstLineChars="200" w:firstLine="480"/>
        <w:rPr>
          <w:bCs/>
          <w:sz w:val="24"/>
        </w:rPr>
      </w:pPr>
      <w:r w:rsidRPr="00F00B77">
        <w:rPr>
          <w:bCs/>
          <w:sz w:val="24"/>
        </w:rPr>
        <w:t>9</w:t>
      </w:r>
      <w:r w:rsidRPr="00F00B77">
        <w:rPr>
          <w:bCs/>
          <w:sz w:val="24"/>
        </w:rPr>
        <w:t>）法律法规及中国证监会规定的和《基金合同》约定的其他权利。</w:t>
      </w:r>
    </w:p>
    <w:p w14:paraId="15FD2D31"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）根据《基金法》、《运作办法》及其他有关规定，基金份额持有人的义务包括但不限于：</w:t>
      </w:r>
    </w:p>
    <w:p w14:paraId="2CBB753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）认真阅读并遵守《基金合同》、招募说明书等信息披露文件；</w:t>
      </w:r>
    </w:p>
    <w:p w14:paraId="2E8C6C3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）了解所投资基金产品，了解自身风险承受能力，自主判断基金的投资价值，自主做出投资决策，自行承担投资风险；</w:t>
      </w:r>
    </w:p>
    <w:p w14:paraId="5C212EE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）关注基金信息披露，及时行使权利和履行义务；</w:t>
      </w:r>
    </w:p>
    <w:p w14:paraId="001176D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）缴纳基金认购、申购款项及法律法规和《基金合同》所规定的费用；</w:t>
      </w:r>
    </w:p>
    <w:p w14:paraId="3907DF0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）在其持有的基金份额范围内，承担基金亏损或者《基金合同》终止的有限责任；</w:t>
      </w:r>
    </w:p>
    <w:p w14:paraId="7E04FF9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）不从事任何有损基金及其他《基金合同》当事人合法权益的活动；</w:t>
      </w:r>
    </w:p>
    <w:p w14:paraId="20CE33B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）执行生效的基金份额持有人大会的决议；</w:t>
      </w:r>
    </w:p>
    <w:p w14:paraId="21A3216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）返还在基金交易过程中因任何原因获得的不当得利；</w:t>
      </w:r>
    </w:p>
    <w:p w14:paraId="0A44C35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）遵守基金管理人、基金托管人、销售机构和登记机构的相关交易及业务规则；</w:t>
      </w:r>
    </w:p>
    <w:p w14:paraId="0B07659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）提供基金管理人和监管机构依法要求提供的信息，以及不时的更新和补充，并保证其真实性；</w:t>
      </w:r>
    </w:p>
    <w:p w14:paraId="35D0D1B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）法律法规及中国证监会规定的和《基金合同》约定的其他义务。</w:t>
      </w:r>
    </w:p>
    <w:p w14:paraId="2709D8A8" w14:textId="77777777" w:rsidR="00084DB4" w:rsidRPr="00F00B77" w:rsidRDefault="00084DB4">
      <w:pPr>
        <w:adjustRightInd w:val="0"/>
        <w:snapToGrid w:val="0"/>
        <w:spacing w:line="360" w:lineRule="auto"/>
        <w:ind w:firstLineChars="200" w:firstLine="482"/>
        <w:rPr>
          <w:b/>
          <w:kern w:val="0"/>
          <w:sz w:val="24"/>
        </w:rPr>
      </w:pPr>
      <w:r w:rsidRPr="00F00B77">
        <w:rPr>
          <w:b/>
          <w:kern w:val="0"/>
          <w:sz w:val="24"/>
        </w:rPr>
        <w:t>（二）基金份额持有人大会</w:t>
      </w:r>
      <w:r w:rsidRPr="00F00B77">
        <w:rPr>
          <w:rFonts w:hint="eastAsia"/>
          <w:b/>
          <w:kern w:val="0"/>
          <w:sz w:val="24"/>
        </w:rPr>
        <w:t>召集、议事及表决的程序和规则</w:t>
      </w:r>
      <w:r w:rsidRPr="00F00B77">
        <w:rPr>
          <w:b/>
          <w:kern w:val="0"/>
          <w:sz w:val="24"/>
        </w:rPr>
        <w:t xml:space="preserve"> </w:t>
      </w:r>
    </w:p>
    <w:p w14:paraId="3FC97EF2"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基金份额持有人大会由基金份额持有人组成，基金份额持有人的合法授权代表有权代表基金份额持有人出席会议并表决。基金份额持有人持有的每一基金份额拥有平等的投票权。</w:t>
      </w:r>
    </w:p>
    <w:p w14:paraId="3017E28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本基金份额持有人大会不设日常机构。</w:t>
      </w:r>
    </w:p>
    <w:p w14:paraId="1F5B36DB" w14:textId="77777777" w:rsidR="00084DB4" w:rsidRPr="00F00B77" w:rsidRDefault="00084DB4">
      <w:pPr>
        <w:widowControl/>
        <w:adjustRightInd w:val="0"/>
        <w:snapToGrid w:val="0"/>
        <w:spacing w:line="360" w:lineRule="auto"/>
        <w:ind w:firstLineChars="200" w:firstLine="480"/>
        <w:rPr>
          <w:sz w:val="24"/>
        </w:rPr>
      </w:pPr>
      <w:r w:rsidRPr="00F00B77">
        <w:rPr>
          <w:sz w:val="24"/>
        </w:rPr>
        <w:t>1</w:t>
      </w:r>
      <w:r w:rsidRPr="00F00B77">
        <w:rPr>
          <w:sz w:val="24"/>
        </w:rPr>
        <w:t>、召开事由</w:t>
      </w:r>
    </w:p>
    <w:p w14:paraId="09543E29"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w:t>
      </w:r>
      <w:r w:rsidRPr="00F00B77">
        <w:rPr>
          <w:rFonts w:hint="eastAsia"/>
          <w:bCs/>
          <w:sz w:val="24"/>
        </w:rPr>
        <w:t>当出现或需要决定下列事由之一的，应当召开基金份额持有人大会，法律法规、基金合同和中国证监会另有规定的除外</w:t>
      </w:r>
      <w:r w:rsidRPr="00F00B77">
        <w:rPr>
          <w:bCs/>
          <w:sz w:val="24"/>
        </w:rPr>
        <w:t>：</w:t>
      </w:r>
      <w:bookmarkStart w:id="74" w:name="_Hlt94543071"/>
      <w:bookmarkEnd w:id="74"/>
    </w:p>
    <w:p w14:paraId="7FE1731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）终止《基金合同》；</w:t>
      </w:r>
    </w:p>
    <w:p w14:paraId="070A705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）更换基金管理人；</w:t>
      </w:r>
    </w:p>
    <w:p w14:paraId="36855C4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）更换基金托管人；</w:t>
      </w:r>
    </w:p>
    <w:p w14:paraId="3530F37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）转换基金运作方式；</w:t>
      </w:r>
    </w:p>
    <w:p w14:paraId="31FA065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w:t>
      </w:r>
      <w:r w:rsidR="00DB7C82" w:rsidRPr="00F00B77">
        <w:rPr>
          <w:rFonts w:hint="eastAsia"/>
          <w:bCs/>
          <w:sz w:val="24"/>
        </w:rPr>
        <w:t>调整</w:t>
      </w:r>
      <w:r w:rsidRPr="00F00B77">
        <w:rPr>
          <w:rFonts w:hint="eastAsia"/>
          <w:bCs/>
          <w:sz w:val="24"/>
        </w:rPr>
        <w:t>基金管理人、基金托管人的报酬标准和提高销售服务费；</w:t>
      </w:r>
    </w:p>
    <w:p w14:paraId="5FD2CC3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）变更基金类别；</w:t>
      </w:r>
    </w:p>
    <w:p w14:paraId="34F231A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）本基金与其他基金的合并；</w:t>
      </w:r>
    </w:p>
    <w:p w14:paraId="4A689AC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）变更基金投资目标、范围或策略；</w:t>
      </w:r>
    </w:p>
    <w:p w14:paraId="2A07AC5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）变更基金份额持有人大会程序；</w:t>
      </w:r>
    </w:p>
    <w:p w14:paraId="036ABDA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）基金管理人或基金托管人要求召开基金份额持有人大会；</w:t>
      </w:r>
    </w:p>
    <w:p w14:paraId="30FB61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）单独或合计持有本基金总份额</w:t>
      </w:r>
      <w:r w:rsidRPr="00F00B77">
        <w:rPr>
          <w:rFonts w:hint="eastAsia"/>
          <w:bCs/>
          <w:sz w:val="24"/>
        </w:rPr>
        <w:t>10%</w:t>
      </w:r>
      <w:r w:rsidRPr="00F00B77">
        <w:rPr>
          <w:rFonts w:hint="eastAsia"/>
          <w:bCs/>
          <w:sz w:val="24"/>
        </w:rPr>
        <w:t>以上（含</w:t>
      </w:r>
      <w:r w:rsidRPr="00F00B77">
        <w:rPr>
          <w:rFonts w:hint="eastAsia"/>
          <w:bCs/>
          <w:sz w:val="24"/>
        </w:rPr>
        <w:t>10%</w:t>
      </w:r>
      <w:r w:rsidRPr="00F00B77">
        <w:rPr>
          <w:rFonts w:hint="eastAsia"/>
          <w:bCs/>
          <w:sz w:val="24"/>
        </w:rPr>
        <w:t>）基金份额的基金份额持有人（以基金管理人收到提议当日的基金份额计算，下同）就同一事项书面要求召开基金份额持有人大会；</w:t>
      </w:r>
    </w:p>
    <w:p w14:paraId="36D09D7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）对基金合同当事人权利和义务产生重大影响的其他事项；</w:t>
      </w:r>
    </w:p>
    <w:p w14:paraId="7C34C30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）法律法规、《基金合同》或中国证监会规定的其他应当召开基金份额持有人大会的事项。</w:t>
      </w:r>
    </w:p>
    <w:p w14:paraId="0F2BC31C" w14:textId="77777777" w:rsidR="00084DB4" w:rsidRPr="00F00B77" w:rsidRDefault="00084DB4">
      <w:pPr>
        <w:adjustRightInd w:val="0"/>
        <w:snapToGrid w:val="0"/>
        <w:spacing w:line="360" w:lineRule="auto"/>
        <w:ind w:firstLineChars="200" w:firstLine="480"/>
        <w:rPr>
          <w:bCs/>
          <w:sz w:val="24"/>
        </w:rPr>
      </w:pPr>
      <w:r w:rsidRPr="00F00B77">
        <w:rPr>
          <w:sz w:val="24"/>
        </w:rPr>
        <w:t>（</w:t>
      </w:r>
      <w:r w:rsidRPr="00F00B77">
        <w:rPr>
          <w:sz w:val="24"/>
        </w:rPr>
        <w:t>2</w:t>
      </w:r>
      <w:r w:rsidRPr="00F00B77">
        <w:rPr>
          <w:sz w:val="24"/>
        </w:rPr>
        <w:t>）</w:t>
      </w:r>
      <w:r w:rsidRPr="00F00B77">
        <w:rPr>
          <w:bCs/>
          <w:sz w:val="24"/>
        </w:rPr>
        <w:t>以下情况可由基金管理人和基金托管人协商后修改，不需召开基金份额持有人大会：</w:t>
      </w:r>
    </w:p>
    <w:p w14:paraId="1CE8C6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）调低</w:t>
      </w:r>
      <w:r w:rsidR="00DB7C82" w:rsidRPr="00F00B77">
        <w:rPr>
          <w:rFonts w:hint="eastAsia"/>
          <w:bCs/>
          <w:sz w:val="24"/>
        </w:rPr>
        <w:t>除</w:t>
      </w:r>
      <w:r w:rsidRPr="00F00B77">
        <w:rPr>
          <w:rFonts w:hint="eastAsia"/>
          <w:bCs/>
          <w:sz w:val="24"/>
        </w:rPr>
        <w:t>基金管理费、基金托管费</w:t>
      </w:r>
      <w:r w:rsidR="00DB7C82" w:rsidRPr="00F00B77">
        <w:rPr>
          <w:rFonts w:hint="eastAsia"/>
          <w:bCs/>
          <w:sz w:val="24"/>
        </w:rPr>
        <w:t>之外的</w:t>
      </w:r>
      <w:r w:rsidRPr="00F00B77">
        <w:rPr>
          <w:rFonts w:hint="eastAsia"/>
          <w:bCs/>
          <w:sz w:val="24"/>
        </w:rPr>
        <w:t>其他应由本基金或基金份额持有人承担的费用；</w:t>
      </w:r>
    </w:p>
    <w:p w14:paraId="29156CE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）法律法规要求增加的基金费用的收取；</w:t>
      </w:r>
    </w:p>
    <w:p w14:paraId="35FFD2C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）在法律法规和本基金合同规定的范围内调低基金的销售服务费率或在不影响现有基金份额持有人利益的前提下变更或增加收费方式；</w:t>
      </w:r>
    </w:p>
    <w:p w14:paraId="3245F59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）因相应的法律法规、登记机构的相关业务规则发生变动而应当对《基金合同》进行修改；</w:t>
      </w:r>
    </w:p>
    <w:p w14:paraId="40EC28E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）对《基金合同》的修改对基金份额持有人利益无实质性不利影响或修改不涉及《基金合同》当事人权利义务关系发生重大变化；</w:t>
      </w:r>
    </w:p>
    <w:p w14:paraId="3EEB025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）在法律法规允许的情况下，且在对现有基金份额持有人利益无实质性不利影响的前提下，基金推出新业务或服务；</w:t>
      </w:r>
    </w:p>
    <w:p w14:paraId="58C568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）在符合法律法规及本基金合同规定、并且对基金份额持有人利益无实质不利影响的前提下，调整本基金份额类别的设置；</w:t>
      </w:r>
    </w:p>
    <w:p w14:paraId="28540AE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B31F62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）按照法律法规和《基金合同》规定不需召开基金份额持有人大会的以外的其他情形。</w:t>
      </w:r>
    </w:p>
    <w:p w14:paraId="06BC707D" w14:textId="77777777" w:rsidR="00084DB4" w:rsidRPr="00F00B77" w:rsidRDefault="00084DB4">
      <w:pPr>
        <w:widowControl/>
        <w:adjustRightInd w:val="0"/>
        <w:snapToGrid w:val="0"/>
        <w:spacing w:line="360" w:lineRule="auto"/>
        <w:ind w:firstLineChars="200" w:firstLine="480"/>
        <w:rPr>
          <w:sz w:val="24"/>
        </w:rPr>
      </w:pPr>
      <w:r w:rsidRPr="00F00B77">
        <w:rPr>
          <w:sz w:val="24"/>
        </w:rPr>
        <w:t>2</w:t>
      </w:r>
      <w:r w:rsidRPr="00F00B77">
        <w:rPr>
          <w:sz w:val="24"/>
        </w:rPr>
        <w:t>、会议召集人及召集方式</w:t>
      </w:r>
    </w:p>
    <w:p w14:paraId="063421B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除法律法规规定或《基金合同》另有约定外，基金份额持有人大会由基金管理人召集；</w:t>
      </w:r>
    </w:p>
    <w:p w14:paraId="18FEF73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基金管理人未按规定召集或不能召集时，由基金托管人召集；</w:t>
      </w:r>
    </w:p>
    <w:p w14:paraId="085F1BF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基金托管人认为有必要召开基金份额持有人大会的，应当向基金管理人提出书面提议。基金管理人应当自收到书面提议之日起</w:t>
      </w:r>
      <w:r w:rsidRPr="00F00B77">
        <w:rPr>
          <w:rFonts w:hint="eastAsia"/>
          <w:bCs/>
          <w:sz w:val="24"/>
        </w:rPr>
        <w:t>10</w:t>
      </w:r>
      <w:r w:rsidRPr="00F00B77">
        <w:rPr>
          <w:bCs/>
          <w:sz w:val="24"/>
        </w:rPr>
        <w:t>日内决定是否召集，并书面告知基金托管人。基金管理人决定召集的，应当自出具书面决定之日起</w:t>
      </w:r>
      <w:r w:rsidRPr="00F00B77">
        <w:rPr>
          <w:rFonts w:hint="eastAsia"/>
          <w:bCs/>
          <w:sz w:val="24"/>
        </w:rPr>
        <w:t>60</w:t>
      </w:r>
      <w:r w:rsidRPr="00F00B77">
        <w:rPr>
          <w:bCs/>
          <w:sz w:val="24"/>
        </w:rPr>
        <w:t>日内召开；基金管理人决定不召集，基金托管人仍认为有必要召开的，应当由基金托管人自行召集</w:t>
      </w:r>
      <w:r w:rsidRPr="00F00B77">
        <w:rPr>
          <w:rFonts w:hint="eastAsia"/>
          <w:bCs/>
          <w:sz w:val="24"/>
        </w:rPr>
        <w:t>；并自出具书面决定之日起</w:t>
      </w:r>
      <w:r w:rsidRPr="00F00B77">
        <w:rPr>
          <w:rFonts w:hint="eastAsia"/>
          <w:bCs/>
          <w:sz w:val="24"/>
        </w:rPr>
        <w:t>60</w:t>
      </w:r>
      <w:r w:rsidRPr="00F00B77">
        <w:rPr>
          <w:rFonts w:hint="eastAsia"/>
          <w:bCs/>
          <w:sz w:val="24"/>
        </w:rPr>
        <w:t>日内召开并告知基金管理人，基金管理人应当配合；</w:t>
      </w:r>
    </w:p>
    <w:p w14:paraId="43C015B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）的基金份额持有人就同一事项书面要求召开基金份额持有人大会，应当向基金管理人提出书面提议。基金管理人应当自收到书面提议之日起</w:t>
      </w:r>
      <w:r w:rsidRPr="00F00B77">
        <w:rPr>
          <w:rFonts w:hint="eastAsia"/>
          <w:bCs/>
          <w:sz w:val="24"/>
        </w:rPr>
        <w:t>10</w:t>
      </w:r>
      <w:r w:rsidRPr="00F00B77">
        <w:rPr>
          <w:bCs/>
          <w:sz w:val="24"/>
        </w:rPr>
        <w:t>日内决定是否召集，并书面告知提出提议的基金份额持有人代表和基金托管人。基金管理人决定召集的，应当自出具书面决定之日起</w:t>
      </w:r>
      <w:r w:rsidRPr="00F00B77">
        <w:rPr>
          <w:rFonts w:hint="eastAsia"/>
          <w:bCs/>
          <w:sz w:val="24"/>
        </w:rPr>
        <w:t>60</w:t>
      </w:r>
      <w:r w:rsidRPr="00F00B77">
        <w:rPr>
          <w:bCs/>
          <w:sz w:val="24"/>
        </w:rPr>
        <w:t>日内召开；基金管理人决定不召集，代表基金份额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）的基金份额持有人仍认为有必要召开的，应当向基金托管人提出书面提议。基金托管人应当自收到书面提议之日起</w:t>
      </w:r>
      <w:r w:rsidRPr="00F00B77">
        <w:rPr>
          <w:rFonts w:hint="eastAsia"/>
          <w:bCs/>
          <w:sz w:val="24"/>
        </w:rPr>
        <w:t>10</w:t>
      </w:r>
      <w:r w:rsidRPr="00F00B77">
        <w:rPr>
          <w:bCs/>
          <w:sz w:val="24"/>
        </w:rPr>
        <w:t>日内决定是否召集，并书面告知提出提议的基金份额持有人代表和基金管理人；基金托管人决定召集的，应当自出具书面决定之日起</w:t>
      </w:r>
      <w:r w:rsidRPr="00F00B77">
        <w:rPr>
          <w:bCs/>
          <w:sz w:val="24"/>
        </w:rPr>
        <w:t>60</w:t>
      </w:r>
      <w:r w:rsidRPr="00F00B77">
        <w:rPr>
          <w:bCs/>
          <w:sz w:val="24"/>
        </w:rPr>
        <w:t>日内召开</w:t>
      </w:r>
      <w:r w:rsidRPr="00F00B77">
        <w:rPr>
          <w:rFonts w:hint="eastAsia"/>
          <w:bCs/>
          <w:sz w:val="24"/>
        </w:rPr>
        <w:t>并告知基金管理人，基金管理人应当配合；</w:t>
      </w:r>
    </w:p>
    <w:p w14:paraId="3B0ED3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）的基金份额持有人就同一事项要求召开基金份额持有人大会，而基金管理人、基金托管人都不召集的，单独或合计代表基金份额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）的基金份额持有人有权自行召集，并至少提前</w:t>
      </w:r>
      <w:r w:rsidRPr="00F00B77">
        <w:rPr>
          <w:bCs/>
          <w:sz w:val="24"/>
        </w:rPr>
        <w:t>30</w:t>
      </w:r>
      <w:r w:rsidRPr="00F00B77">
        <w:rPr>
          <w:bCs/>
          <w:sz w:val="24"/>
        </w:rPr>
        <w:t>日报中国证监会备案。基金份额持有人依法自行召集基金份额持有人大会的，基金管理人、基金托管人应当配合，不得阻碍、干扰</w:t>
      </w:r>
      <w:r w:rsidRPr="00F00B77">
        <w:rPr>
          <w:rFonts w:hint="eastAsia"/>
          <w:bCs/>
          <w:sz w:val="24"/>
        </w:rPr>
        <w:t>；</w:t>
      </w:r>
    </w:p>
    <w:p w14:paraId="42C32F9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6</w:t>
      </w:r>
      <w:r w:rsidRPr="00F00B77">
        <w:rPr>
          <w:rFonts w:hint="eastAsia"/>
          <w:bCs/>
          <w:sz w:val="24"/>
        </w:rPr>
        <w:t>）</w:t>
      </w:r>
      <w:r w:rsidRPr="00F00B77">
        <w:rPr>
          <w:bCs/>
          <w:sz w:val="24"/>
        </w:rPr>
        <w:t>基金份额持有人会议的召集人负责选择确定开会时间、地点、方式和权益登记日。</w:t>
      </w:r>
    </w:p>
    <w:p w14:paraId="55060248" w14:textId="77777777" w:rsidR="00084DB4" w:rsidRPr="00F00B77" w:rsidRDefault="00084DB4">
      <w:pPr>
        <w:widowControl/>
        <w:adjustRightInd w:val="0"/>
        <w:snapToGrid w:val="0"/>
        <w:spacing w:line="360" w:lineRule="auto"/>
        <w:ind w:firstLineChars="200" w:firstLine="480"/>
        <w:rPr>
          <w:sz w:val="24"/>
        </w:rPr>
      </w:pPr>
      <w:r w:rsidRPr="00F00B77">
        <w:rPr>
          <w:sz w:val="24"/>
        </w:rPr>
        <w:t>3</w:t>
      </w:r>
      <w:r w:rsidRPr="00F00B77">
        <w:rPr>
          <w:sz w:val="24"/>
        </w:rPr>
        <w:t>、召开基金份额持有人大会的通知时间、通知内容、通知方式</w:t>
      </w:r>
    </w:p>
    <w:p w14:paraId="62926E1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召开基金份额持有人大会，召集人应于会议召开前</w:t>
      </w:r>
      <w:r w:rsidRPr="00F00B77">
        <w:rPr>
          <w:rFonts w:hint="eastAsia"/>
          <w:bCs/>
          <w:sz w:val="24"/>
        </w:rPr>
        <w:t>30</w:t>
      </w:r>
      <w:r w:rsidRPr="00F00B77">
        <w:rPr>
          <w:bCs/>
          <w:sz w:val="24"/>
        </w:rPr>
        <w:t>日，在指定</w:t>
      </w:r>
      <w:r w:rsidRPr="00F00B77">
        <w:rPr>
          <w:rFonts w:hint="eastAsia"/>
          <w:bCs/>
          <w:sz w:val="24"/>
        </w:rPr>
        <w:t>媒介</w:t>
      </w:r>
      <w:r w:rsidRPr="00F00B77">
        <w:rPr>
          <w:bCs/>
          <w:sz w:val="24"/>
        </w:rPr>
        <w:t>公告。基金份额持有人大会通知应至少载明以下内容：</w:t>
      </w:r>
    </w:p>
    <w:p w14:paraId="2696D581"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）会议召开的时间、地点和会议形式；</w:t>
      </w:r>
    </w:p>
    <w:p w14:paraId="03898B96"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）会议拟审议的事项、议事程序和表决方式；</w:t>
      </w:r>
    </w:p>
    <w:p w14:paraId="4EBCA52D"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）有权出席基金份额持有人大会的基金份额持有人的权益登记日；</w:t>
      </w:r>
    </w:p>
    <w:p w14:paraId="36198537"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）授权委托证明的内容要求（包括但不限于代理人身份，代理权限和代理有效期限等）、送达时间和地点</w:t>
      </w:r>
      <w:r w:rsidRPr="00F00B77">
        <w:rPr>
          <w:rFonts w:hint="eastAsia"/>
          <w:bCs/>
          <w:sz w:val="24"/>
        </w:rPr>
        <w:t>；</w:t>
      </w:r>
    </w:p>
    <w:p w14:paraId="0C186EF8"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）会务常设联系人姓名及联系电话；</w:t>
      </w:r>
    </w:p>
    <w:p w14:paraId="2065C75C"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）出席会议者必须准备的文件和必须履行的手续；</w:t>
      </w:r>
    </w:p>
    <w:p w14:paraId="7B9DCECA"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）召集人需要通知的其他事项。</w:t>
      </w:r>
    </w:p>
    <w:p w14:paraId="7013085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5335C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E726590" w14:textId="77777777" w:rsidR="00084DB4" w:rsidRPr="00F00B77" w:rsidRDefault="00084DB4">
      <w:pPr>
        <w:widowControl/>
        <w:adjustRightInd w:val="0"/>
        <w:snapToGrid w:val="0"/>
        <w:spacing w:line="360" w:lineRule="auto"/>
        <w:ind w:firstLineChars="200" w:firstLine="480"/>
        <w:rPr>
          <w:sz w:val="24"/>
        </w:rPr>
      </w:pPr>
      <w:r w:rsidRPr="00F00B77">
        <w:rPr>
          <w:sz w:val="24"/>
        </w:rPr>
        <w:t>4</w:t>
      </w:r>
      <w:r w:rsidRPr="00F00B77">
        <w:rPr>
          <w:sz w:val="24"/>
        </w:rPr>
        <w:t>、基金份额持有人出席会议的方式</w:t>
      </w:r>
    </w:p>
    <w:p w14:paraId="45AF2512"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基金份额持有人大会可通过现场开会方式</w:t>
      </w:r>
      <w:r w:rsidRPr="00F00B77">
        <w:rPr>
          <w:rFonts w:hint="eastAsia"/>
          <w:bCs/>
          <w:sz w:val="24"/>
        </w:rPr>
        <w:t>、</w:t>
      </w:r>
      <w:r w:rsidRPr="00F00B77">
        <w:rPr>
          <w:bCs/>
          <w:sz w:val="24"/>
        </w:rPr>
        <w:t>通讯开会方式</w:t>
      </w:r>
      <w:r w:rsidRPr="00F00B77">
        <w:rPr>
          <w:rFonts w:ascii="宋体" w:hAnsi="宋体" w:hint="eastAsia"/>
          <w:sz w:val="24"/>
        </w:rPr>
        <w:t>或法律法规和监管机关允许的其他方式</w:t>
      </w:r>
      <w:r w:rsidRPr="00F00B77">
        <w:rPr>
          <w:bCs/>
          <w:sz w:val="24"/>
        </w:rPr>
        <w:t>召开，会议的召开方式由会议召集人确定。</w:t>
      </w:r>
    </w:p>
    <w:p w14:paraId="6B2E029F"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）现场开会。由基金份额持有人本人出席或以代理投票授权委托证明委派代表出席，现场开会时基金管理人和基金托管人的授权代表应当列席基金份额持有人大会，基金管理人或</w:t>
      </w:r>
      <w:r w:rsidRPr="00F00B77">
        <w:rPr>
          <w:rFonts w:hint="eastAsia"/>
          <w:bCs/>
          <w:sz w:val="24"/>
        </w:rPr>
        <w:t>基金</w:t>
      </w:r>
      <w:r w:rsidRPr="00F00B77">
        <w:rPr>
          <w:bCs/>
          <w:sz w:val="24"/>
        </w:rPr>
        <w:t>托管人不派代表列席的，不影响表决效力。现场开会同时符合以下条件时，可以进行基金份额持有人大会议程：</w:t>
      </w:r>
    </w:p>
    <w:p w14:paraId="5F277ADB"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A10F62"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）经核对，汇总到会者出示的在权益登记日持有基金份额的凭证显示，有效的基金份额不少于本基金在权益登记日基金总份额的</w:t>
      </w:r>
      <w:r w:rsidRPr="00F00B77">
        <w:rPr>
          <w:rFonts w:hint="eastAsia"/>
          <w:bCs/>
          <w:sz w:val="24"/>
        </w:rPr>
        <w:t>二分之一</w:t>
      </w:r>
      <w:r w:rsidRPr="00F00B77">
        <w:rPr>
          <w:bCs/>
          <w:sz w:val="24"/>
        </w:rPr>
        <w:t>（含</w:t>
      </w:r>
      <w:r w:rsidRPr="00F00B77">
        <w:rPr>
          <w:rFonts w:hint="eastAsia"/>
          <w:bCs/>
          <w:sz w:val="24"/>
        </w:rPr>
        <w:t>二分之一</w:t>
      </w:r>
      <w:r w:rsidRPr="00F00B77">
        <w:rPr>
          <w:bCs/>
          <w:sz w:val="24"/>
        </w:rPr>
        <w:t>）。</w:t>
      </w:r>
      <w:r w:rsidRPr="00F00B77">
        <w:rPr>
          <w:rFonts w:hint="eastAsia"/>
          <w:bCs/>
          <w:sz w:val="24"/>
        </w:rPr>
        <w:t>若到会者在权益登记日代表的有效的基金份额少于本基金在权益登记日基金总份额的</w:t>
      </w:r>
      <w:r w:rsidRPr="00F00B77">
        <w:rPr>
          <w:rFonts w:hint="eastAsia"/>
          <w:sz w:val="24"/>
          <w:szCs w:val="24"/>
        </w:rPr>
        <w:t>二分之一</w:t>
      </w:r>
      <w:r w:rsidRPr="00F00B77">
        <w:rPr>
          <w:rFonts w:hint="eastAsia"/>
          <w:bCs/>
          <w:sz w:val="24"/>
        </w:rPr>
        <w:t>，召集人可以在原公告的基金份额持有人大会召开时间的</w:t>
      </w:r>
      <w:r w:rsidRPr="00F00B77">
        <w:rPr>
          <w:bCs/>
          <w:sz w:val="24"/>
        </w:rPr>
        <w:t>3</w:t>
      </w:r>
      <w:r w:rsidRPr="00F00B77">
        <w:rPr>
          <w:rFonts w:hint="eastAsia"/>
          <w:bCs/>
          <w:sz w:val="24"/>
        </w:rPr>
        <w:t>个月以后、</w:t>
      </w:r>
      <w:r w:rsidRPr="00F00B77">
        <w:rPr>
          <w:bCs/>
          <w:sz w:val="24"/>
        </w:rPr>
        <w:t>6</w:t>
      </w:r>
      <w:r w:rsidRPr="00F00B7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5D7E4B1"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）通讯开会。</w:t>
      </w:r>
      <w:r w:rsidRPr="00F00B77">
        <w:rPr>
          <w:rFonts w:hint="eastAsia"/>
          <w:bCs/>
          <w:sz w:val="24"/>
        </w:rPr>
        <w:t>通讯开会系指基金份额持有人将其对表决事项的投票以会议通知载明的形式在表决截至日以前送达至召集人指定的地址</w:t>
      </w:r>
      <w:r w:rsidRPr="00F00B77">
        <w:rPr>
          <w:bCs/>
          <w:sz w:val="24"/>
        </w:rPr>
        <w:t>。</w:t>
      </w:r>
    </w:p>
    <w:p w14:paraId="666D15B8" w14:textId="77777777" w:rsidR="00084DB4" w:rsidRPr="00F00B77" w:rsidRDefault="00084DB4">
      <w:pPr>
        <w:adjustRightInd w:val="0"/>
        <w:snapToGrid w:val="0"/>
        <w:spacing w:line="360" w:lineRule="auto"/>
        <w:ind w:firstLineChars="200" w:firstLine="480"/>
        <w:rPr>
          <w:bCs/>
          <w:sz w:val="24"/>
        </w:rPr>
      </w:pPr>
      <w:r w:rsidRPr="00F00B77">
        <w:rPr>
          <w:bCs/>
          <w:sz w:val="24"/>
        </w:rPr>
        <w:t>在同时符合以下条件时，通讯开会的方式视为有效：</w:t>
      </w:r>
    </w:p>
    <w:p w14:paraId="01E70F4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）会议召集人按《基金合同》约定公布会议通知后，在</w:t>
      </w:r>
      <w:r w:rsidRPr="00F00B77">
        <w:rPr>
          <w:rFonts w:hint="eastAsia"/>
          <w:bCs/>
          <w:sz w:val="24"/>
        </w:rPr>
        <w:t>2</w:t>
      </w:r>
      <w:r w:rsidRPr="00F00B77">
        <w:rPr>
          <w:rFonts w:hint="eastAsia"/>
          <w:bCs/>
          <w:sz w:val="24"/>
        </w:rPr>
        <w:t>个工作日内连续公布相关提示性公告；</w:t>
      </w:r>
    </w:p>
    <w:p w14:paraId="1841218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5B02DF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F00B77">
        <w:rPr>
          <w:rFonts w:hint="eastAsia"/>
          <w:bCs/>
          <w:sz w:val="24"/>
        </w:rPr>
        <w:t>3</w:t>
      </w:r>
      <w:r w:rsidRPr="00F00B77">
        <w:rPr>
          <w:rFonts w:hint="eastAsia"/>
          <w:bCs/>
          <w:sz w:val="24"/>
        </w:rPr>
        <w:t>个月以后、</w:t>
      </w:r>
      <w:r w:rsidRPr="00F00B77">
        <w:rPr>
          <w:rFonts w:hint="eastAsia"/>
          <w:bCs/>
          <w:sz w:val="24"/>
        </w:rPr>
        <w:t>6</w:t>
      </w:r>
      <w:r w:rsidRPr="00F00B77">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2E0E34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）上述第</w:t>
      </w:r>
      <w:r w:rsidRPr="00F00B77">
        <w:rPr>
          <w:rFonts w:hint="eastAsia"/>
          <w:bCs/>
          <w:sz w:val="24"/>
        </w:rPr>
        <w:t>3</w:t>
      </w:r>
      <w:r w:rsidRPr="00F00B7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87C06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9169D7C" w14:textId="77777777" w:rsidR="00084DB4" w:rsidRPr="00F00B77" w:rsidRDefault="00084DB4">
      <w:pPr>
        <w:widowControl/>
        <w:adjustRightInd w:val="0"/>
        <w:snapToGrid w:val="0"/>
        <w:spacing w:line="360" w:lineRule="auto"/>
        <w:ind w:firstLineChars="200" w:firstLine="480"/>
        <w:rPr>
          <w:sz w:val="24"/>
        </w:rPr>
      </w:pPr>
      <w:r w:rsidRPr="00F00B77">
        <w:rPr>
          <w:sz w:val="24"/>
        </w:rPr>
        <w:t>5</w:t>
      </w:r>
      <w:r w:rsidRPr="00F00B77">
        <w:rPr>
          <w:sz w:val="24"/>
        </w:rPr>
        <w:t>、议事内容与程序</w:t>
      </w:r>
    </w:p>
    <w:p w14:paraId="33A47FD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）议事内容及提案权</w:t>
      </w:r>
    </w:p>
    <w:p w14:paraId="48C8C36E" w14:textId="77777777" w:rsidR="00084DB4" w:rsidRPr="00F00B77" w:rsidRDefault="00084DB4">
      <w:pPr>
        <w:adjustRightInd w:val="0"/>
        <w:snapToGrid w:val="0"/>
        <w:spacing w:line="360" w:lineRule="auto"/>
        <w:ind w:firstLineChars="200" w:firstLine="480"/>
        <w:rPr>
          <w:bCs/>
          <w:sz w:val="24"/>
        </w:rPr>
      </w:pPr>
      <w:r w:rsidRPr="00F00B77">
        <w:rPr>
          <w:bCs/>
          <w:sz w:val="24"/>
        </w:rPr>
        <w:t>议事内容为关系基金份额持有人利益的重大事项，如《基金合同》的重大修改、决定终止《基金合同》、更换基金管理人、更换基金托管人、与其他基金合并</w:t>
      </w:r>
      <w:r w:rsidRPr="00F00B77">
        <w:rPr>
          <w:rFonts w:hint="eastAsia"/>
          <w:bCs/>
          <w:sz w:val="24"/>
        </w:rPr>
        <w:t>（法律法规、基金合同和中国证监会另有规定的除外）</w:t>
      </w:r>
      <w:r w:rsidRPr="00F00B77">
        <w:rPr>
          <w:bCs/>
          <w:sz w:val="24"/>
        </w:rPr>
        <w:t>、法律法规及《基金合同》规定的其他事项以及会议召集人认为需提交基金份额持有人大会讨论的其他事项。</w:t>
      </w:r>
    </w:p>
    <w:p w14:paraId="58FE1D83"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基金份额持有人大会的召集人发出召集会议的通知后，对原有提案的修改应当在基金份额持有人大会召开前及时公告。</w:t>
      </w:r>
    </w:p>
    <w:p w14:paraId="27BF2087"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基金份额持有人大会不得对未事先公告的议事内容进行表决。</w:t>
      </w:r>
    </w:p>
    <w:p w14:paraId="6A4FB122"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）议事程序</w:t>
      </w:r>
    </w:p>
    <w:p w14:paraId="0E4B5A3E"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）现场开会</w:t>
      </w:r>
    </w:p>
    <w:p w14:paraId="7BD1BDC8" w14:textId="77777777" w:rsidR="00084DB4" w:rsidRPr="00F00B77" w:rsidRDefault="00084DB4">
      <w:pPr>
        <w:adjustRightInd w:val="0"/>
        <w:snapToGrid w:val="0"/>
        <w:spacing w:line="360" w:lineRule="auto"/>
        <w:ind w:firstLineChars="200" w:firstLine="480"/>
        <w:rPr>
          <w:bCs/>
          <w:sz w:val="24"/>
        </w:rPr>
      </w:pPr>
      <w:r w:rsidRPr="00F00B77">
        <w:rPr>
          <w:bCs/>
          <w:sz w:val="24"/>
        </w:rPr>
        <w:t>在现场开会的方式下，首先由大会主持人按照下列第</w:t>
      </w:r>
      <w:r w:rsidRPr="00F00B77">
        <w:rPr>
          <w:rFonts w:hint="eastAsia"/>
          <w:bCs/>
          <w:sz w:val="24"/>
        </w:rPr>
        <w:t>7</w:t>
      </w:r>
      <w:r w:rsidRPr="00F00B77">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00B77">
        <w:rPr>
          <w:rFonts w:hint="eastAsia"/>
          <w:bCs/>
          <w:sz w:val="24"/>
        </w:rPr>
        <w:t>二分之一</w:t>
      </w:r>
      <w:r w:rsidRPr="00F00B77">
        <w:rPr>
          <w:bCs/>
          <w:sz w:val="24"/>
        </w:rPr>
        <w:t>以上（含</w:t>
      </w:r>
      <w:r w:rsidRPr="00F00B77">
        <w:rPr>
          <w:rFonts w:hint="eastAsia"/>
          <w:bCs/>
          <w:sz w:val="24"/>
        </w:rPr>
        <w:t>二分之一</w:t>
      </w:r>
      <w:r w:rsidRPr="00F00B77">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86AA9E0" w14:textId="77777777" w:rsidR="00084DB4" w:rsidRPr="00F00B77" w:rsidRDefault="00084DB4">
      <w:pPr>
        <w:adjustRightInd w:val="0"/>
        <w:snapToGrid w:val="0"/>
        <w:spacing w:line="360" w:lineRule="auto"/>
        <w:ind w:firstLineChars="200" w:firstLine="480"/>
        <w:rPr>
          <w:bCs/>
          <w:sz w:val="24"/>
        </w:rPr>
      </w:pPr>
      <w:r w:rsidRPr="00F00B77">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03D8E7"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）通讯开会</w:t>
      </w:r>
    </w:p>
    <w:p w14:paraId="01A510A8" w14:textId="77777777" w:rsidR="00084DB4" w:rsidRPr="00F00B77" w:rsidRDefault="00084DB4">
      <w:pPr>
        <w:adjustRightInd w:val="0"/>
        <w:snapToGrid w:val="0"/>
        <w:spacing w:line="360" w:lineRule="auto"/>
        <w:ind w:firstLineChars="200" w:firstLine="480"/>
        <w:rPr>
          <w:bCs/>
          <w:sz w:val="24"/>
        </w:rPr>
      </w:pPr>
      <w:r w:rsidRPr="00F00B77">
        <w:rPr>
          <w:bCs/>
          <w:sz w:val="24"/>
        </w:rPr>
        <w:t>在通讯开会的情况下，首先由召集人提前</w:t>
      </w:r>
      <w:r w:rsidRPr="00F00B77">
        <w:rPr>
          <w:rFonts w:hint="eastAsia"/>
          <w:bCs/>
          <w:sz w:val="24"/>
        </w:rPr>
        <w:t>30</w:t>
      </w:r>
      <w:r w:rsidRPr="00F00B77">
        <w:rPr>
          <w:bCs/>
          <w:sz w:val="24"/>
        </w:rPr>
        <w:t>日公布提案，在所通知的表决截止日期后</w:t>
      </w:r>
      <w:r w:rsidRPr="00F00B77">
        <w:rPr>
          <w:rFonts w:hint="eastAsia"/>
          <w:bCs/>
          <w:sz w:val="24"/>
        </w:rPr>
        <w:t>2</w:t>
      </w:r>
      <w:r w:rsidRPr="00F00B77">
        <w:rPr>
          <w:bCs/>
          <w:sz w:val="24"/>
        </w:rPr>
        <w:t>个工作日内在公证机关监督下由召集人统计全部有效表决，在公证机关监督下形成决议。</w:t>
      </w:r>
    </w:p>
    <w:p w14:paraId="347C9E86" w14:textId="77777777" w:rsidR="00084DB4" w:rsidRPr="00F00B77" w:rsidRDefault="00084DB4">
      <w:pPr>
        <w:widowControl/>
        <w:adjustRightInd w:val="0"/>
        <w:snapToGrid w:val="0"/>
        <w:spacing w:line="360" w:lineRule="auto"/>
        <w:ind w:firstLineChars="200" w:firstLine="480"/>
        <w:rPr>
          <w:sz w:val="24"/>
        </w:rPr>
      </w:pPr>
      <w:r w:rsidRPr="00F00B77">
        <w:rPr>
          <w:sz w:val="24"/>
        </w:rPr>
        <w:t>6</w:t>
      </w:r>
      <w:r w:rsidRPr="00F00B77">
        <w:rPr>
          <w:sz w:val="24"/>
        </w:rPr>
        <w:t>、</w:t>
      </w:r>
      <w:r w:rsidRPr="00F00B77">
        <w:rPr>
          <w:sz w:val="24"/>
          <w:szCs w:val="18"/>
        </w:rPr>
        <w:t>表决</w:t>
      </w:r>
    </w:p>
    <w:p w14:paraId="2BDA5BF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基金份额持有人所持每份基金份额有一票表决权。</w:t>
      </w:r>
    </w:p>
    <w:p w14:paraId="7305E2A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基金份额持有人大会决议分为一般决议和特别决议：</w:t>
      </w:r>
    </w:p>
    <w:p w14:paraId="43D649A0"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）一般决议，一般决议须经参加大会的基金份额持有人或其代理人所持表决权的</w:t>
      </w:r>
      <w:r w:rsidRPr="00F00B77">
        <w:rPr>
          <w:rFonts w:hint="eastAsia"/>
          <w:bCs/>
          <w:sz w:val="24"/>
        </w:rPr>
        <w:t>二分之一</w:t>
      </w:r>
      <w:r w:rsidRPr="00F00B77">
        <w:rPr>
          <w:bCs/>
          <w:sz w:val="24"/>
        </w:rPr>
        <w:t>以上（含</w:t>
      </w:r>
      <w:r w:rsidRPr="00F00B77">
        <w:rPr>
          <w:rFonts w:hint="eastAsia"/>
          <w:bCs/>
          <w:sz w:val="24"/>
        </w:rPr>
        <w:t>二分之一</w:t>
      </w:r>
      <w:r w:rsidRPr="00F00B77">
        <w:rPr>
          <w:bCs/>
          <w:sz w:val="24"/>
        </w:rPr>
        <w:t>）通过方为有效；除下列第</w:t>
      </w:r>
      <w:r w:rsidRPr="00F00B77">
        <w:rPr>
          <w:rFonts w:hint="eastAsia"/>
          <w:bCs/>
          <w:sz w:val="24"/>
        </w:rPr>
        <w:t>（</w:t>
      </w:r>
      <w:r w:rsidRPr="00F00B77">
        <w:rPr>
          <w:bCs/>
          <w:sz w:val="24"/>
        </w:rPr>
        <w:t>2</w:t>
      </w:r>
      <w:r w:rsidRPr="00F00B77">
        <w:rPr>
          <w:rFonts w:hint="eastAsia"/>
          <w:bCs/>
          <w:sz w:val="24"/>
        </w:rPr>
        <w:t>）</w:t>
      </w:r>
      <w:r w:rsidRPr="00F00B77">
        <w:rPr>
          <w:bCs/>
          <w:sz w:val="24"/>
        </w:rPr>
        <w:t>项所规定的须以特别决议通过事项以外的其他事项均以一般决议的方式通过。</w:t>
      </w:r>
    </w:p>
    <w:p w14:paraId="0ED34C87"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w:t>
      </w:r>
      <w:r w:rsidRPr="00F00B7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2BA2DE"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基金份额持有人大会采取记名方式进行投票表决。</w:t>
      </w:r>
    </w:p>
    <w:p w14:paraId="341417F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1E7EEC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基金份额持有人大会的各项提案或同一项提案内并列的各项议题应当分开审议、逐项表决</w:t>
      </w:r>
      <w:r w:rsidRPr="00F00B77">
        <w:rPr>
          <w:bCs/>
          <w:sz w:val="24"/>
        </w:rPr>
        <w:t>。</w:t>
      </w:r>
    </w:p>
    <w:p w14:paraId="39BFAA19" w14:textId="77777777" w:rsidR="00084DB4" w:rsidRPr="00F00B77" w:rsidRDefault="00084DB4">
      <w:pPr>
        <w:adjustRightInd w:val="0"/>
        <w:snapToGrid w:val="0"/>
        <w:spacing w:line="360" w:lineRule="auto"/>
        <w:ind w:firstLineChars="200" w:firstLine="480"/>
        <w:rPr>
          <w:sz w:val="24"/>
        </w:rPr>
      </w:pPr>
      <w:r w:rsidRPr="00F00B77">
        <w:rPr>
          <w:sz w:val="24"/>
        </w:rPr>
        <w:t>7</w:t>
      </w:r>
      <w:r w:rsidRPr="00F00B77">
        <w:rPr>
          <w:sz w:val="24"/>
        </w:rPr>
        <w:t>、计票</w:t>
      </w:r>
    </w:p>
    <w:p w14:paraId="08ED5336"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）现场开会</w:t>
      </w:r>
    </w:p>
    <w:p w14:paraId="139DE5BC"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00B77">
        <w:rPr>
          <w:rFonts w:hint="eastAsia"/>
          <w:bCs/>
          <w:sz w:val="24"/>
        </w:rPr>
        <w:t>和代理人</w:t>
      </w:r>
      <w:r w:rsidRPr="00F00B77">
        <w:rPr>
          <w:bCs/>
          <w:sz w:val="24"/>
        </w:rPr>
        <w:t>中选举三名基金份额持有人代表担任监票人。基金管理人或基金托管人不出席大会的，不影响计票的效力。</w:t>
      </w:r>
    </w:p>
    <w:p w14:paraId="2B8309BB"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）监票人应当在基金份额持有人表决后立即进行清点并由大会主持人当场公布计票结果。</w:t>
      </w:r>
    </w:p>
    <w:p w14:paraId="5D1919C2"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6FE049D"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）计票过程应由公证机关予以公证</w:t>
      </w:r>
      <w:r w:rsidRPr="00F00B77">
        <w:rPr>
          <w:rFonts w:hint="eastAsia"/>
          <w:bCs/>
          <w:sz w:val="24"/>
        </w:rPr>
        <w:t>，</w:t>
      </w:r>
      <w:r w:rsidRPr="00F00B77">
        <w:rPr>
          <w:bCs/>
          <w:sz w:val="24"/>
        </w:rPr>
        <w:t>基金管理人或基金托管人拒不出席大会的，不影响计票的效力。</w:t>
      </w:r>
    </w:p>
    <w:p w14:paraId="7A03CC67"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）通讯开会</w:t>
      </w:r>
    </w:p>
    <w:p w14:paraId="7EC595A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D0B532D" w14:textId="77777777" w:rsidR="00084DB4" w:rsidRPr="00F00B77" w:rsidRDefault="00084DB4">
      <w:pPr>
        <w:widowControl/>
        <w:adjustRightInd w:val="0"/>
        <w:snapToGrid w:val="0"/>
        <w:spacing w:line="360" w:lineRule="auto"/>
        <w:ind w:firstLineChars="200" w:firstLine="480"/>
        <w:rPr>
          <w:sz w:val="24"/>
        </w:rPr>
      </w:pPr>
      <w:r w:rsidRPr="00F00B77">
        <w:rPr>
          <w:sz w:val="24"/>
        </w:rPr>
        <w:t>8</w:t>
      </w:r>
      <w:r w:rsidRPr="00F00B77">
        <w:rPr>
          <w:sz w:val="24"/>
        </w:rPr>
        <w:t>、</w:t>
      </w:r>
      <w:r w:rsidRPr="00F00B77">
        <w:rPr>
          <w:bCs/>
          <w:sz w:val="24"/>
        </w:rPr>
        <w:t>生效与公告</w:t>
      </w:r>
    </w:p>
    <w:p w14:paraId="3682DD0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基金份额持有人大会决定的事项自表决通过之日起生效，召集人应当自通过之日起</w:t>
      </w:r>
      <w:r w:rsidRPr="00F00B77">
        <w:rPr>
          <w:rFonts w:hint="eastAsia"/>
          <w:bCs/>
          <w:sz w:val="24"/>
        </w:rPr>
        <w:t>5</w:t>
      </w:r>
      <w:r w:rsidRPr="00F00B77">
        <w:rPr>
          <w:rFonts w:hint="eastAsia"/>
          <w:bCs/>
          <w:sz w:val="24"/>
        </w:rPr>
        <w:t>日内报中国证监会备案。</w:t>
      </w:r>
    </w:p>
    <w:p w14:paraId="556572B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基金份额持有人大会决议自生效之日起</w:t>
      </w:r>
      <w:r w:rsidRPr="00F00B77">
        <w:rPr>
          <w:rFonts w:hint="eastAsia"/>
          <w:bCs/>
          <w:sz w:val="24"/>
        </w:rPr>
        <w:t>2</w:t>
      </w:r>
      <w:r w:rsidRPr="00F00B77">
        <w:rPr>
          <w:rFonts w:hint="eastAsia"/>
          <w:bCs/>
          <w:sz w:val="24"/>
        </w:rPr>
        <w:t>个工作日内在指定媒介上公告。如果采用通讯方式进行表决，在公告基金份额持有人大会决议时，必须将公证书全文、公证机构、公证员姓名等一同公告。</w:t>
      </w:r>
    </w:p>
    <w:p w14:paraId="2FEE99E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F939220" w14:textId="77777777" w:rsidR="00084DB4" w:rsidRPr="00F00B77" w:rsidRDefault="00084DB4">
      <w:pPr>
        <w:adjustRightInd w:val="0"/>
        <w:snapToGrid w:val="0"/>
        <w:spacing w:line="360" w:lineRule="auto"/>
        <w:ind w:firstLineChars="200" w:firstLine="480"/>
        <w:rPr>
          <w:bCs/>
          <w:sz w:val="24"/>
        </w:rPr>
      </w:pPr>
      <w:r w:rsidRPr="00F00B77">
        <w:rPr>
          <w:bCs/>
          <w:sz w:val="24"/>
        </w:rPr>
        <w:t>9</w:t>
      </w:r>
      <w:r w:rsidRPr="00F00B77">
        <w:rPr>
          <w:bCs/>
          <w:sz w:val="24"/>
        </w:rPr>
        <w:t>、</w:t>
      </w:r>
      <w:r w:rsidRPr="00F00B77">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B59D9F4"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（三）基金合同</w:t>
      </w:r>
      <w:r w:rsidR="003A2C15" w:rsidRPr="00F00B77">
        <w:rPr>
          <w:rFonts w:hint="eastAsia"/>
          <w:b/>
          <w:kern w:val="0"/>
          <w:sz w:val="24"/>
        </w:rPr>
        <w:t>变更、</w:t>
      </w:r>
      <w:r w:rsidRPr="00F00B77">
        <w:rPr>
          <w:rFonts w:hint="eastAsia"/>
          <w:b/>
          <w:kern w:val="0"/>
          <w:sz w:val="24"/>
        </w:rPr>
        <w:t>解除和</w:t>
      </w:r>
      <w:r w:rsidRPr="00F00B77">
        <w:rPr>
          <w:b/>
          <w:kern w:val="0"/>
          <w:sz w:val="24"/>
        </w:rPr>
        <w:t>终止</w:t>
      </w:r>
      <w:r w:rsidRPr="00F00B77">
        <w:rPr>
          <w:rFonts w:hint="eastAsia"/>
          <w:b/>
          <w:kern w:val="0"/>
          <w:sz w:val="24"/>
        </w:rPr>
        <w:t>的事由、程序</w:t>
      </w:r>
      <w:r w:rsidR="003A2C15" w:rsidRPr="00F00B77">
        <w:rPr>
          <w:rFonts w:hint="eastAsia"/>
          <w:b/>
          <w:kern w:val="0"/>
          <w:sz w:val="24"/>
        </w:rPr>
        <w:t>以及基金财产清算方式</w:t>
      </w:r>
    </w:p>
    <w:p w14:paraId="110B10BA"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1</w:t>
      </w:r>
      <w:r w:rsidRPr="00F00B77">
        <w:rPr>
          <w:bCs/>
          <w:sz w:val="24"/>
        </w:rPr>
        <w:t>、《基金合同》的变更</w:t>
      </w:r>
    </w:p>
    <w:p w14:paraId="708D740D" w14:textId="77777777" w:rsidR="00084DB4" w:rsidRPr="00F00B77" w:rsidRDefault="00084DB4">
      <w:pPr>
        <w:autoSpaceDE w:val="0"/>
        <w:autoSpaceDN w:val="0"/>
        <w:adjustRightInd w:val="0"/>
        <w:snapToGrid w:val="0"/>
        <w:spacing w:line="360" w:lineRule="auto"/>
        <w:ind w:firstLineChars="200" w:firstLine="480"/>
        <w:jc w:val="left"/>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变更基金合同</w:t>
      </w:r>
      <w:r w:rsidRPr="00F00B77">
        <w:rPr>
          <w:rFonts w:hint="eastAsia"/>
          <w:bCs/>
          <w:sz w:val="24"/>
        </w:rPr>
        <w:t>涉及</w:t>
      </w:r>
      <w:r w:rsidRPr="00F00B77">
        <w:rPr>
          <w:bCs/>
          <w:sz w:val="24"/>
        </w:rPr>
        <w:t>法律法规规定或本</w:t>
      </w:r>
      <w:r w:rsidRPr="00F00B77">
        <w:rPr>
          <w:rFonts w:hint="eastAsia"/>
          <w:bCs/>
          <w:sz w:val="24"/>
        </w:rPr>
        <w:t>基金</w:t>
      </w:r>
      <w:r w:rsidRPr="00F00B77">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DAA17A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）关于《基金合同》变更的基金份额持有人大会决议生效后方可执行，并自决议生效后依照《信息披露办法》的规定在指定媒介公告。</w:t>
      </w:r>
    </w:p>
    <w:p w14:paraId="015B128E" w14:textId="77777777" w:rsidR="00084DB4" w:rsidRPr="00F00B77" w:rsidRDefault="00084DB4">
      <w:pPr>
        <w:adjustRightInd w:val="0"/>
        <w:snapToGrid w:val="0"/>
        <w:spacing w:line="360" w:lineRule="auto"/>
        <w:ind w:firstLineChars="200" w:firstLine="480"/>
        <w:rPr>
          <w:bCs/>
          <w:sz w:val="24"/>
        </w:rPr>
      </w:pPr>
      <w:r w:rsidRPr="00F00B77">
        <w:rPr>
          <w:kern w:val="0"/>
          <w:sz w:val="24"/>
        </w:rPr>
        <w:t>2</w:t>
      </w:r>
      <w:r w:rsidRPr="00F00B77">
        <w:rPr>
          <w:kern w:val="0"/>
          <w:sz w:val="24"/>
        </w:rPr>
        <w:t>、</w:t>
      </w:r>
      <w:r w:rsidRPr="00F00B77">
        <w:rPr>
          <w:bCs/>
          <w:sz w:val="24"/>
        </w:rPr>
        <w:t>《基金合同》的终止事由</w:t>
      </w:r>
    </w:p>
    <w:p w14:paraId="1DE388CF"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有下列情形之一的，</w:t>
      </w:r>
      <w:r w:rsidRPr="00F00B77">
        <w:rPr>
          <w:rFonts w:hint="eastAsia"/>
          <w:bCs/>
          <w:sz w:val="24"/>
        </w:rPr>
        <w:t>《</w:t>
      </w:r>
      <w:r w:rsidRPr="00F00B77">
        <w:rPr>
          <w:bCs/>
          <w:sz w:val="24"/>
        </w:rPr>
        <w:t>基金合同</w:t>
      </w:r>
      <w:r w:rsidRPr="00F00B77">
        <w:rPr>
          <w:rFonts w:hint="eastAsia"/>
          <w:bCs/>
          <w:sz w:val="24"/>
        </w:rPr>
        <w:t>》</w:t>
      </w:r>
      <w:r w:rsidRPr="00F00B77">
        <w:rPr>
          <w:bCs/>
          <w:sz w:val="24"/>
        </w:rPr>
        <w:t>应当终止：</w:t>
      </w:r>
    </w:p>
    <w:p w14:paraId="3D04420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）基金份额持有人大会决定终止的；</w:t>
      </w:r>
    </w:p>
    <w:p w14:paraId="6765907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）基金管理人、基金托管人职责终止，在</w:t>
      </w:r>
      <w:r w:rsidRPr="00F00B77">
        <w:rPr>
          <w:rFonts w:hint="eastAsia"/>
          <w:bCs/>
          <w:sz w:val="24"/>
        </w:rPr>
        <w:t>6</w:t>
      </w:r>
      <w:r w:rsidRPr="00F00B77">
        <w:rPr>
          <w:rFonts w:hint="eastAsia"/>
          <w:bCs/>
          <w:sz w:val="24"/>
        </w:rPr>
        <w:t>个月内没有新基金管理人、新基金托管人承接的；</w:t>
      </w:r>
    </w:p>
    <w:p w14:paraId="3E643B3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）本基金作为被合并方与其他基金进行合并的；</w:t>
      </w:r>
    </w:p>
    <w:p w14:paraId="26415F5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）《基金合同》约定的其他情形；</w:t>
      </w:r>
    </w:p>
    <w:p w14:paraId="34F4423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）相关法律法规和中国证监会规定的其他情况。</w:t>
      </w:r>
    </w:p>
    <w:p w14:paraId="199CD9C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bCs/>
          <w:sz w:val="24"/>
        </w:rPr>
        <w:t>、基金财产的清算</w:t>
      </w:r>
    </w:p>
    <w:p w14:paraId="315B57B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基金财产清算小组：自出现《基金合同》终止事由之日起</w:t>
      </w:r>
      <w:r w:rsidRPr="00F00B77">
        <w:rPr>
          <w:bCs/>
          <w:sz w:val="24"/>
        </w:rPr>
        <w:t>30</w:t>
      </w:r>
      <w:r w:rsidRPr="00F00B77">
        <w:rPr>
          <w:bCs/>
          <w:sz w:val="24"/>
        </w:rPr>
        <w:t>个工作日内成立清算小组，基金管理人组织基金财产清算小组并在中国证监会的监督下进行基金清算。</w:t>
      </w:r>
    </w:p>
    <w:p w14:paraId="18402E8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464D0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基金财产清算小组职责：基金财产清算小组负责基金财产的保管、清理、估价、变现和分配。基金财产清算小组可以依法进行必要的民事活动。</w:t>
      </w:r>
    </w:p>
    <w:p w14:paraId="3106112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基金财产清算程序：</w:t>
      </w:r>
    </w:p>
    <w:p w14:paraId="50CC2E7A"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）《基金合同》终止情形出现时，由基金财产清算小组统一接管基金</w:t>
      </w:r>
      <w:r w:rsidRPr="00F00B77">
        <w:rPr>
          <w:rFonts w:hint="eastAsia"/>
          <w:bCs/>
          <w:sz w:val="24"/>
        </w:rPr>
        <w:t>财产</w:t>
      </w:r>
      <w:r w:rsidRPr="00F00B77">
        <w:rPr>
          <w:bCs/>
          <w:sz w:val="24"/>
        </w:rPr>
        <w:t>；</w:t>
      </w:r>
    </w:p>
    <w:p w14:paraId="441FD217"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）对基金财产和债权债务进行清理和确认；</w:t>
      </w:r>
    </w:p>
    <w:p w14:paraId="13CB990B"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）对基金财产进行估值和变现；</w:t>
      </w:r>
    </w:p>
    <w:p w14:paraId="04BB08ED"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）制作清算报告；</w:t>
      </w:r>
    </w:p>
    <w:p w14:paraId="16521BFB"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）聘请会计师事务所对清算报告进行外部审计，聘请律师事务所对清算报告出具法律意见书；</w:t>
      </w:r>
    </w:p>
    <w:p w14:paraId="67082248"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）将清算报告报中国证监会备案并公告</w:t>
      </w:r>
      <w:r w:rsidRPr="00F00B77">
        <w:rPr>
          <w:rFonts w:hint="eastAsia"/>
          <w:bCs/>
          <w:sz w:val="24"/>
        </w:rPr>
        <w:t>；</w:t>
      </w:r>
    </w:p>
    <w:p w14:paraId="3E18038A"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）对基金</w:t>
      </w:r>
      <w:r w:rsidRPr="00F00B77">
        <w:rPr>
          <w:rFonts w:hint="eastAsia"/>
          <w:bCs/>
          <w:sz w:val="24"/>
        </w:rPr>
        <w:t>剩余</w:t>
      </w:r>
      <w:r w:rsidRPr="00F00B77">
        <w:rPr>
          <w:bCs/>
          <w:sz w:val="24"/>
        </w:rPr>
        <w:t>财产进行分配</w:t>
      </w:r>
      <w:r w:rsidRPr="00F00B77">
        <w:rPr>
          <w:rFonts w:hint="eastAsia"/>
          <w:bCs/>
          <w:sz w:val="24"/>
        </w:rPr>
        <w:t>。</w:t>
      </w:r>
    </w:p>
    <w:p w14:paraId="3A4CA7B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基金财产清算的期限为</w:t>
      </w:r>
      <w:r w:rsidRPr="00F00B77">
        <w:rPr>
          <w:rFonts w:hint="eastAsia"/>
          <w:bCs/>
          <w:sz w:val="24"/>
        </w:rPr>
        <w:t>6</w:t>
      </w:r>
      <w:r w:rsidRPr="00F00B77">
        <w:rPr>
          <w:bCs/>
          <w:sz w:val="24"/>
        </w:rPr>
        <w:t>个月</w:t>
      </w:r>
      <w:r w:rsidRPr="00F00B77">
        <w:rPr>
          <w:rFonts w:hint="eastAsia"/>
          <w:bCs/>
          <w:sz w:val="24"/>
        </w:rPr>
        <w:t>，若遇基金持有的有价证券出现长期休市、停牌或其他流通受限的情形除外</w:t>
      </w:r>
      <w:r w:rsidRPr="00F00B77">
        <w:rPr>
          <w:bCs/>
          <w:sz w:val="24"/>
        </w:rPr>
        <w:t>。</w:t>
      </w:r>
    </w:p>
    <w:p w14:paraId="29CBD90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bCs/>
          <w:sz w:val="24"/>
        </w:rPr>
        <w:t>、清算费用</w:t>
      </w:r>
    </w:p>
    <w:p w14:paraId="0C509897" w14:textId="77777777" w:rsidR="00084DB4" w:rsidRPr="00F00B77" w:rsidRDefault="00084DB4">
      <w:pPr>
        <w:adjustRightInd w:val="0"/>
        <w:snapToGrid w:val="0"/>
        <w:spacing w:line="360" w:lineRule="auto"/>
        <w:ind w:firstLineChars="200" w:firstLine="480"/>
        <w:rPr>
          <w:bCs/>
          <w:sz w:val="24"/>
        </w:rPr>
      </w:pPr>
      <w:r w:rsidRPr="00F00B77">
        <w:rPr>
          <w:bCs/>
          <w:sz w:val="24"/>
        </w:rPr>
        <w:t>清算费用是指基金财产清算小组在进行基金清算过程中发生的所有合理费用，清算费用由基金财产清算小组优先从基金财产中支付。</w:t>
      </w:r>
    </w:p>
    <w:p w14:paraId="0AFA863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bCs/>
          <w:sz w:val="24"/>
        </w:rPr>
        <w:t>、基金财产清算剩余资产的分配</w:t>
      </w:r>
    </w:p>
    <w:p w14:paraId="47FAB528" w14:textId="77777777" w:rsidR="00084DB4" w:rsidRPr="00F00B77" w:rsidRDefault="00084DB4">
      <w:pPr>
        <w:adjustRightInd w:val="0"/>
        <w:snapToGrid w:val="0"/>
        <w:spacing w:line="360" w:lineRule="auto"/>
        <w:ind w:firstLineChars="200" w:firstLine="480"/>
        <w:rPr>
          <w:bCs/>
          <w:sz w:val="24"/>
        </w:rPr>
      </w:pPr>
      <w:r w:rsidRPr="00F00B77">
        <w:rPr>
          <w:bCs/>
          <w:sz w:val="24"/>
        </w:rPr>
        <w:t>依据基金财产清算的分配方案，将基金财产清算后的全部剩余资产扣除基金财产清算费用、交纳所欠税款并清偿基金债务后，按基金份额持有人持有的基金份额比例进行分配。</w:t>
      </w:r>
    </w:p>
    <w:p w14:paraId="7804919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bCs/>
          <w:sz w:val="24"/>
        </w:rPr>
        <w:t>、基金财产清算的公告</w:t>
      </w:r>
    </w:p>
    <w:p w14:paraId="6251B0A2" w14:textId="77777777" w:rsidR="00084DB4" w:rsidRPr="00F00B77" w:rsidRDefault="00084DB4">
      <w:pPr>
        <w:adjustRightInd w:val="0"/>
        <w:snapToGrid w:val="0"/>
        <w:spacing w:line="360" w:lineRule="auto"/>
        <w:ind w:firstLineChars="200" w:firstLine="480"/>
        <w:rPr>
          <w:bCs/>
          <w:sz w:val="24"/>
        </w:rPr>
      </w:pPr>
      <w:r w:rsidRPr="00F00B7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0B77">
        <w:rPr>
          <w:rFonts w:hint="eastAsia"/>
          <w:bCs/>
          <w:sz w:val="24"/>
        </w:rPr>
        <w:t>5</w:t>
      </w:r>
      <w:r w:rsidRPr="00F00B77">
        <w:rPr>
          <w:bCs/>
          <w:sz w:val="24"/>
        </w:rPr>
        <w:t>个工作日内由基金财产清算小组进行公告。</w:t>
      </w:r>
    </w:p>
    <w:p w14:paraId="72F216FB"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bCs/>
          <w:sz w:val="24"/>
        </w:rPr>
        <w:t>、基金财产清算账册及文件的保存</w:t>
      </w:r>
    </w:p>
    <w:p w14:paraId="4C689D1C" w14:textId="77777777" w:rsidR="00084DB4" w:rsidRPr="00F00B77" w:rsidRDefault="00084DB4">
      <w:pPr>
        <w:adjustRightInd w:val="0"/>
        <w:snapToGrid w:val="0"/>
        <w:spacing w:line="360" w:lineRule="auto"/>
        <w:ind w:firstLineChars="200" w:firstLine="480"/>
        <w:rPr>
          <w:bCs/>
          <w:sz w:val="24"/>
        </w:rPr>
      </w:pPr>
      <w:r w:rsidRPr="00F00B77">
        <w:rPr>
          <w:bCs/>
          <w:sz w:val="24"/>
        </w:rPr>
        <w:t>基金财产清算账册及有关文件由基金托管人保存</w:t>
      </w:r>
      <w:r w:rsidRPr="00F00B77">
        <w:rPr>
          <w:rFonts w:hint="eastAsia"/>
          <w:bCs/>
          <w:sz w:val="24"/>
        </w:rPr>
        <w:t>15</w:t>
      </w:r>
      <w:r w:rsidRPr="00F00B77">
        <w:rPr>
          <w:bCs/>
          <w:sz w:val="24"/>
        </w:rPr>
        <w:t>年以上。</w:t>
      </w:r>
    </w:p>
    <w:p w14:paraId="646013CF"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（四）争议</w:t>
      </w:r>
      <w:r w:rsidRPr="00F00B77">
        <w:rPr>
          <w:rFonts w:hint="eastAsia"/>
          <w:b/>
          <w:kern w:val="0"/>
          <w:sz w:val="24"/>
        </w:rPr>
        <w:t>解决方式</w:t>
      </w:r>
    </w:p>
    <w:p w14:paraId="54E4E7D4" w14:textId="77777777" w:rsidR="00084DB4" w:rsidRPr="00F00B77" w:rsidRDefault="00084DB4">
      <w:pPr>
        <w:adjustRightInd w:val="0"/>
        <w:snapToGrid w:val="0"/>
        <w:spacing w:line="360" w:lineRule="auto"/>
        <w:ind w:firstLineChars="200" w:firstLine="480"/>
        <w:rPr>
          <w:rFonts w:ascii="宋体" w:hAnsi="宋体"/>
          <w:sz w:val="24"/>
        </w:rPr>
      </w:pPr>
      <w:bookmarkStart w:id="75" w:name="_Toc523711688"/>
      <w:r w:rsidRPr="00F00B77">
        <w:rPr>
          <w:bCs/>
          <w:sz w:val="24"/>
        </w:rPr>
        <w:t>各方当事人同意，因《基金合同》而产生的或与《基金合同》有关的一切争议，如经友好协商未能解决的，</w:t>
      </w:r>
      <w:r w:rsidRPr="00F00B7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6C9EA4FA"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《基金合同》受中国法律管辖。</w:t>
      </w:r>
    </w:p>
    <w:p w14:paraId="1D2BF96B"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（五）基金合同存放</w:t>
      </w:r>
      <w:r w:rsidRPr="00F00B77">
        <w:rPr>
          <w:rFonts w:hint="eastAsia"/>
          <w:b/>
          <w:kern w:val="0"/>
          <w:sz w:val="24"/>
        </w:rPr>
        <w:t>地和</w:t>
      </w:r>
      <w:r w:rsidRPr="00F00B77">
        <w:rPr>
          <w:b/>
          <w:kern w:val="0"/>
          <w:sz w:val="24"/>
        </w:rPr>
        <w:t>投资者取得基金合同的方式</w:t>
      </w:r>
    </w:p>
    <w:bookmarkEnd w:id="75"/>
    <w:p w14:paraId="3B0C353E" w14:textId="77777777" w:rsidR="00084DB4" w:rsidRPr="00F00B77" w:rsidRDefault="00084DB4">
      <w:pPr>
        <w:adjustRightInd w:val="0"/>
        <w:snapToGrid w:val="0"/>
        <w:spacing w:line="360" w:lineRule="auto"/>
        <w:ind w:firstLineChars="200" w:firstLine="480"/>
        <w:rPr>
          <w:bCs/>
          <w:sz w:val="24"/>
        </w:rPr>
      </w:pPr>
      <w:r w:rsidRPr="00F00B77">
        <w:rPr>
          <w:bCs/>
          <w:sz w:val="24"/>
        </w:rPr>
        <w:t>《基金合同》正本一式六份，除上报有关监管机构一式二份外，基金管理人、基金托管人各持有二份，每份具有同等的法律效力。</w:t>
      </w:r>
    </w:p>
    <w:p w14:paraId="5E636E47" w14:textId="77777777" w:rsidR="004A185F" w:rsidRPr="00F00B77" w:rsidRDefault="00084DB4" w:rsidP="004A185F">
      <w:pPr>
        <w:adjustRightInd w:val="0"/>
        <w:snapToGrid w:val="0"/>
        <w:spacing w:line="360" w:lineRule="auto"/>
        <w:ind w:firstLineChars="200" w:firstLine="480"/>
        <w:rPr>
          <w:bCs/>
          <w:sz w:val="24"/>
        </w:rPr>
      </w:pPr>
      <w:r w:rsidRPr="00F00B77">
        <w:rPr>
          <w:bCs/>
          <w:sz w:val="24"/>
        </w:rPr>
        <w:t>《基金合同》可印制成册，供投资者在基金管理人、基金托管人、销售机构的办公场所和营业场所查阅</w:t>
      </w:r>
      <w:r w:rsidRPr="00F00B77">
        <w:rPr>
          <w:rFonts w:hint="eastAsia"/>
          <w:bCs/>
          <w:sz w:val="24"/>
        </w:rPr>
        <w:t>，但应以《基金合同》正本为准</w:t>
      </w:r>
      <w:r w:rsidRPr="00F00B77">
        <w:rPr>
          <w:bCs/>
          <w:sz w:val="24"/>
        </w:rPr>
        <w:t>。</w:t>
      </w:r>
    </w:p>
    <w:p w14:paraId="278A8312" w14:textId="77777777" w:rsidR="00084DB4" w:rsidRPr="00F00B77" w:rsidRDefault="00084DB4" w:rsidP="004A185F">
      <w:pPr>
        <w:adjustRightInd w:val="0"/>
        <w:snapToGrid w:val="0"/>
        <w:spacing w:line="360" w:lineRule="auto"/>
        <w:ind w:firstLineChars="200" w:firstLine="602"/>
        <w:jc w:val="center"/>
        <w:rPr>
          <w:rFonts w:ascii="宋体" w:hAnsi="宋体"/>
          <w:b/>
          <w:i/>
          <w:kern w:val="0"/>
          <w:sz w:val="30"/>
        </w:rPr>
      </w:pPr>
      <w:r w:rsidRPr="00F00B77">
        <w:rPr>
          <w:rFonts w:ascii="宋体" w:hAnsi="宋体" w:hint="eastAsia"/>
          <w:b/>
          <w:kern w:val="0"/>
          <w:sz w:val="30"/>
        </w:rPr>
        <w:t>十九、托管协议的内容摘要</w:t>
      </w:r>
    </w:p>
    <w:p w14:paraId="07D304E3" w14:textId="77777777" w:rsidR="00084DB4" w:rsidRPr="00F00B77" w:rsidRDefault="00084DB4">
      <w:pPr>
        <w:widowControl/>
        <w:adjustRightInd w:val="0"/>
        <w:snapToGrid w:val="0"/>
        <w:spacing w:line="360" w:lineRule="auto"/>
        <w:ind w:firstLine="480"/>
        <w:rPr>
          <w:rFonts w:ascii="宋体" w:hAnsi="宋体"/>
          <w:b/>
          <w:kern w:val="0"/>
          <w:sz w:val="24"/>
        </w:rPr>
      </w:pPr>
      <w:r w:rsidRPr="00F00B77">
        <w:rPr>
          <w:rFonts w:ascii="宋体" w:hAnsi="宋体" w:hint="eastAsia"/>
          <w:b/>
          <w:kern w:val="0"/>
          <w:sz w:val="24"/>
        </w:rPr>
        <w:t>（</w:t>
      </w:r>
      <w:r w:rsidRPr="00F00B77">
        <w:rPr>
          <w:rFonts w:ascii="宋体" w:hAnsi="宋体"/>
          <w:b/>
          <w:kern w:val="0"/>
          <w:sz w:val="24"/>
        </w:rPr>
        <w:t>一</w:t>
      </w:r>
      <w:r w:rsidRPr="00F00B77">
        <w:rPr>
          <w:rFonts w:ascii="宋体" w:hAnsi="宋体" w:hint="eastAsia"/>
          <w:b/>
          <w:kern w:val="0"/>
          <w:sz w:val="24"/>
        </w:rPr>
        <w:t>）</w:t>
      </w:r>
      <w:r w:rsidRPr="00F00B77">
        <w:rPr>
          <w:rFonts w:ascii="宋体" w:hAnsi="宋体"/>
          <w:b/>
          <w:kern w:val="0"/>
          <w:sz w:val="24"/>
        </w:rPr>
        <w:t xml:space="preserve">托管协议当事人 </w:t>
      </w:r>
    </w:p>
    <w:p w14:paraId="456F268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rFonts w:hAnsi="宋体"/>
          <w:kern w:val="0"/>
          <w:sz w:val="24"/>
        </w:rPr>
        <w:t>、基金管理人</w:t>
      </w:r>
    </w:p>
    <w:p w14:paraId="5426978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名称：交银施罗德基金管理有限公司</w:t>
      </w:r>
    </w:p>
    <w:p w14:paraId="679031F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住所：上海市浦东新区银城中路</w:t>
      </w:r>
      <w:r w:rsidRPr="00F00B77">
        <w:rPr>
          <w:rFonts w:hint="eastAsia"/>
          <w:kern w:val="0"/>
          <w:sz w:val="24"/>
        </w:rPr>
        <w:t>188</w:t>
      </w:r>
      <w:r w:rsidRPr="00F00B77">
        <w:rPr>
          <w:rFonts w:hint="eastAsia"/>
          <w:kern w:val="0"/>
          <w:sz w:val="24"/>
        </w:rPr>
        <w:t>号交通银行大楼二层（裙）</w:t>
      </w:r>
    </w:p>
    <w:p w14:paraId="21D9D0B6"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法定代表人</w:t>
      </w:r>
      <w:r w:rsidR="00A41A5B" w:rsidRPr="00F00B77">
        <w:rPr>
          <w:rFonts w:hint="eastAsia"/>
          <w:kern w:val="0"/>
          <w:sz w:val="24"/>
        </w:rPr>
        <w:t>：</w:t>
      </w:r>
      <w:r w:rsidRPr="00F00B77">
        <w:rPr>
          <w:rFonts w:hint="eastAsia"/>
          <w:kern w:val="0"/>
          <w:sz w:val="24"/>
        </w:rPr>
        <w:t>于亚利</w:t>
      </w:r>
    </w:p>
    <w:p w14:paraId="3C2892E2"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成立时间：</w:t>
      </w:r>
      <w:r w:rsidRPr="00F00B77">
        <w:rPr>
          <w:rFonts w:hint="eastAsia"/>
          <w:kern w:val="0"/>
          <w:sz w:val="24"/>
        </w:rPr>
        <w:t>2005</w:t>
      </w:r>
      <w:r w:rsidRPr="00F00B77">
        <w:rPr>
          <w:rFonts w:hint="eastAsia"/>
          <w:kern w:val="0"/>
          <w:sz w:val="24"/>
        </w:rPr>
        <w:t>年</w:t>
      </w:r>
      <w:r w:rsidRPr="00F00B77">
        <w:rPr>
          <w:rFonts w:hint="eastAsia"/>
          <w:kern w:val="0"/>
          <w:sz w:val="24"/>
        </w:rPr>
        <w:t>8</w:t>
      </w:r>
      <w:r w:rsidRPr="00F00B77">
        <w:rPr>
          <w:rFonts w:hint="eastAsia"/>
          <w:kern w:val="0"/>
          <w:sz w:val="24"/>
        </w:rPr>
        <w:t>月</w:t>
      </w:r>
      <w:r w:rsidRPr="00F00B77">
        <w:rPr>
          <w:rFonts w:hint="eastAsia"/>
          <w:kern w:val="0"/>
          <w:sz w:val="24"/>
        </w:rPr>
        <w:t>4</w:t>
      </w:r>
      <w:r w:rsidRPr="00F00B77">
        <w:rPr>
          <w:rFonts w:hint="eastAsia"/>
          <w:kern w:val="0"/>
          <w:sz w:val="24"/>
        </w:rPr>
        <w:t>日</w:t>
      </w:r>
    </w:p>
    <w:p w14:paraId="7B97CDDA"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批准设立机关：中国证监会</w:t>
      </w:r>
    </w:p>
    <w:p w14:paraId="09C117AA"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批准设立文号：证监基金字</w:t>
      </w:r>
      <w:r w:rsidRPr="00F00B77">
        <w:rPr>
          <w:rFonts w:hint="eastAsia"/>
          <w:kern w:val="0"/>
          <w:sz w:val="24"/>
        </w:rPr>
        <w:t>[2005]128</w:t>
      </w:r>
      <w:r w:rsidRPr="00F00B77">
        <w:rPr>
          <w:rFonts w:hint="eastAsia"/>
          <w:kern w:val="0"/>
          <w:sz w:val="24"/>
        </w:rPr>
        <w:t>号</w:t>
      </w:r>
    </w:p>
    <w:p w14:paraId="4FB584C9"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组织形式：有限责任公司</w:t>
      </w:r>
    </w:p>
    <w:p w14:paraId="01B3FD6C"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注册资本：</w:t>
      </w:r>
      <w:r w:rsidRPr="00F00B77">
        <w:rPr>
          <w:rFonts w:hint="eastAsia"/>
          <w:kern w:val="0"/>
          <w:sz w:val="24"/>
        </w:rPr>
        <w:t>2</w:t>
      </w:r>
      <w:r w:rsidRPr="00F00B77">
        <w:rPr>
          <w:rFonts w:hint="eastAsia"/>
          <w:kern w:val="0"/>
          <w:sz w:val="24"/>
        </w:rPr>
        <w:t>亿元人民币</w:t>
      </w:r>
    </w:p>
    <w:p w14:paraId="710DC90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存续期间：持续经营</w:t>
      </w:r>
    </w:p>
    <w:p w14:paraId="38E55B7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经营范围：基金募集、基金销售、资产管理和中国证监会许可的其它业务。</w:t>
      </w:r>
    </w:p>
    <w:p w14:paraId="51F20FC9" w14:textId="77777777" w:rsidR="00084DB4" w:rsidRPr="00F00B77" w:rsidRDefault="00084DB4">
      <w:pPr>
        <w:widowControl/>
        <w:adjustRightInd w:val="0"/>
        <w:snapToGrid w:val="0"/>
        <w:spacing w:line="360" w:lineRule="auto"/>
        <w:ind w:firstLineChars="200" w:firstLine="480"/>
        <w:rPr>
          <w:rFonts w:hAnsi="宋体"/>
          <w:kern w:val="0"/>
          <w:sz w:val="24"/>
        </w:rPr>
      </w:pPr>
      <w:r w:rsidRPr="00F00B77">
        <w:rPr>
          <w:kern w:val="0"/>
          <w:sz w:val="24"/>
        </w:rPr>
        <w:t>2</w:t>
      </w:r>
      <w:r w:rsidRPr="00F00B77">
        <w:rPr>
          <w:rFonts w:hAnsi="宋体"/>
          <w:kern w:val="0"/>
          <w:sz w:val="24"/>
        </w:rPr>
        <w:t>、基金托管人</w:t>
      </w:r>
    </w:p>
    <w:p w14:paraId="4E547706"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名称：中信建投证券股份有限公司</w:t>
      </w:r>
    </w:p>
    <w:p w14:paraId="1966F554"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住所：北京市朝阳区安立路</w:t>
      </w:r>
      <w:r w:rsidRPr="00F00B77">
        <w:rPr>
          <w:rFonts w:hint="eastAsia"/>
          <w:kern w:val="0"/>
          <w:sz w:val="24"/>
        </w:rPr>
        <w:t>66</w:t>
      </w:r>
      <w:r w:rsidRPr="00F00B77">
        <w:rPr>
          <w:rFonts w:hint="eastAsia"/>
          <w:kern w:val="0"/>
          <w:sz w:val="24"/>
        </w:rPr>
        <w:t>号</w:t>
      </w:r>
      <w:r w:rsidRPr="00F00B77">
        <w:rPr>
          <w:rFonts w:hint="eastAsia"/>
          <w:kern w:val="0"/>
          <w:sz w:val="24"/>
        </w:rPr>
        <w:t>4</w:t>
      </w:r>
      <w:r w:rsidRPr="00F00B77">
        <w:rPr>
          <w:rFonts w:hint="eastAsia"/>
          <w:kern w:val="0"/>
          <w:sz w:val="24"/>
        </w:rPr>
        <w:t>号楼</w:t>
      </w:r>
    </w:p>
    <w:p w14:paraId="1DDE4A52"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法定代表人：王常青</w:t>
      </w:r>
    </w:p>
    <w:p w14:paraId="73D5E51B"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成立日期：</w:t>
      </w:r>
      <w:r w:rsidRPr="00F00B77">
        <w:rPr>
          <w:rFonts w:hint="eastAsia"/>
          <w:kern w:val="0"/>
          <w:sz w:val="24"/>
        </w:rPr>
        <w:t>2005</w:t>
      </w:r>
      <w:r w:rsidRPr="00F00B77">
        <w:rPr>
          <w:rFonts w:hint="eastAsia"/>
          <w:kern w:val="0"/>
          <w:sz w:val="24"/>
        </w:rPr>
        <w:t>年</w:t>
      </w:r>
      <w:r w:rsidRPr="00F00B77">
        <w:rPr>
          <w:rFonts w:hint="eastAsia"/>
          <w:kern w:val="0"/>
          <w:sz w:val="24"/>
        </w:rPr>
        <w:t>11</w:t>
      </w:r>
      <w:r w:rsidRPr="00F00B77">
        <w:rPr>
          <w:rFonts w:hint="eastAsia"/>
          <w:kern w:val="0"/>
          <w:sz w:val="24"/>
        </w:rPr>
        <w:t>月</w:t>
      </w:r>
      <w:r w:rsidRPr="00F00B77">
        <w:rPr>
          <w:rFonts w:hint="eastAsia"/>
          <w:kern w:val="0"/>
          <w:sz w:val="24"/>
        </w:rPr>
        <w:t>2</w:t>
      </w:r>
      <w:r w:rsidRPr="00F00B77">
        <w:rPr>
          <w:rFonts w:hint="eastAsia"/>
          <w:kern w:val="0"/>
          <w:sz w:val="24"/>
        </w:rPr>
        <w:t>日</w:t>
      </w:r>
    </w:p>
    <w:p w14:paraId="6FC33B49"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批准设立机关和批准设立文号：中国证监会证监机构字</w:t>
      </w:r>
      <w:r w:rsidRPr="00F00B77">
        <w:rPr>
          <w:rFonts w:hint="eastAsia"/>
          <w:kern w:val="0"/>
          <w:sz w:val="24"/>
        </w:rPr>
        <w:t>[2005]112</w:t>
      </w:r>
      <w:r w:rsidRPr="00F00B77">
        <w:rPr>
          <w:rFonts w:hint="eastAsia"/>
          <w:kern w:val="0"/>
          <w:sz w:val="24"/>
        </w:rPr>
        <w:t>号</w:t>
      </w:r>
    </w:p>
    <w:p w14:paraId="2FC650BD"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基金托管业务批准文号：中国证监会证监许可</w:t>
      </w:r>
      <w:r w:rsidRPr="00F00B77">
        <w:rPr>
          <w:rFonts w:hint="eastAsia"/>
          <w:kern w:val="0"/>
          <w:sz w:val="24"/>
        </w:rPr>
        <w:t>[2015]219</w:t>
      </w:r>
      <w:r w:rsidRPr="00F00B77">
        <w:rPr>
          <w:rFonts w:hint="eastAsia"/>
          <w:kern w:val="0"/>
          <w:sz w:val="24"/>
        </w:rPr>
        <w:t>号</w:t>
      </w:r>
    </w:p>
    <w:p w14:paraId="661427D1"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组织形式：股份有限公司</w:t>
      </w:r>
    </w:p>
    <w:p w14:paraId="2E486FDE"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注册资本：人民币陆拾壹亿元整</w:t>
      </w:r>
    </w:p>
    <w:p w14:paraId="2BF8638D"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存续期间：持续经营</w:t>
      </w:r>
    </w:p>
    <w:p w14:paraId="730FF222"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经营范围：证券经纪；证券投资咨询；与证券交易、证券投资活动有关的财务顾问；证券承销与保荐；证券自营；证券资产管理；证券投资基金代销；为期货公司提供中间介绍业务；融资融券业务；代销金融产品业务；保险兼业代理业务</w:t>
      </w:r>
      <w:r w:rsidRPr="00F00B77">
        <w:rPr>
          <w:rFonts w:hint="eastAsia"/>
          <w:kern w:val="0"/>
          <w:sz w:val="24"/>
        </w:rPr>
        <w:t>(</w:t>
      </w:r>
      <w:r w:rsidRPr="00F00B77">
        <w:rPr>
          <w:rFonts w:hint="eastAsia"/>
          <w:kern w:val="0"/>
          <w:sz w:val="24"/>
        </w:rPr>
        <w:t>保险兼业代理业务许可证有效期至</w:t>
      </w:r>
      <w:r w:rsidRPr="00F00B77">
        <w:rPr>
          <w:rFonts w:hint="eastAsia"/>
          <w:kern w:val="0"/>
          <w:sz w:val="24"/>
        </w:rPr>
        <w:t>2016</w:t>
      </w:r>
      <w:r w:rsidRPr="00F00B77">
        <w:rPr>
          <w:rFonts w:hint="eastAsia"/>
          <w:kern w:val="0"/>
          <w:sz w:val="24"/>
        </w:rPr>
        <w:t>年</w:t>
      </w:r>
      <w:r w:rsidRPr="00F00B77">
        <w:rPr>
          <w:rFonts w:hint="eastAsia"/>
          <w:kern w:val="0"/>
          <w:sz w:val="24"/>
        </w:rPr>
        <w:t>7</w:t>
      </w:r>
      <w:r w:rsidRPr="00F00B77">
        <w:rPr>
          <w:rFonts w:hint="eastAsia"/>
          <w:kern w:val="0"/>
          <w:sz w:val="24"/>
        </w:rPr>
        <w:t>月</w:t>
      </w:r>
      <w:r w:rsidRPr="00F00B77">
        <w:rPr>
          <w:rFonts w:hint="eastAsia"/>
          <w:kern w:val="0"/>
          <w:sz w:val="24"/>
        </w:rPr>
        <w:t>08</w:t>
      </w:r>
      <w:r w:rsidRPr="00F00B77">
        <w:rPr>
          <w:rFonts w:hint="eastAsia"/>
          <w:kern w:val="0"/>
          <w:sz w:val="24"/>
        </w:rPr>
        <w:t>日</w:t>
      </w:r>
      <w:r w:rsidRPr="00F00B77">
        <w:rPr>
          <w:rFonts w:hint="eastAsia"/>
          <w:kern w:val="0"/>
          <w:sz w:val="24"/>
        </w:rPr>
        <w:t>)</w:t>
      </w:r>
      <w:r w:rsidRPr="00F00B77">
        <w:rPr>
          <w:rFonts w:hint="eastAsia"/>
          <w:kern w:val="0"/>
          <w:sz w:val="24"/>
        </w:rPr>
        <w:t>；股票期权做市业务；证券投资基金托管业务。</w:t>
      </w:r>
    </w:p>
    <w:p w14:paraId="45C9015B"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（二）基金托管人对基金管理人的业务监督和核查</w:t>
      </w:r>
    </w:p>
    <w:p w14:paraId="4B45D567" w14:textId="77777777" w:rsidR="00084DB4" w:rsidRPr="00F00B77" w:rsidRDefault="00084DB4">
      <w:pPr>
        <w:adjustRightInd w:val="0"/>
        <w:snapToGrid w:val="0"/>
        <w:spacing w:line="360" w:lineRule="auto"/>
        <w:ind w:firstLine="420"/>
        <w:rPr>
          <w:szCs w:val="24"/>
        </w:rPr>
      </w:pPr>
      <w:r w:rsidRPr="00F00B77">
        <w:rPr>
          <w:sz w:val="24"/>
          <w:szCs w:val="24"/>
        </w:rPr>
        <w:t>1</w:t>
      </w:r>
      <w:r w:rsidRPr="00F00B77">
        <w:rPr>
          <w:rFonts w:hAnsi="宋体"/>
          <w:sz w:val="24"/>
          <w:szCs w:val="24"/>
        </w:rPr>
        <w:t>、</w:t>
      </w:r>
      <w:r w:rsidRPr="00F00B77">
        <w:rPr>
          <w:rFonts w:hAnsi="宋体" w:hint="eastAsia"/>
          <w:sz w:val="24"/>
          <w:szCs w:val="24"/>
        </w:rPr>
        <w:t>基金托管人对基金管理人的投资行为行使监督权</w:t>
      </w:r>
    </w:p>
    <w:p w14:paraId="5118A5FC"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w:t>
      </w:r>
      <w:r w:rsidRPr="00F00B77">
        <w:rPr>
          <w:rFonts w:hAnsi="宋体" w:hint="eastAsia"/>
          <w:sz w:val="24"/>
          <w:szCs w:val="24"/>
        </w:rPr>
        <w:t>1</w:t>
      </w:r>
      <w:r w:rsidRPr="00F00B77">
        <w:rPr>
          <w:rFonts w:hAnsi="宋体" w:hint="eastAsia"/>
          <w:sz w:val="24"/>
          <w:szCs w:val="24"/>
        </w:rPr>
        <w:t>）基金托管人根据有关法律法规的规定和基金合同的约定，对下述基金投资范围、投资对象进行监督。本基金将投资于以下金融工具：</w:t>
      </w:r>
    </w:p>
    <w:p w14:paraId="39A49F05"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本基金的投资范围为具有良好流动性的金融工具，包括现金，期限在</w:t>
      </w:r>
      <w:r w:rsidRPr="00F00B77">
        <w:rPr>
          <w:rFonts w:hAnsi="宋体" w:hint="eastAsia"/>
          <w:sz w:val="24"/>
          <w:szCs w:val="24"/>
        </w:rPr>
        <w:t>1</w:t>
      </w:r>
      <w:r w:rsidRPr="00F00B77">
        <w:rPr>
          <w:rFonts w:hAnsi="宋体" w:hint="eastAsia"/>
          <w:sz w:val="24"/>
          <w:szCs w:val="24"/>
        </w:rPr>
        <w:t>年以内（含</w:t>
      </w:r>
      <w:r w:rsidRPr="00F00B77">
        <w:rPr>
          <w:rFonts w:hAnsi="宋体" w:hint="eastAsia"/>
          <w:sz w:val="24"/>
          <w:szCs w:val="24"/>
        </w:rPr>
        <w:t>1</w:t>
      </w:r>
      <w:r w:rsidRPr="00F00B77">
        <w:rPr>
          <w:rFonts w:hAnsi="宋体" w:hint="eastAsia"/>
          <w:sz w:val="24"/>
          <w:szCs w:val="24"/>
        </w:rPr>
        <w:t>年）的银行存款、债券回购、中央银行票据、同业存单，剩余期限在</w:t>
      </w:r>
      <w:r w:rsidRPr="00F00B77">
        <w:rPr>
          <w:rFonts w:hAnsi="宋体" w:hint="eastAsia"/>
          <w:sz w:val="24"/>
          <w:szCs w:val="24"/>
        </w:rPr>
        <w:t>397</w:t>
      </w:r>
      <w:r w:rsidRPr="00F00B77">
        <w:rPr>
          <w:rFonts w:hAnsi="宋体" w:hint="eastAsia"/>
          <w:sz w:val="24"/>
          <w:szCs w:val="24"/>
        </w:rPr>
        <w:t>天以内（含</w:t>
      </w:r>
      <w:r w:rsidRPr="00F00B77">
        <w:rPr>
          <w:rFonts w:hAnsi="宋体" w:hint="eastAsia"/>
          <w:sz w:val="24"/>
          <w:szCs w:val="24"/>
        </w:rPr>
        <w:t>397</w:t>
      </w:r>
      <w:r w:rsidRPr="00F00B77">
        <w:rPr>
          <w:rFonts w:hAnsi="宋体" w:hint="eastAsia"/>
          <w:sz w:val="24"/>
          <w:szCs w:val="24"/>
        </w:rPr>
        <w:t>天）的债券、非金融企业债务融资工具、资产支持证券，中国证监会、中国人民银行认可的其他具有良好流动性的货币市场工具。</w:t>
      </w:r>
    </w:p>
    <w:p w14:paraId="7B7560EC"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如法律法规或监管机构以后允许货币市场基金投资其他金融工具，基金管理人在履行适当程序后，可以将其纳入投资范围，其投资比例遵循届时有效法律法规或相关规定。</w:t>
      </w:r>
    </w:p>
    <w:p w14:paraId="6114435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）基金托管人根据有关法律法规的规定及基金合同的约定对下述基金投融资比例进行监督：</w:t>
      </w:r>
    </w:p>
    <w:p w14:paraId="6167E89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）本基金不得投资于以下金融工具：</w:t>
      </w:r>
    </w:p>
    <w:p w14:paraId="6A54064F"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a</w:t>
      </w:r>
      <w:r w:rsidRPr="00F00B77">
        <w:rPr>
          <w:rFonts w:hint="eastAsia"/>
          <w:sz w:val="24"/>
          <w:szCs w:val="24"/>
        </w:rPr>
        <w:t>）股票；</w:t>
      </w:r>
    </w:p>
    <w:p w14:paraId="3482E9C7"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b</w:t>
      </w:r>
      <w:r w:rsidRPr="00F00B77">
        <w:rPr>
          <w:rFonts w:hint="eastAsia"/>
          <w:sz w:val="24"/>
          <w:szCs w:val="24"/>
        </w:rPr>
        <w:t>）可转换债券、可交换债券；</w:t>
      </w:r>
    </w:p>
    <w:p w14:paraId="1D4F5269"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c</w:t>
      </w:r>
      <w:r w:rsidRPr="00F00B77">
        <w:rPr>
          <w:rFonts w:hint="eastAsia"/>
          <w:sz w:val="24"/>
          <w:szCs w:val="24"/>
        </w:rPr>
        <w:t>）以定期存款利率为基准利率的浮动利率债券，已进入最后一个利率调整期的除外；</w:t>
      </w:r>
    </w:p>
    <w:p w14:paraId="071934D4"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d</w:t>
      </w:r>
      <w:r w:rsidRPr="00F00B77">
        <w:rPr>
          <w:rFonts w:hint="eastAsia"/>
          <w:sz w:val="24"/>
          <w:szCs w:val="24"/>
        </w:rPr>
        <w:t>）信用等级在</w:t>
      </w:r>
      <w:r w:rsidRPr="00F00B77">
        <w:rPr>
          <w:rFonts w:hint="eastAsia"/>
          <w:sz w:val="24"/>
          <w:szCs w:val="24"/>
        </w:rPr>
        <w:t>AA+</w:t>
      </w:r>
      <w:r w:rsidRPr="00F00B77">
        <w:rPr>
          <w:rFonts w:hint="eastAsia"/>
          <w:sz w:val="24"/>
          <w:szCs w:val="24"/>
        </w:rPr>
        <w:t>以下的债券与非金融企业债务融资工具；</w:t>
      </w:r>
    </w:p>
    <w:p w14:paraId="6D0C62B5"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e</w:t>
      </w:r>
      <w:r w:rsidRPr="00F00B77">
        <w:rPr>
          <w:rFonts w:hint="eastAsia"/>
          <w:sz w:val="24"/>
          <w:szCs w:val="24"/>
        </w:rPr>
        <w:t>）中国证监会、中国人民银行禁止投资的其他金融工具。</w:t>
      </w:r>
    </w:p>
    <w:p w14:paraId="0F33B4B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法律法规或监管部门取消上述限制，如适用于本基金，基金管理人在履行适当程序后，则本基金投资不再受相关限制。</w:t>
      </w:r>
    </w:p>
    <w:p w14:paraId="4DA886C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）组合限制</w:t>
      </w:r>
    </w:p>
    <w:p w14:paraId="55485AC3"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a</w:t>
      </w:r>
      <w:r w:rsidRPr="00F00B77">
        <w:rPr>
          <w:rFonts w:hint="eastAsia"/>
          <w:sz w:val="24"/>
          <w:szCs w:val="24"/>
        </w:rPr>
        <w:t>）本基金投资组合的平均剩余期限在每个交易日均不得超过</w:t>
      </w:r>
      <w:r w:rsidRPr="00F00B77">
        <w:rPr>
          <w:rFonts w:hint="eastAsia"/>
          <w:sz w:val="24"/>
          <w:szCs w:val="24"/>
        </w:rPr>
        <w:t>120</w:t>
      </w:r>
      <w:r w:rsidRPr="00F00B77">
        <w:rPr>
          <w:rFonts w:hint="eastAsia"/>
          <w:sz w:val="24"/>
          <w:szCs w:val="24"/>
        </w:rPr>
        <w:t>天，平均剩余存续期在每个交易日均不得超过</w:t>
      </w:r>
      <w:r w:rsidRPr="00F00B77">
        <w:rPr>
          <w:rFonts w:hint="eastAsia"/>
          <w:sz w:val="24"/>
          <w:szCs w:val="24"/>
        </w:rPr>
        <w:t>240</w:t>
      </w:r>
      <w:r w:rsidRPr="00F00B77">
        <w:rPr>
          <w:rFonts w:hint="eastAsia"/>
          <w:sz w:val="24"/>
          <w:szCs w:val="24"/>
        </w:rPr>
        <w:t>天；</w:t>
      </w:r>
    </w:p>
    <w:p w14:paraId="53CEC11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b</w:t>
      </w:r>
      <w:r w:rsidRPr="00F00B77">
        <w:rPr>
          <w:rFonts w:hint="eastAsia"/>
          <w:sz w:val="24"/>
          <w:szCs w:val="24"/>
        </w:rPr>
        <w:t>）本基金投资于现金、国债、中央银行票据、政策性金融债券占基金资产净值的比例合计不得低于</w:t>
      </w:r>
      <w:r w:rsidRPr="00F00B77">
        <w:rPr>
          <w:rFonts w:hint="eastAsia"/>
          <w:sz w:val="24"/>
          <w:szCs w:val="24"/>
        </w:rPr>
        <w:t>5%</w:t>
      </w:r>
      <w:r w:rsidRPr="00F00B77">
        <w:rPr>
          <w:rFonts w:hint="eastAsia"/>
          <w:sz w:val="24"/>
          <w:szCs w:val="24"/>
        </w:rPr>
        <w:t>；</w:t>
      </w:r>
    </w:p>
    <w:p w14:paraId="3DD21F1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c</w:t>
      </w:r>
      <w:r w:rsidRPr="00F00B77">
        <w:rPr>
          <w:rFonts w:hint="eastAsia"/>
          <w:sz w:val="24"/>
          <w:szCs w:val="24"/>
        </w:rPr>
        <w:t>）本基金投资于现金、国债、中央银行票据、政策性金融债券以及五个交易日内到期的其他金融工具占基金资产净值的比例合计不得低于</w:t>
      </w:r>
      <w:r w:rsidRPr="00F00B77">
        <w:rPr>
          <w:rFonts w:hint="eastAsia"/>
          <w:sz w:val="24"/>
          <w:szCs w:val="24"/>
        </w:rPr>
        <w:t>10%</w:t>
      </w:r>
      <w:r w:rsidRPr="00F00B77">
        <w:rPr>
          <w:rFonts w:hint="eastAsia"/>
          <w:sz w:val="24"/>
          <w:szCs w:val="24"/>
        </w:rPr>
        <w:t>；</w:t>
      </w:r>
    </w:p>
    <w:p w14:paraId="40FF94BD"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d</w:t>
      </w:r>
      <w:r w:rsidRPr="00F00B77">
        <w:rPr>
          <w:rFonts w:hint="eastAsia"/>
          <w:sz w:val="24"/>
          <w:szCs w:val="24"/>
        </w:rPr>
        <w:t>）本基金投资于到期日在</w:t>
      </w:r>
      <w:r w:rsidRPr="00F00B77">
        <w:rPr>
          <w:rFonts w:hint="eastAsia"/>
          <w:sz w:val="24"/>
          <w:szCs w:val="24"/>
        </w:rPr>
        <w:t xml:space="preserve">10 </w:t>
      </w:r>
      <w:r w:rsidRPr="00F00B77">
        <w:rPr>
          <w:rFonts w:hint="eastAsia"/>
          <w:sz w:val="24"/>
          <w:szCs w:val="24"/>
        </w:rPr>
        <w:t>个交易日以上的逆回购、银行定期存款等流动性受限资产投资占基金资产净值的比例合计不得超过</w:t>
      </w:r>
      <w:r w:rsidRPr="00F00B77">
        <w:rPr>
          <w:rFonts w:hint="eastAsia"/>
          <w:sz w:val="24"/>
          <w:szCs w:val="24"/>
        </w:rPr>
        <w:t>30%</w:t>
      </w:r>
      <w:r w:rsidRPr="00F00B77">
        <w:rPr>
          <w:rFonts w:hint="eastAsia"/>
          <w:sz w:val="24"/>
          <w:szCs w:val="24"/>
        </w:rPr>
        <w:t>；</w:t>
      </w:r>
    </w:p>
    <w:p w14:paraId="27F9F94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e</w:t>
      </w:r>
      <w:r w:rsidRPr="00F00B77">
        <w:rPr>
          <w:rFonts w:hint="eastAsia"/>
          <w:sz w:val="24"/>
          <w:szCs w:val="24"/>
        </w:rPr>
        <w:t>）除发生巨额赎回、连续</w:t>
      </w:r>
      <w:r w:rsidRPr="00F00B77">
        <w:rPr>
          <w:rFonts w:hint="eastAsia"/>
          <w:sz w:val="24"/>
          <w:szCs w:val="24"/>
        </w:rPr>
        <w:t xml:space="preserve">3 </w:t>
      </w:r>
      <w:r w:rsidRPr="00F00B77">
        <w:rPr>
          <w:rFonts w:hint="eastAsia"/>
          <w:sz w:val="24"/>
          <w:szCs w:val="24"/>
        </w:rPr>
        <w:t>个交易日累计赎回</w:t>
      </w:r>
      <w:r w:rsidRPr="00F00B77">
        <w:rPr>
          <w:rFonts w:hint="eastAsia"/>
          <w:sz w:val="24"/>
          <w:szCs w:val="24"/>
        </w:rPr>
        <w:t>20%</w:t>
      </w:r>
      <w:r w:rsidRPr="00F00B77">
        <w:rPr>
          <w:rFonts w:hint="eastAsia"/>
          <w:sz w:val="24"/>
          <w:szCs w:val="24"/>
        </w:rPr>
        <w:t>以上或者连续</w:t>
      </w:r>
      <w:r w:rsidRPr="00F00B77">
        <w:rPr>
          <w:rFonts w:hint="eastAsia"/>
          <w:sz w:val="24"/>
          <w:szCs w:val="24"/>
        </w:rPr>
        <w:t xml:space="preserve">5 </w:t>
      </w:r>
      <w:r w:rsidRPr="00F00B77">
        <w:rPr>
          <w:rFonts w:hint="eastAsia"/>
          <w:sz w:val="24"/>
          <w:szCs w:val="24"/>
        </w:rPr>
        <w:t>个交易日累计赎回</w:t>
      </w:r>
      <w:r w:rsidRPr="00F00B77">
        <w:rPr>
          <w:rFonts w:hint="eastAsia"/>
          <w:sz w:val="24"/>
          <w:szCs w:val="24"/>
        </w:rPr>
        <w:t>30%</w:t>
      </w:r>
      <w:r w:rsidRPr="00F00B77">
        <w:rPr>
          <w:rFonts w:hint="eastAsia"/>
          <w:sz w:val="24"/>
          <w:szCs w:val="24"/>
        </w:rPr>
        <w:t>以上的情形外，本基金债券正回购的资金余额占基金资产净值的比例不得超过</w:t>
      </w:r>
      <w:r w:rsidRPr="00F00B77">
        <w:rPr>
          <w:rFonts w:hint="eastAsia"/>
          <w:sz w:val="24"/>
          <w:szCs w:val="24"/>
        </w:rPr>
        <w:t>20%</w:t>
      </w:r>
      <w:r w:rsidRPr="00F00B77">
        <w:rPr>
          <w:rFonts w:hint="eastAsia"/>
          <w:sz w:val="24"/>
          <w:szCs w:val="24"/>
        </w:rPr>
        <w:t>；</w:t>
      </w:r>
    </w:p>
    <w:p w14:paraId="3BDC810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f</w:t>
      </w:r>
      <w:r w:rsidRPr="00F00B77">
        <w:rPr>
          <w:rFonts w:hint="eastAsia"/>
          <w:sz w:val="24"/>
          <w:szCs w:val="24"/>
        </w:rPr>
        <w:t>）本基金投资于同一机构发行的债券、非金融企业债务融资工具及其作为原始权益人的资产支持证券占基金资产净值的比例合计不得超过</w:t>
      </w:r>
      <w:r w:rsidRPr="00F00B77">
        <w:rPr>
          <w:rFonts w:hint="eastAsia"/>
          <w:sz w:val="24"/>
          <w:szCs w:val="24"/>
        </w:rPr>
        <w:t>10%</w:t>
      </w:r>
      <w:r w:rsidRPr="00F00B77">
        <w:rPr>
          <w:rFonts w:hint="eastAsia"/>
          <w:sz w:val="24"/>
          <w:szCs w:val="24"/>
        </w:rPr>
        <w:t>，国债、中央银行票据、政策性金融债券除外；</w:t>
      </w:r>
    </w:p>
    <w:p w14:paraId="154F469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g</w:t>
      </w:r>
      <w:r w:rsidRPr="00F00B77">
        <w:rPr>
          <w:rFonts w:hint="eastAsia"/>
          <w:sz w:val="24"/>
          <w:szCs w:val="24"/>
        </w:rPr>
        <w:t>）本基金管理人管理的全部基金持有一家公司发行的证券，不超过该证券的</w:t>
      </w:r>
      <w:r w:rsidRPr="00F00B77">
        <w:rPr>
          <w:rFonts w:hint="eastAsia"/>
          <w:sz w:val="24"/>
          <w:szCs w:val="24"/>
        </w:rPr>
        <w:t>10%</w:t>
      </w:r>
      <w:r w:rsidRPr="00F00B77">
        <w:rPr>
          <w:rFonts w:hint="eastAsia"/>
          <w:sz w:val="24"/>
          <w:szCs w:val="24"/>
        </w:rPr>
        <w:t>；</w:t>
      </w:r>
    </w:p>
    <w:p w14:paraId="1D5395D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h</w:t>
      </w:r>
      <w:r w:rsidRPr="00F00B77">
        <w:rPr>
          <w:rFonts w:hint="eastAsia"/>
          <w:sz w:val="24"/>
          <w:szCs w:val="24"/>
        </w:rPr>
        <w:t>）本基金投资于有固定期限银行存款的比例，不得超过基金资产净值的</w:t>
      </w:r>
      <w:r w:rsidRPr="00F00B77">
        <w:rPr>
          <w:rFonts w:hint="eastAsia"/>
          <w:sz w:val="24"/>
          <w:szCs w:val="24"/>
        </w:rPr>
        <w:t>30%</w:t>
      </w:r>
      <w:r w:rsidRPr="00F00B77">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F00B77">
        <w:rPr>
          <w:rFonts w:hint="eastAsia"/>
          <w:sz w:val="24"/>
          <w:szCs w:val="24"/>
        </w:rPr>
        <w:t>20%</w:t>
      </w:r>
      <w:r w:rsidRPr="00F00B77">
        <w:rPr>
          <w:rFonts w:hint="eastAsia"/>
          <w:sz w:val="24"/>
          <w:szCs w:val="24"/>
        </w:rPr>
        <w:t>，投资于不具有基金托管人资格的同一商业银行的银行存款、同业存单占基金资产净值的比例合计不得超过</w:t>
      </w:r>
      <w:r w:rsidRPr="00F00B77">
        <w:rPr>
          <w:rFonts w:hint="eastAsia"/>
          <w:sz w:val="24"/>
          <w:szCs w:val="24"/>
        </w:rPr>
        <w:t>5%</w:t>
      </w:r>
      <w:r w:rsidRPr="00F00B77">
        <w:rPr>
          <w:rFonts w:hint="eastAsia"/>
          <w:sz w:val="24"/>
          <w:szCs w:val="24"/>
        </w:rPr>
        <w:t>；</w:t>
      </w:r>
    </w:p>
    <w:p w14:paraId="2AA7955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i</w:t>
      </w:r>
      <w:r w:rsidRPr="00F00B77">
        <w:rPr>
          <w:rFonts w:hint="eastAsia"/>
          <w:sz w:val="24"/>
          <w:szCs w:val="24"/>
        </w:rPr>
        <w:t>）本基金持有的全部资产支持证券，其市值不得超过基金资产净值的</w:t>
      </w:r>
      <w:r w:rsidRPr="00F00B77">
        <w:rPr>
          <w:rFonts w:hint="eastAsia"/>
          <w:sz w:val="24"/>
          <w:szCs w:val="24"/>
        </w:rPr>
        <w:t>20%</w:t>
      </w:r>
      <w:r w:rsidRPr="00F00B77">
        <w:rPr>
          <w:rFonts w:hint="eastAsia"/>
          <w:sz w:val="24"/>
          <w:szCs w:val="24"/>
        </w:rPr>
        <w:t>，中国证监会规定的特殊品种除外；本基金持有的同一（指同一信用级别）资产支持证券的比例，不得超过该资产支持证券规模的</w:t>
      </w:r>
      <w:r w:rsidRPr="00F00B77">
        <w:rPr>
          <w:rFonts w:hint="eastAsia"/>
          <w:sz w:val="24"/>
          <w:szCs w:val="24"/>
        </w:rPr>
        <w:t>10%</w:t>
      </w:r>
      <w:r w:rsidRPr="00F00B77">
        <w:rPr>
          <w:rFonts w:hint="eastAsia"/>
          <w:sz w:val="24"/>
          <w:szCs w:val="24"/>
        </w:rPr>
        <w:t>；本基金管理人管理的全部基金投资于同一原始权益人的各类资产支持证券，不得超过其各类资产支持证券合计规模的</w:t>
      </w:r>
      <w:r w:rsidRPr="00F00B77">
        <w:rPr>
          <w:rFonts w:hint="eastAsia"/>
          <w:sz w:val="24"/>
          <w:szCs w:val="24"/>
        </w:rPr>
        <w:t>10%</w:t>
      </w:r>
      <w:r w:rsidRPr="00F00B77">
        <w:rPr>
          <w:rFonts w:hint="eastAsia"/>
          <w:sz w:val="24"/>
          <w:szCs w:val="24"/>
        </w:rPr>
        <w:t>；本基金应投资于具有评级资质的资信评级机构进行持续信用评级，且信用评级不低于国内信用评级机构评定的</w:t>
      </w:r>
      <w:r w:rsidRPr="00F00B77">
        <w:rPr>
          <w:rFonts w:hint="eastAsia"/>
          <w:sz w:val="24"/>
          <w:szCs w:val="24"/>
        </w:rPr>
        <w:t>AAA</w:t>
      </w:r>
      <w:r w:rsidRPr="00F00B77">
        <w:rPr>
          <w:rFonts w:hint="eastAsia"/>
          <w:sz w:val="24"/>
          <w:szCs w:val="24"/>
        </w:rPr>
        <w:t>级或相当于</w:t>
      </w:r>
      <w:r w:rsidRPr="00F00B77">
        <w:rPr>
          <w:rFonts w:hint="eastAsia"/>
          <w:sz w:val="24"/>
          <w:szCs w:val="24"/>
        </w:rPr>
        <w:t>AAA</w:t>
      </w:r>
      <w:r w:rsidRPr="00F00B77">
        <w:rPr>
          <w:rFonts w:hint="eastAsia"/>
          <w:sz w:val="24"/>
          <w:szCs w:val="24"/>
        </w:rPr>
        <w:t>级的信用级别的资产支持证券。基金持有资产支持证券期间，如果其信用等级下降、不再符合投资标准，应在评级报告发布之日起</w:t>
      </w:r>
      <w:r w:rsidRPr="00F00B77">
        <w:rPr>
          <w:rFonts w:hint="eastAsia"/>
          <w:sz w:val="24"/>
          <w:szCs w:val="24"/>
        </w:rPr>
        <w:t xml:space="preserve">3 </w:t>
      </w:r>
      <w:r w:rsidRPr="00F00B77">
        <w:rPr>
          <w:rFonts w:hint="eastAsia"/>
          <w:sz w:val="24"/>
          <w:szCs w:val="24"/>
        </w:rPr>
        <w:t>个月内予以全部卖出；</w:t>
      </w:r>
    </w:p>
    <w:p w14:paraId="7A1A2F8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j</w:t>
      </w:r>
      <w:r w:rsidRPr="00F00B77">
        <w:rPr>
          <w:rFonts w:hint="eastAsia"/>
          <w:sz w:val="24"/>
          <w:szCs w:val="24"/>
        </w:rPr>
        <w:t>）本基金在全国银行间同业市场的债券回购最长期限为</w:t>
      </w:r>
      <w:r w:rsidRPr="00F00B77">
        <w:rPr>
          <w:rFonts w:hint="eastAsia"/>
          <w:sz w:val="24"/>
          <w:szCs w:val="24"/>
        </w:rPr>
        <w:t>1</w:t>
      </w:r>
      <w:r w:rsidRPr="00F00B77">
        <w:rPr>
          <w:rFonts w:hint="eastAsia"/>
          <w:sz w:val="24"/>
          <w:szCs w:val="24"/>
        </w:rPr>
        <w:t>年，债券回购到期后不得展期；</w:t>
      </w:r>
    </w:p>
    <w:p w14:paraId="599F56D1"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k</w:t>
      </w:r>
      <w:r w:rsidRPr="00F00B77">
        <w:rPr>
          <w:rFonts w:hint="eastAsia"/>
          <w:sz w:val="24"/>
          <w:szCs w:val="24"/>
        </w:rPr>
        <w:t>）本基金的基金资产总值不得超过基金资产净值的</w:t>
      </w:r>
      <w:r w:rsidRPr="00F00B77">
        <w:rPr>
          <w:rFonts w:hint="eastAsia"/>
          <w:sz w:val="24"/>
          <w:szCs w:val="24"/>
        </w:rPr>
        <w:t>140%</w:t>
      </w:r>
      <w:r w:rsidRPr="00F00B77">
        <w:rPr>
          <w:rFonts w:hint="eastAsia"/>
          <w:sz w:val="24"/>
          <w:szCs w:val="24"/>
        </w:rPr>
        <w:t>；</w:t>
      </w:r>
    </w:p>
    <w:p w14:paraId="50D2700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l</w:t>
      </w:r>
      <w:r w:rsidRPr="00F00B77">
        <w:rPr>
          <w:rFonts w:hint="eastAsia"/>
          <w:sz w:val="24"/>
          <w:szCs w:val="24"/>
        </w:rPr>
        <w:t>）法律法规、中国证监会及中国人民银行规定的其他比例限制。</w:t>
      </w:r>
    </w:p>
    <w:p w14:paraId="3421CB03"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因证券市场波动、证券发行人合并或基金规模变动等基金管理人之外的因素致使基金投资比例不符合上述规定投资比例的，基金管理人应当在</w:t>
      </w:r>
      <w:r w:rsidRPr="00F00B77">
        <w:rPr>
          <w:rFonts w:hint="eastAsia"/>
          <w:sz w:val="24"/>
          <w:szCs w:val="24"/>
        </w:rPr>
        <w:t xml:space="preserve">10 </w:t>
      </w:r>
      <w:r w:rsidRPr="00F00B77">
        <w:rPr>
          <w:rFonts w:hint="eastAsia"/>
          <w:sz w:val="24"/>
          <w:szCs w:val="24"/>
        </w:rPr>
        <w:t>个交易日内进行调整，但中国证监会规定的特殊情形除外。法律法规另有规定的，从其规定。</w:t>
      </w:r>
    </w:p>
    <w:p w14:paraId="0F760A9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基金管理人应当自基金合同生效之日起</w:t>
      </w:r>
      <w:r w:rsidRPr="00F00B77">
        <w:rPr>
          <w:rFonts w:hint="eastAsia"/>
          <w:sz w:val="24"/>
          <w:szCs w:val="24"/>
        </w:rPr>
        <w:t xml:space="preserve">6 </w:t>
      </w:r>
      <w:r w:rsidRPr="00F00B77">
        <w:rPr>
          <w:rFonts w:hint="eastAsia"/>
          <w:sz w:val="24"/>
          <w:szCs w:val="24"/>
        </w:rPr>
        <w:t>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3E80BD7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法律法规对上述投资组合比例限制进行变更的，以变更后的规定为准。法律法规或监管部门取消上述限制，如适用于本基金，基金管理人在履行适当程序后，本基金投资不再受相关限制。</w:t>
      </w:r>
    </w:p>
    <w:p w14:paraId="6BF12EB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99C39A"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）基金托管人根据有关法律法规的规定及基金合同的约定对下述基金投资禁止行为进行监督：</w:t>
      </w:r>
    </w:p>
    <w:p w14:paraId="0BF1A98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根据法律法规的规定及基金合同的约定，本基金禁止从事下列行为：</w:t>
      </w:r>
    </w:p>
    <w:p w14:paraId="5100D3C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）承销证券；</w:t>
      </w:r>
    </w:p>
    <w:p w14:paraId="27C8E37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）违反规定向他人贷款或提供担保；</w:t>
      </w:r>
    </w:p>
    <w:p w14:paraId="60CC11B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）从事承担无限责任的投资；</w:t>
      </w:r>
    </w:p>
    <w:p w14:paraId="0FD09B7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4</w:t>
      </w:r>
      <w:r w:rsidRPr="00F00B77">
        <w:rPr>
          <w:rFonts w:hint="eastAsia"/>
          <w:sz w:val="24"/>
          <w:szCs w:val="24"/>
        </w:rPr>
        <w:t>）买卖其他基金份额，但是中国证监会另有规定的除外；</w:t>
      </w:r>
    </w:p>
    <w:p w14:paraId="50E99D2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5</w:t>
      </w:r>
      <w:r w:rsidRPr="00F00B77">
        <w:rPr>
          <w:rFonts w:hint="eastAsia"/>
          <w:sz w:val="24"/>
          <w:szCs w:val="24"/>
        </w:rPr>
        <w:t>）向其基金管理人、基金托管人出资；</w:t>
      </w:r>
    </w:p>
    <w:p w14:paraId="2D3E57A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6</w:t>
      </w:r>
      <w:r w:rsidRPr="00F00B77">
        <w:rPr>
          <w:rFonts w:hint="eastAsia"/>
          <w:sz w:val="24"/>
          <w:szCs w:val="24"/>
        </w:rPr>
        <w:t>）从事内幕交易、操纵证券交易价格及其他不正当的证券交易活动；</w:t>
      </w:r>
    </w:p>
    <w:p w14:paraId="4BB578E2"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7</w:t>
      </w:r>
      <w:r w:rsidRPr="00F00B77">
        <w:rPr>
          <w:rFonts w:hint="eastAsia"/>
          <w:sz w:val="24"/>
          <w:szCs w:val="24"/>
        </w:rPr>
        <w:t>）法律、行政法规和中国证监会规定禁止的其他活动。</w:t>
      </w:r>
    </w:p>
    <w:p w14:paraId="0BEB606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如法律、行政法规或监管部门取消上述禁止性规定，如适用于本基金，基金管理人在履行适当程序后，本基金可不受上述规定的限制。</w:t>
      </w:r>
    </w:p>
    <w:p w14:paraId="5FDF05C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）基金托管人依据有关法律法规的规定和基金合同的约定对于基金关联投资进行监督：</w:t>
      </w:r>
    </w:p>
    <w:p w14:paraId="09ED3E0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F00B77">
        <w:rPr>
          <w:rFonts w:hint="eastAsia"/>
          <w:sz w:val="24"/>
          <w:szCs w:val="24"/>
        </w:rPr>
        <w:t>2</w:t>
      </w:r>
      <w:r w:rsidRPr="00F00B77">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6D71FFEA"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9739EA1"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）基金托管人依据有关法律法规的规定和基金合同的约定对基金管理人参与银行间债券市场进行监督：</w:t>
      </w:r>
    </w:p>
    <w:p w14:paraId="7399729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）基金托管人依据有关法律法规的规定和基金合同的约定对于基金管理人参与银行间债券市场交易时面临的交易对手资信风险进行监督。</w:t>
      </w:r>
    </w:p>
    <w:p w14:paraId="60CEA8A1"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基金管理人应在基金投资运作之前向基金托管人提供符合法律法规及行业标准的银行间债券市场交易对手的名单。基金托管人在收到名单后</w:t>
      </w:r>
      <w:r w:rsidRPr="00F00B77">
        <w:rPr>
          <w:rFonts w:hint="eastAsia"/>
          <w:sz w:val="24"/>
          <w:szCs w:val="24"/>
        </w:rPr>
        <w:t>2</w:t>
      </w:r>
      <w:r w:rsidRPr="00F00B77">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F00B77">
        <w:rPr>
          <w:rFonts w:hint="eastAsia"/>
          <w:sz w:val="24"/>
          <w:szCs w:val="24"/>
        </w:rPr>
        <w:t>2</w:t>
      </w:r>
      <w:r w:rsidRPr="00F00B77">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328204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656BEE7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）基金管理人有责任控制交易对手的资信风险，按银行间债券市场的交易规则进行交易</w:t>
      </w:r>
      <w:r w:rsidR="001D5D5B" w:rsidRPr="00F00B77">
        <w:rPr>
          <w:rFonts w:hint="eastAsia"/>
          <w:sz w:val="24"/>
          <w:szCs w:val="24"/>
        </w:rPr>
        <w:t>，</w:t>
      </w:r>
      <w:r w:rsidRPr="00F00B77">
        <w:rPr>
          <w:rFonts w:hint="eastAsia"/>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8A7D93D"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）基金托管人根据有关法律法规的规定及基金合同的约定，对基金管理人选择存款银行进行监督：</w:t>
      </w:r>
    </w:p>
    <w:p w14:paraId="5A45F81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94B58C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本基金投资银行存款应符合如下规定：</w:t>
      </w:r>
    </w:p>
    <w:p w14:paraId="6A9AB77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）基金管理人、基金托管人应当与存款银行建立定期对账机制，确保基金银行存款业务账目及核算的真实、准确。</w:t>
      </w:r>
    </w:p>
    <w:p w14:paraId="4C7E42C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）基金托管人应加强对基金银行存款业务的监督与核查，严格审查、复核相关协议、账户资料、投资指令、存款证实书等有关文件，切实履行托管职责。</w:t>
      </w:r>
    </w:p>
    <w:p w14:paraId="22D3A1C2"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）基金管理人与基金托管人在开展基金存款业务时，应严格遵守《基金法》、《运作办法》等有关法律法规，以及国家有关账户管理、利率管理、支付结算等的各项规定。</w:t>
      </w:r>
    </w:p>
    <w:p w14:paraId="2BF1596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6500B583"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sz w:val="24"/>
          <w:szCs w:val="24"/>
        </w:rPr>
        <w:t>2</w:t>
      </w:r>
      <w:r w:rsidRPr="00F00B77">
        <w:rPr>
          <w:rFonts w:hAnsi="宋体"/>
          <w:sz w:val="24"/>
          <w:szCs w:val="24"/>
        </w:rPr>
        <w:t>、</w:t>
      </w:r>
      <w:r w:rsidRPr="00F00B77">
        <w:rPr>
          <w:rFonts w:hAnsi="宋体" w:hint="eastAsia"/>
          <w:sz w:val="24"/>
          <w:szCs w:val="24"/>
        </w:rPr>
        <w:t>基金托管人对基金管理人业务进行监督和核查的有关措施：</w:t>
      </w:r>
    </w:p>
    <w:p w14:paraId="674059A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1</w:t>
      </w:r>
      <w:r w:rsidRPr="00F00B77">
        <w:rPr>
          <w:rFonts w:hint="eastAsia"/>
          <w:sz w:val="24"/>
          <w:szCs w:val="24"/>
        </w:rPr>
        <w:t>）基金托管人应根据有关法律法规的规定及基金合同的约定，对各类基金份额的基金资产净值计算、每万份基金已实现收益和</w:t>
      </w:r>
      <w:r w:rsidRPr="00F00B77">
        <w:rPr>
          <w:rFonts w:hint="eastAsia"/>
          <w:sz w:val="24"/>
          <w:szCs w:val="24"/>
        </w:rPr>
        <w:t>7</w:t>
      </w:r>
      <w:r w:rsidRPr="00F00B77">
        <w:rPr>
          <w:rFonts w:hint="eastAsia"/>
          <w:sz w:val="24"/>
          <w:szCs w:val="24"/>
        </w:rPr>
        <w:t>日年化收益率计算、应收资金到账、基金费用开支及收入确定、基金收益分配、相关信息披露、基金宣传推介材料中登载基金业绩表现数据等进行监督和核查。</w:t>
      </w:r>
    </w:p>
    <w:p w14:paraId="2ABC2733"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F38869A"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069088D5"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）基金托管人发现基金管理人的投资指令违反</w:t>
      </w:r>
      <w:r w:rsidR="00667696" w:rsidRPr="00F00B77">
        <w:rPr>
          <w:rFonts w:hint="eastAsia"/>
          <w:sz w:val="24"/>
          <w:szCs w:val="24"/>
        </w:rPr>
        <w:t>相</w:t>
      </w:r>
      <w:r w:rsidRPr="00F00B77">
        <w:rPr>
          <w:rFonts w:hint="eastAsia"/>
          <w:sz w:val="24"/>
          <w:szCs w:val="24"/>
        </w:rPr>
        <w:t>关法律法规规定或者违反基金合同约定的，应当拒绝执行，立即通知基金管理人。</w:t>
      </w:r>
    </w:p>
    <w:p w14:paraId="71DE0068"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6CC29C5A"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00F50B3B"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7</w:t>
      </w:r>
      <w:r w:rsidRPr="00F00B77">
        <w:rPr>
          <w:rFonts w:hint="eastAsia"/>
          <w:sz w:val="24"/>
          <w:szCs w:val="24"/>
        </w:rPr>
        <w:t>）基金托管人发现基金管理人有重大违规行为，应立即报告中国证监会，同时通知基金管理人限期纠正。</w:t>
      </w:r>
    </w:p>
    <w:p w14:paraId="53BC8483"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8</w:t>
      </w:r>
      <w:r w:rsidRPr="00F00B77">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348AA2"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（三）基金管理人对基金托管人的业务核查</w:t>
      </w:r>
    </w:p>
    <w:p w14:paraId="34B71D2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管理人对基金托管人履行托管职责情况进行核查，核查事项包括但不限于基金托管人安全保管基金财产、开设基金财产的资金账户、证券账户等投资所需账户、复核基金管理人计算的各类基金份额的基金资产净值、每万份基金已实现收益和</w:t>
      </w:r>
      <w:r w:rsidRPr="00F00B77">
        <w:rPr>
          <w:rFonts w:hint="eastAsia"/>
          <w:sz w:val="24"/>
          <w:szCs w:val="24"/>
        </w:rPr>
        <w:t>7</w:t>
      </w:r>
      <w:r w:rsidRPr="00F00B77">
        <w:rPr>
          <w:rFonts w:hint="eastAsia"/>
          <w:sz w:val="24"/>
          <w:szCs w:val="24"/>
        </w:rPr>
        <w:t>日年化收益率、根据基金管理人指令办理清算交收、相关信息披露和监督基金投资运作等行为。</w:t>
      </w:r>
    </w:p>
    <w:p w14:paraId="6FE632C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D3672A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、基金管理人发现基金托管人有重大违规行为，应立即报告中国证监会，同时通知基金托管人限期纠正。</w:t>
      </w:r>
    </w:p>
    <w:p w14:paraId="5CD853D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4</w:t>
      </w:r>
      <w:r w:rsidRPr="00F00B77">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721558B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5</w:t>
      </w:r>
      <w:r w:rsidRPr="00F00B77">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7F936C1"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（四）基金财产</w:t>
      </w:r>
      <w:r w:rsidRPr="00F00B77">
        <w:rPr>
          <w:rFonts w:hAnsi="宋体" w:hint="eastAsia"/>
          <w:b/>
          <w:kern w:val="0"/>
          <w:sz w:val="24"/>
        </w:rPr>
        <w:t>的</w:t>
      </w:r>
      <w:r w:rsidRPr="00F00B77">
        <w:rPr>
          <w:rFonts w:hAnsi="宋体"/>
          <w:b/>
          <w:kern w:val="0"/>
          <w:sz w:val="24"/>
        </w:rPr>
        <w:t>保管</w:t>
      </w:r>
      <w:r w:rsidRPr="00F00B77">
        <w:rPr>
          <w:b/>
          <w:kern w:val="0"/>
          <w:sz w:val="24"/>
        </w:rPr>
        <w:t xml:space="preserve"> </w:t>
      </w:r>
    </w:p>
    <w:p w14:paraId="6EB64EAC"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、基金财产保管的原则</w:t>
      </w:r>
    </w:p>
    <w:p w14:paraId="62F4FE0A"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）基金财产应独立于基金管理人、基金托管人的固有财产。</w:t>
      </w:r>
    </w:p>
    <w:p w14:paraId="6BC2B2A7"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）基金托管人应安全保管基金财产</w:t>
      </w:r>
      <w:r w:rsidR="001D5D5B" w:rsidRPr="00F00B77">
        <w:rPr>
          <w:rFonts w:hint="eastAsia"/>
          <w:sz w:val="24"/>
        </w:rPr>
        <w:t>，基金托管人对实际交付并控制下的基金财产承担保管职责，对于非由基金托管人实际控制的财产不承担保管责任</w:t>
      </w:r>
      <w:r w:rsidRPr="00F00B77">
        <w:rPr>
          <w:rFonts w:hint="eastAsia"/>
          <w:sz w:val="24"/>
        </w:rPr>
        <w:t>。除依据法律法规规定、基金合同和本托管协议约定及基金管理人的正当指令外，不得自行运用、处分、分配基金的任何财产。</w:t>
      </w:r>
    </w:p>
    <w:p w14:paraId="274C958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）基金托管人按照规定开设基金财产的资金账户</w:t>
      </w:r>
      <w:r w:rsidR="00B03D02" w:rsidRPr="00F00B77">
        <w:rPr>
          <w:rFonts w:hint="eastAsia"/>
          <w:sz w:val="24"/>
        </w:rPr>
        <w:t>和</w:t>
      </w:r>
      <w:r w:rsidRPr="00F00B77">
        <w:rPr>
          <w:rFonts w:hint="eastAsia"/>
          <w:sz w:val="24"/>
        </w:rPr>
        <w:t>证券账户。</w:t>
      </w:r>
    </w:p>
    <w:p w14:paraId="4010FC0A"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4</w:t>
      </w:r>
      <w:r w:rsidRPr="00F00B77">
        <w:rPr>
          <w:rFonts w:hint="eastAsia"/>
          <w:sz w:val="24"/>
        </w:rPr>
        <w:t>）基金托管人对所托管的不同基金财产分别设置账户，与基金托管人的其他业务和其他基金的托管业务实行严格的分账管理，确保基金财产的完整与独立。</w:t>
      </w:r>
    </w:p>
    <w:p w14:paraId="66A1D49C"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5</w:t>
      </w:r>
      <w:r w:rsidRPr="00F00B77">
        <w:rPr>
          <w:rFonts w:hint="eastAsia"/>
          <w:sz w:val="24"/>
        </w:rPr>
        <w:t>）基金托管人根据基金管理人的指令，按照基金合同和本协议的约定保管基金财产，如有特殊情况双方可另行协商解决。</w:t>
      </w:r>
    </w:p>
    <w:p w14:paraId="696661BA"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6</w:t>
      </w:r>
      <w:r w:rsidRPr="00F00B77">
        <w:rPr>
          <w:rFonts w:hint="eastAsia"/>
          <w:sz w:val="24"/>
        </w:rPr>
        <w:t>）除依据法律法规和基金合同的规定外，基金托管人不得委托第三人托管基金资产。</w:t>
      </w:r>
    </w:p>
    <w:p w14:paraId="17BFFC7B" w14:textId="77777777" w:rsidR="00084DB4" w:rsidRPr="00F00B77" w:rsidRDefault="00084DB4">
      <w:pPr>
        <w:adjustRightInd w:val="0"/>
        <w:snapToGrid w:val="0"/>
        <w:spacing w:line="360" w:lineRule="auto"/>
        <w:ind w:firstLineChars="200" w:firstLine="480"/>
        <w:rPr>
          <w:sz w:val="24"/>
        </w:rPr>
      </w:pPr>
      <w:r w:rsidRPr="00F00B77">
        <w:rPr>
          <w:sz w:val="24"/>
        </w:rPr>
        <w:t>2</w:t>
      </w:r>
      <w:r w:rsidRPr="00F00B77">
        <w:rPr>
          <w:rFonts w:hAnsi="宋体"/>
          <w:sz w:val="24"/>
        </w:rPr>
        <w:t>、募集资金的验资</w:t>
      </w:r>
    </w:p>
    <w:p w14:paraId="3B45C157"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）基金募集期间募集认购款项应存于基金认购专用账户，该账户由基金管理人或基金管理人委托的登记机构开立并管理。</w:t>
      </w:r>
    </w:p>
    <w:p w14:paraId="7E170B75"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F00B77">
        <w:rPr>
          <w:rFonts w:hint="eastAsia"/>
          <w:sz w:val="24"/>
        </w:rPr>
        <w:t>2</w:t>
      </w:r>
      <w:r w:rsidRPr="00F00B77">
        <w:rPr>
          <w:rFonts w:hint="eastAsia"/>
          <w:sz w:val="24"/>
        </w:rPr>
        <w:t>名以上（含</w:t>
      </w:r>
      <w:r w:rsidRPr="00F00B77">
        <w:rPr>
          <w:rFonts w:hint="eastAsia"/>
          <w:sz w:val="24"/>
        </w:rPr>
        <w:t>2</w:t>
      </w:r>
      <w:r w:rsidRPr="00F00B77">
        <w:rPr>
          <w:rFonts w:hint="eastAsia"/>
          <w:sz w:val="24"/>
        </w:rPr>
        <w:t>名）中国注册会计师签字有效。</w:t>
      </w:r>
    </w:p>
    <w:p w14:paraId="551F7413"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）若基金募集期限届满，未能达到基金备案条件，由基金管理人按规定办理退款事宜，基金托管人应提供充分协助。</w:t>
      </w:r>
    </w:p>
    <w:p w14:paraId="32B4DE63" w14:textId="77777777" w:rsidR="00084DB4" w:rsidRPr="00F00B77" w:rsidRDefault="00084DB4">
      <w:pPr>
        <w:adjustRightInd w:val="0"/>
        <w:snapToGrid w:val="0"/>
        <w:spacing w:line="360" w:lineRule="auto"/>
        <w:ind w:firstLineChars="200" w:firstLine="480"/>
        <w:rPr>
          <w:rFonts w:hAnsi="宋体"/>
          <w:sz w:val="24"/>
        </w:rPr>
      </w:pPr>
      <w:r w:rsidRPr="00F00B77">
        <w:rPr>
          <w:sz w:val="24"/>
        </w:rPr>
        <w:t>3</w:t>
      </w:r>
      <w:r w:rsidRPr="00F00B77">
        <w:rPr>
          <w:rFonts w:hAnsi="宋体"/>
          <w:sz w:val="24"/>
        </w:rPr>
        <w:t>、</w:t>
      </w:r>
      <w:r w:rsidRPr="00F00B77">
        <w:rPr>
          <w:rFonts w:hAnsi="宋体" w:hint="eastAsia"/>
          <w:sz w:val="24"/>
        </w:rPr>
        <w:t>基金的银行账户的开立和管理</w:t>
      </w:r>
    </w:p>
    <w:p w14:paraId="5FC43B81"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）基金托管人在具有证券投资基金托管资格的商业银行</w:t>
      </w:r>
      <w:r w:rsidR="001D5D5B" w:rsidRPr="00F00B77">
        <w:rPr>
          <w:rFonts w:hint="eastAsia"/>
          <w:sz w:val="24"/>
        </w:rPr>
        <w:t>为本基金开立基金的银行账户，账户名称以实际开立为准，</w:t>
      </w:r>
      <w:r w:rsidRPr="00F00B77">
        <w:rPr>
          <w:rFonts w:hint="eastAsia"/>
          <w:sz w:val="24"/>
        </w:rPr>
        <w:t>并根据基金管理人合法合规的指令办理资金收付。本基金的银行预留印鉴由基金托管人刻制、保管和使用。基金托管人为本基金的银行账户开立网上银行，网上银行的电子密钥和密码由基金托管人保管和使用，基金托管人并承担网上银行操作及账户安全、保密义务等产生的相关责任。</w:t>
      </w:r>
    </w:p>
    <w:p w14:paraId="062B9EE8"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527BD1F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）基金银行账户的开立和管理应符合有关法律法规以及银行业监督管理机构的有关规定。</w:t>
      </w:r>
    </w:p>
    <w:p w14:paraId="7333E173" w14:textId="77777777" w:rsidR="00084DB4" w:rsidRPr="00F00B77" w:rsidRDefault="00084DB4" w:rsidP="001D5D5B">
      <w:pPr>
        <w:adjustRightInd w:val="0"/>
        <w:snapToGrid w:val="0"/>
        <w:spacing w:line="360" w:lineRule="auto"/>
        <w:ind w:firstLineChars="200" w:firstLine="480"/>
        <w:rPr>
          <w:rFonts w:hAnsi="宋体"/>
          <w:sz w:val="24"/>
        </w:rPr>
      </w:pPr>
      <w:r w:rsidRPr="00F00B77">
        <w:rPr>
          <w:sz w:val="24"/>
        </w:rPr>
        <w:t>4</w:t>
      </w:r>
      <w:r w:rsidRPr="00F00B77">
        <w:rPr>
          <w:rFonts w:hAnsi="宋体"/>
          <w:sz w:val="24"/>
        </w:rPr>
        <w:t>、</w:t>
      </w:r>
      <w:r w:rsidRPr="00F00B77">
        <w:rPr>
          <w:rFonts w:hAnsi="宋体" w:hint="eastAsia"/>
          <w:sz w:val="24"/>
        </w:rPr>
        <w:t>基金证券账户与证券交易资金账户的开设和管理：</w:t>
      </w:r>
    </w:p>
    <w:p w14:paraId="285CF35D"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1</w:t>
      </w:r>
      <w:r w:rsidRPr="00F00B77">
        <w:rPr>
          <w:rFonts w:hAnsi="宋体" w:hint="eastAsia"/>
          <w:sz w:val="24"/>
        </w:rPr>
        <w:t>）基金托管人以基金托管人和本基金联名的方式在中国证券登记结算有限责任公司上海分公司</w:t>
      </w:r>
      <w:r w:rsidRPr="00F00B77">
        <w:rPr>
          <w:rFonts w:hAnsi="宋体" w:hint="eastAsia"/>
          <w:sz w:val="24"/>
        </w:rPr>
        <w:t>/</w:t>
      </w:r>
      <w:r w:rsidRPr="00F00B77">
        <w:rPr>
          <w:rFonts w:hAnsi="宋体" w:hint="eastAsia"/>
          <w:sz w:val="24"/>
        </w:rPr>
        <w:t>深圳分公司开设证券账户。</w:t>
      </w:r>
    </w:p>
    <w:p w14:paraId="10F0F08F"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2</w:t>
      </w:r>
      <w:r w:rsidRPr="00F00B77">
        <w:rPr>
          <w:rFonts w:hAnsi="宋体" w:hint="eastAsia"/>
          <w:sz w:val="24"/>
        </w:rPr>
        <w:t>）基金托管人</w:t>
      </w:r>
      <w:r w:rsidR="001D5D5B" w:rsidRPr="00F00B77">
        <w:rPr>
          <w:rFonts w:hint="eastAsia"/>
          <w:sz w:val="24"/>
        </w:rPr>
        <w:t>按照中国证券登记结算有限责任公司的要求</w:t>
      </w:r>
      <w:r w:rsidRPr="00F00B77">
        <w:rPr>
          <w:rFonts w:hAnsi="宋体" w:hint="eastAsia"/>
          <w:sz w:val="24"/>
        </w:rPr>
        <w:t>在中国证券登记结算有限责任公司上海分公司</w:t>
      </w:r>
      <w:r w:rsidRPr="00F00B77">
        <w:rPr>
          <w:rFonts w:hAnsi="宋体" w:hint="eastAsia"/>
          <w:sz w:val="24"/>
        </w:rPr>
        <w:t>/</w:t>
      </w:r>
      <w:r w:rsidRPr="00F00B77">
        <w:rPr>
          <w:rFonts w:hAnsi="宋体" w:hint="eastAsia"/>
          <w:sz w:val="24"/>
        </w:rPr>
        <w:t>深圳分公司开立基金证券交易资金账户，用于证券清算。</w:t>
      </w:r>
    </w:p>
    <w:p w14:paraId="06495327"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3</w:t>
      </w:r>
      <w:r w:rsidRPr="00F00B77">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607B14C" w14:textId="77777777" w:rsidR="00084DB4" w:rsidRPr="00F00B77" w:rsidRDefault="00084DB4">
      <w:pPr>
        <w:adjustRightInd w:val="0"/>
        <w:snapToGrid w:val="0"/>
        <w:spacing w:line="360" w:lineRule="auto"/>
        <w:ind w:firstLineChars="200" w:firstLine="480"/>
        <w:rPr>
          <w:sz w:val="24"/>
        </w:rPr>
      </w:pPr>
      <w:r w:rsidRPr="00F00B77">
        <w:rPr>
          <w:sz w:val="24"/>
        </w:rPr>
        <w:t>5</w:t>
      </w:r>
      <w:r w:rsidRPr="00F00B77">
        <w:rPr>
          <w:rFonts w:hAnsi="宋体"/>
          <w:sz w:val="24"/>
        </w:rPr>
        <w:t>、债券托管</w:t>
      </w:r>
      <w:r w:rsidRPr="00F00B77">
        <w:rPr>
          <w:rFonts w:hAnsi="宋体" w:hint="eastAsia"/>
          <w:sz w:val="24"/>
        </w:rPr>
        <w:t>账</w:t>
      </w:r>
      <w:r w:rsidRPr="00F00B77">
        <w:rPr>
          <w:rFonts w:hAnsi="宋体"/>
          <w:sz w:val="24"/>
        </w:rPr>
        <w:t>户的开</w:t>
      </w:r>
      <w:r w:rsidRPr="00F00B77">
        <w:rPr>
          <w:rFonts w:hAnsi="宋体" w:hint="eastAsia"/>
          <w:sz w:val="24"/>
        </w:rPr>
        <w:t>立</w:t>
      </w:r>
      <w:r w:rsidRPr="00F00B77">
        <w:rPr>
          <w:rFonts w:hAnsi="宋体"/>
          <w:sz w:val="24"/>
        </w:rPr>
        <w:t>和管理</w:t>
      </w:r>
    </w:p>
    <w:p w14:paraId="302977F1"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41EB2F65"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）基金管理人和基金托管人应一起负责为本基金对外签订全国银行间国债市场回购主协议，正本由基金托管人保管，基金管理人保存副本。</w:t>
      </w:r>
    </w:p>
    <w:p w14:paraId="7685FD2C" w14:textId="77777777" w:rsidR="00084DB4" w:rsidRPr="00F00B77" w:rsidRDefault="00084DB4" w:rsidP="001D5D5B">
      <w:pPr>
        <w:adjustRightInd w:val="0"/>
        <w:snapToGrid w:val="0"/>
        <w:spacing w:line="360" w:lineRule="auto"/>
        <w:ind w:firstLineChars="200" w:firstLine="480"/>
        <w:rPr>
          <w:sz w:val="24"/>
        </w:rPr>
      </w:pPr>
      <w:r w:rsidRPr="00F00B77">
        <w:rPr>
          <w:sz w:val="24"/>
        </w:rPr>
        <w:t>6</w:t>
      </w:r>
      <w:r w:rsidRPr="00F00B77">
        <w:rPr>
          <w:rFonts w:hAnsi="宋体"/>
          <w:sz w:val="24"/>
        </w:rPr>
        <w:t>、其他账户的开</w:t>
      </w:r>
      <w:r w:rsidRPr="00F00B77">
        <w:rPr>
          <w:rFonts w:hAnsi="宋体" w:hint="eastAsia"/>
          <w:sz w:val="24"/>
        </w:rPr>
        <w:t>设</w:t>
      </w:r>
      <w:r w:rsidRPr="00F00B77">
        <w:rPr>
          <w:rFonts w:hAnsi="宋体"/>
          <w:sz w:val="24"/>
        </w:rPr>
        <w:t>和管理</w:t>
      </w:r>
    </w:p>
    <w:p w14:paraId="0D4E65C4" w14:textId="77777777" w:rsidR="00084DB4" w:rsidRPr="00F00B77" w:rsidRDefault="00084DB4">
      <w:pPr>
        <w:adjustRightInd w:val="0"/>
        <w:snapToGrid w:val="0"/>
        <w:spacing w:line="360" w:lineRule="auto"/>
        <w:ind w:firstLineChars="200" w:firstLine="480"/>
        <w:rPr>
          <w:sz w:val="24"/>
        </w:rPr>
      </w:pPr>
      <w:r w:rsidRPr="00F00B77">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3A2CF85" w14:textId="77777777" w:rsidR="00084DB4" w:rsidRPr="00F00B77" w:rsidRDefault="00084DB4" w:rsidP="001D5D5B">
      <w:pPr>
        <w:adjustRightInd w:val="0"/>
        <w:snapToGrid w:val="0"/>
        <w:spacing w:line="360" w:lineRule="auto"/>
        <w:ind w:firstLineChars="200" w:firstLine="480"/>
        <w:rPr>
          <w:rFonts w:hAnsi="宋体"/>
          <w:sz w:val="24"/>
        </w:rPr>
      </w:pPr>
      <w:r w:rsidRPr="00F00B77">
        <w:rPr>
          <w:sz w:val="24"/>
        </w:rPr>
        <w:t>7</w:t>
      </w:r>
      <w:r w:rsidRPr="00F00B77">
        <w:rPr>
          <w:rFonts w:hAnsi="宋体"/>
          <w:sz w:val="24"/>
        </w:rPr>
        <w:t>、</w:t>
      </w:r>
      <w:r w:rsidRPr="00F00B77">
        <w:rPr>
          <w:rFonts w:hAnsi="宋体" w:hint="eastAsia"/>
          <w:sz w:val="24"/>
        </w:rPr>
        <w:t>基金财产投资的有关实物证券、银行定期存款存单等有价凭证的保管</w:t>
      </w:r>
    </w:p>
    <w:p w14:paraId="67FFE772" w14:textId="77777777" w:rsidR="00084DB4" w:rsidRPr="00F00B77" w:rsidRDefault="00610B64">
      <w:pPr>
        <w:adjustRightInd w:val="0"/>
        <w:snapToGrid w:val="0"/>
        <w:spacing w:line="360" w:lineRule="auto"/>
        <w:ind w:firstLineChars="200" w:firstLine="480"/>
        <w:rPr>
          <w:sz w:val="24"/>
        </w:rPr>
      </w:pPr>
      <w:r w:rsidRPr="00F00B77">
        <w:rPr>
          <w:rFonts w:hAnsi="宋体"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F00B77">
        <w:rPr>
          <w:rFonts w:hAnsi="宋体" w:hint="eastAsia"/>
          <w:sz w:val="24"/>
        </w:rPr>
        <w:t>/</w:t>
      </w:r>
      <w:r w:rsidRPr="00F00B77">
        <w:rPr>
          <w:rFonts w:hAnsi="宋体"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5F5F0137" w14:textId="77777777" w:rsidR="00084DB4" w:rsidRPr="00F00B77" w:rsidRDefault="00084DB4">
      <w:pPr>
        <w:adjustRightInd w:val="0"/>
        <w:snapToGrid w:val="0"/>
        <w:spacing w:line="360" w:lineRule="auto"/>
        <w:ind w:firstLineChars="200" w:firstLine="480"/>
        <w:rPr>
          <w:rFonts w:hAnsi="宋体"/>
          <w:sz w:val="24"/>
        </w:rPr>
      </w:pPr>
      <w:r w:rsidRPr="00F00B77">
        <w:rPr>
          <w:sz w:val="24"/>
        </w:rPr>
        <w:t>8</w:t>
      </w:r>
      <w:r w:rsidRPr="00F00B77">
        <w:rPr>
          <w:rFonts w:hAnsi="宋体"/>
          <w:sz w:val="24"/>
        </w:rPr>
        <w:t>、与基金财产有关的重大合同的保管</w:t>
      </w:r>
    </w:p>
    <w:p w14:paraId="5ABE7E09" w14:textId="77777777" w:rsidR="00084DB4" w:rsidRPr="00F00B77" w:rsidRDefault="00084DB4">
      <w:pPr>
        <w:adjustRightInd w:val="0"/>
        <w:snapToGrid w:val="0"/>
        <w:spacing w:line="360" w:lineRule="auto"/>
        <w:ind w:firstLineChars="200" w:firstLine="480"/>
        <w:rPr>
          <w:sz w:val="24"/>
        </w:rPr>
      </w:pPr>
      <w:r w:rsidRPr="00F00B77">
        <w:rPr>
          <w:rFonts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F00B77">
        <w:rPr>
          <w:rFonts w:hint="eastAsia"/>
          <w:sz w:val="24"/>
        </w:rPr>
        <w:t>30</w:t>
      </w:r>
      <w:r w:rsidRPr="00F00B77">
        <w:rPr>
          <w:rFonts w:hint="eastAsia"/>
          <w:sz w:val="24"/>
        </w:rPr>
        <w:t>个工作日内通过专人送达、挂号邮寄等安全方式将合同送达基金托管人处。合同应存放于基金管理人和基金托管人各自文件保管部门</w:t>
      </w:r>
      <w:r w:rsidRPr="00F00B77">
        <w:rPr>
          <w:rFonts w:hint="eastAsia"/>
          <w:sz w:val="24"/>
        </w:rPr>
        <w:t>15</w:t>
      </w:r>
      <w:r w:rsidRPr="00F00B77">
        <w:rPr>
          <w:rFonts w:hint="eastAsia"/>
          <w:sz w:val="24"/>
        </w:rPr>
        <w:t>年以上。对于无法取得二份以上的正本的，基金管理人应向基金托管人提供加盖授权业务章的合同传真件，未经双方协商或未在合同约定范围内，合同原件不得转移，由基金管理人保管。</w:t>
      </w:r>
      <w:r w:rsidR="001D5D5B" w:rsidRPr="00F00B77">
        <w:rPr>
          <w:rFonts w:hint="eastAsia"/>
          <w:sz w:val="24"/>
        </w:rPr>
        <w:t>如基金托管人收到的合同传真件与基金管理人保管的合同原件不一致的，以基金托管人收到的传真件为准。</w:t>
      </w:r>
    </w:p>
    <w:p w14:paraId="58F5FE0D"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（五）基金资产净值计算</w:t>
      </w:r>
      <w:r w:rsidRPr="00F00B77">
        <w:rPr>
          <w:rFonts w:hAnsi="宋体" w:hint="eastAsia"/>
          <w:b/>
          <w:kern w:val="0"/>
          <w:sz w:val="24"/>
        </w:rPr>
        <w:t>与复核</w:t>
      </w:r>
    </w:p>
    <w:p w14:paraId="7020304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、基金资产净值是指基金资产总值减去负债后的价值。每万份基金已实现收益是按照相关法规计算的每万份基金份额的日已实现收益，精确到小数点后第</w:t>
      </w:r>
      <w:r w:rsidRPr="00F00B77">
        <w:rPr>
          <w:rFonts w:hint="eastAsia"/>
          <w:kern w:val="0"/>
          <w:sz w:val="24"/>
        </w:rPr>
        <w:t>4</w:t>
      </w:r>
      <w:r w:rsidRPr="00F00B77">
        <w:rPr>
          <w:rFonts w:hint="eastAsia"/>
          <w:kern w:val="0"/>
          <w:sz w:val="24"/>
        </w:rPr>
        <w:t>位，小数点后第</w:t>
      </w:r>
      <w:r w:rsidRPr="00F00B77">
        <w:rPr>
          <w:rFonts w:hint="eastAsia"/>
          <w:kern w:val="0"/>
          <w:sz w:val="24"/>
        </w:rPr>
        <w:t>5</w:t>
      </w:r>
      <w:r w:rsidRPr="00F00B77">
        <w:rPr>
          <w:rFonts w:hint="eastAsia"/>
          <w:kern w:val="0"/>
          <w:sz w:val="24"/>
        </w:rPr>
        <w:t>位四舍五入。本基金的收益分配是按日结转份额的，</w:t>
      </w:r>
      <w:r w:rsidRPr="00F00B77">
        <w:rPr>
          <w:rFonts w:hint="eastAsia"/>
          <w:kern w:val="0"/>
          <w:sz w:val="24"/>
        </w:rPr>
        <w:t>7</w:t>
      </w:r>
      <w:r w:rsidRPr="00F00B77">
        <w:rPr>
          <w:rFonts w:hint="eastAsia"/>
          <w:kern w:val="0"/>
          <w:sz w:val="24"/>
        </w:rPr>
        <w:t>日年化收益率是以最近</w:t>
      </w:r>
      <w:r w:rsidRPr="00F00B77">
        <w:rPr>
          <w:rFonts w:hint="eastAsia"/>
          <w:kern w:val="0"/>
          <w:sz w:val="24"/>
        </w:rPr>
        <w:t>7</w:t>
      </w:r>
      <w:r w:rsidRPr="00F00B77">
        <w:rPr>
          <w:rFonts w:hint="eastAsia"/>
          <w:kern w:val="0"/>
          <w:sz w:val="24"/>
        </w:rPr>
        <w:t>日</w:t>
      </w:r>
      <w:r w:rsidRPr="00F00B77">
        <w:rPr>
          <w:rFonts w:hint="eastAsia"/>
          <w:kern w:val="0"/>
          <w:sz w:val="24"/>
        </w:rPr>
        <w:t>(</w:t>
      </w:r>
      <w:r w:rsidRPr="00F00B77">
        <w:rPr>
          <w:rFonts w:hint="eastAsia"/>
          <w:kern w:val="0"/>
          <w:sz w:val="24"/>
        </w:rPr>
        <w:t>含节假日</w:t>
      </w:r>
      <w:r w:rsidRPr="00F00B77">
        <w:rPr>
          <w:rFonts w:hint="eastAsia"/>
          <w:kern w:val="0"/>
          <w:sz w:val="24"/>
        </w:rPr>
        <w:t xml:space="preserve">) </w:t>
      </w:r>
      <w:r w:rsidRPr="00F00B77">
        <w:rPr>
          <w:rFonts w:hint="eastAsia"/>
          <w:kern w:val="0"/>
          <w:sz w:val="24"/>
        </w:rPr>
        <w:t>每万份基金已实现收益所折算的年资产收益率，精确到</w:t>
      </w:r>
      <w:r w:rsidRPr="00F00B77">
        <w:rPr>
          <w:rFonts w:hint="eastAsia"/>
          <w:kern w:val="0"/>
          <w:sz w:val="24"/>
        </w:rPr>
        <w:t>0.001%</w:t>
      </w:r>
      <w:r w:rsidRPr="00F00B77">
        <w:rPr>
          <w:rFonts w:hint="eastAsia"/>
          <w:kern w:val="0"/>
          <w:sz w:val="24"/>
        </w:rPr>
        <w:t>，百分号内小数点后第</w:t>
      </w:r>
      <w:r w:rsidRPr="00F00B77">
        <w:rPr>
          <w:rFonts w:hint="eastAsia"/>
          <w:kern w:val="0"/>
          <w:sz w:val="24"/>
        </w:rPr>
        <w:t>4</w:t>
      </w:r>
      <w:r w:rsidRPr="00F00B77">
        <w:rPr>
          <w:rFonts w:hint="eastAsia"/>
          <w:kern w:val="0"/>
          <w:sz w:val="24"/>
        </w:rPr>
        <w:t>位四舍五入。国家另有规定的，从其规定。</w:t>
      </w:r>
    </w:p>
    <w:p w14:paraId="1DEA1CA5"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管理人应每工作日对基金资产估值，但基金管理人根据法律法规或基金合同的规定暂停估值时除外。估值原则应符合基金合同及相关法律、法规的规定。用于基金信息披露的各类基金份额的基金资产净值、每万份基金已实现收益和</w:t>
      </w:r>
      <w:r w:rsidRPr="00F00B77">
        <w:rPr>
          <w:rFonts w:hint="eastAsia"/>
          <w:kern w:val="0"/>
          <w:sz w:val="24"/>
        </w:rPr>
        <w:t>7</w:t>
      </w:r>
      <w:r w:rsidRPr="00F00B77">
        <w:rPr>
          <w:rFonts w:hint="eastAsia"/>
          <w:kern w:val="0"/>
          <w:sz w:val="24"/>
        </w:rPr>
        <w:t>日年化收益率由基金管理人负责计算，基金托管人复核。基金管理人应于每个工作日交易结束后计算当日的各类基金份额的基金资产净值、每万份基金已实现收益和</w:t>
      </w:r>
      <w:r w:rsidRPr="00F00B77">
        <w:rPr>
          <w:rFonts w:hint="eastAsia"/>
          <w:kern w:val="0"/>
          <w:sz w:val="24"/>
        </w:rPr>
        <w:t>7</w:t>
      </w:r>
      <w:r w:rsidRPr="00F00B77">
        <w:rPr>
          <w:rFonts w:hint="eastAsia"/>
          <w:kern w:val="0"/>
          <w:sz w:val="24"/>
        </w:rPr>
        <w:t>日年化收益率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3959A69B"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3</w:t>
      </w:r>
      <w:r w:rsidRPr="00F00B77">
        <w:rPr>
          <w:rFonts w:hint="eastAsia"/>
          <w:kern w:val="0"/>
          <w:sz w:val="24"/>
        </w:rPr>
        <w:t>、根据《基金法》，基金管理人计算并公告各类基金份额的基金资产净值、每万份基金已实现收益和</w:t>
      </w:r>
      <w:r w:rsidRPr="00F00B77">
        <w:rPr>
          <w:rFonts w:hint="eastAsia"/>
          <w:kern w:val="0"/>
          <w:sz w:val="24"/>
        </w:rPr>
        <w:t>7</w:t>
      </w:r>
      <w:r w:rsidRPr="00F00B77">
        <w:rPr>
          <w:rFonts w:hint="eastAsia"/>
          <w:kern w:val="0"/>
          <w:sz w:val="24"/>
        </w:rPr>
        <w:t>日年化收益率，基金托管人复核、审查基金管理人计算的各类基金份额的基金资产净值、每万份基金已实现收益和</w:t>
      </w:r>
      <w:r w:rsidRPr="00F00B77">
        <w:rPr>
          <w:rFonts w:hint="eastAsia"/>
          <w:kern w:val="0"/>
          <w:sz w:val="24"/>
        </w:rPr>
        <w:t>7</w:t>
      </w:r>
      <w:r w:rsidRPr="00F00B77">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sidRPr="00F00B77">
        <w:rPr>
          <w:rFonts w:hint="eastAsia"/>
          <w:kern w:val="0"/>
          <w:sz w:val="24"/>
        </w:rPr>
        <w:t>7</w:t>
      </w:r>
      <w:r w:rsidRPr="00F00B77">
        <w:rPr>
          <w:rFonts w:hint="eastAsia"/>
          <w:kern w:val="0"/>
          <w:sz w:val="24"/>
        </w:rPr>
        <w:t>日年化收益率的计算结果对外予以公布。</w:t>
      </w:r>
    </w:p>
    <w:p w14:paraId="3F5958C8"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（六）基金份额持有人名册的保管</w:t>
      </w:r>
      <w:r w:rsidRPr="00F00B77">
        <w:rPr>
          <w:b/>
          <w:kern w:val="0"/>
          <w:sz w:val="24"/>
        </w:rPr>
        <w:t xml:space="preserve"> </w:t>
      </w:r>
    </w:p>
    <w:p w14:paraId="61AFCDA4"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、基金管理人和基金托管人须分别妥善保管的基金份额持有人名册，基金份额持有人名册的内容必须包括基金份额持有人的名称和持有的基金份额。</w:t>
      </w:r>
    </w:p>
    <w:p w14:paraId="3070F661"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、基金份额持有人名册由基金的登记机构根据基金管理人的指令编制和保管，保管期限为</w:t>
      </w:r>
      <w:r w:rsidRPr="00F00B77">
        <w:rPr>
          <w:rFonts w:hint="eastAsia"/>
          <w:kern w:val="0"/>
          <w:sz w:val="24"/>
        </w:rPr>
        <w:t>20</w:t>
      </w:r>
      <w:r w:rsidRPr="00F00B77">
        <w:rPr>
          <w:rFonts w:hint="eastAsia"/>
          <w:kern w:val="0"/>
          <w:sz w:val="24"/>
        </w:rPr>
        <w:t>年。基金管理人和基金托管人应按照目前相关规则分别保管基金份额持有人名册。保管方式可以采用电子或文档的形式，保管期限为</w:t>
      </w:r>
      <w:r w:rsidRPr="00F00B77">
        <w:rPr>
          <w:rFonts w:hint="eastAsia"/>
          <w:kern w:val="0"/>
          <w:sz w:val="24"/>
        </w:rPr>
        <w:t>15</w:t>
      </w:r>
      <w:r w:rsidRPr="00F00B77">
        <w:rPr>
          <w:rFonts w:hint="eastAsia"/>
          <w:kern w:val="0"/>
          <w:sz w:val="24"/>
        </w:rPr>
        <w:t>年。</w:t>
      </w:r>
    </w:p>
    <w:p w14:paraId="78A8ACF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3</w:t>
      </w:r>
      <w:r w:rsidRPr="00F00B77">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F00B77">
        <w:rPr>
          <w:rFonts w:hint="eastAsia"/>
          <w:kern w:val="0"/>
          <w:sz w:val="24"/>
        </w:rPr>
        <w:t>15</w:t>
      </w:r>
      <w:r w:rsidRPr="00F00B77">
        <w:rPr>
          <w:rFonts w:hint="eastAsia"/>
          <w:kern w:val="0"/>
          <w:sz w:val="24"/>
        </w:rPr>
        <w:t>年。基金托管人不得将所保管的基金份额持有人名册用于基金托管业务以外的其他用途，并应遵守保密义务。</w:t>
      </w:r>
    </w:p>
    <w:p w14:paraId="7A01909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4</w:t>
      </w:r>
      <w:r w:rsidRPr="00F00B77">
        <w:rPr>
          <w:rFonts w:hint="eastAsia"/>
          <w:kern w:val="0"/>
          <w:sz w:val="24"/>
        </w:rPr>
        <w:t>、若基金管理人或基金托管人由于自身原因无法妥善保管基金份额持有人名册，应按有关法规规定各自承担相应的责任。</w:t>
      </w:r>
    </w:p>
    <w:p w14:paraId="29150F08"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（七）争议解决方式</w:t>
      </w:r>
    </w:p>
    <w:p w14:paraId="27EE6A78" w14:textId="77777777" w:rsidR="001D5D5B" w:rsidRPr="00F00B77" w:rsidRDefault="00084DB4" w:rsidP="001D5D5B">
      <w:pPr>
        <w:widowControl/>
        <w:adjustRightInd w:val="0"/>
        <w:snapToGrid w:val="0"/>
        <w:spacing w:line="360" w:lineRule="auto"/>
        <w:ind w:firstLineChars="200" w:firstLine="480"/>
        <w:rPr>
          <w:kern w:val="0"/>
          <w:sz w:val="24"/>
        </w:rPr>
      </w:pPr>
      <w:r w:rsidRPr="00F00B77">
        <w:rPr>
          <w:rFonts w:hint="eastAsia"/>
          <w:kern w:val="0"/>
          <w:sz w:val="24"/>
        </w:rPr>
        <w:t>各方当事人同意，因本协议而产生的或与本协议有关的一切争议，如经友好协商未能解决的，</w:t>
      </w:r>
      <w:r w:rsidR="001D5D5B" w:rsidRPr="00F00B77">
        <w:rPr>
          <w:rFonts w:hint="eastAsia"/>
          <w:kern w:val="0"/>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007738CB" w14:textId="77777777" w:rsidR="00084DB4" w:rsidRPr="00F00B77" w:rsidRDefault="00084DB4" w:rsidP="001D5D5B">
      <w:pPr>
        <w:widowControl/>
        <w:adjustRightInd w:val="0"/>
        <w:snapToGrid w:val="0"/>
        <w:spacing w:line="360" w:lineRule="auto"/>
        <w:ind w:firstLineChars="200" w:firstLine="480"/>
        <w:rPr>
          <w:kern w:val="0"/>
          <w:sz w:val="24"/>
        </w:rPr>
      </w:pPr>
      <w:r w:rsidRPr="00F00B77">
        <w:rPr>
          <w:rFonts w:hint="eastAsia"/>
          <w:kern w:val="0"/>
          <w:sz w:val="24"/>
        </w:rPr>
        <w:t>本协议受中国法律管辖。</w:t>
      </w:r>
    </w:p>
    <w:p w14:paraId="78CA63E3" w14:textId="77777777" w:rsidR="00084DB4" w:rsidRPr="00F00B77" w:rsidRDefault="00084DB4" w:rsidP="001D5D5B">
      <w:pPr>
        <w:widowControl/>
        <w:adjustRightInd w:val="0"/>
        <w:snapToGrid w:val="0"/>
        <w:spacing w:line="360" w:lineRule="auto"/>
        <w:ind w:firstLineChars="200" w:firstLine="482"/>
        <w:rPr>
          <w:b/>
          <w:kern w:val="0"/>
          <w:sz w:val="24"/>
        </w:rPr>
      </w:pPr>
      <w:r w:rsidRPr="00F00B77">
        <w:rPr>
          <w:rFonts w:hAnsi="宋体"/>
          <w:b/>
          <w:kern w:val="0"/>
          <w:sz w:val="24"/>
        </w:rPr>
        <w:t>（八）托管协议的</w:t>
      </w:r>
      <w:r w:rsidRPr="00F00B77">
        <w:rPr>
          <w:rFonts w:hAnsi="宋体" w:hint="eastAsia"/>
          <w:b/>
          <w:kern w:val="0"/>
          <w:sz w:val="24"/>
        </w:rPr>
        <w:t>变更</w:t>
      </w:r>
      <w:r w:rsidRPr="00F00B77">
        <w:rPr>
          <w:rFonts w:hAnsi="宋体"/>
          <w:b/>
          <w:kern w:val="0"/>
          <w:sz w:val="24"/>
        </w:rPr>
        <w:t>与终止</w:t>
      </w:r>
      <w:r w:rsidRPr="00F00B77">
        <w:rPr>
          <w:b/>
          <w:kern w:val="0"/>
          <w:sz w:val="24"/>
        </w:rPr>
        <w:t xml:space="preserve"> </w:t>
      </w:r>
    </w:p>
    <w:p w14:paraId="0766F8C0"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、托管协议的变更程序</w:t>
      </w:r>
    </w:p>
    <w:p w14:paraId="14619161"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本协议双方当事人经协商一致，可以对协议的内容进行变更。变更后的托管协议，其内容不得与基金合同的规定有任何冲突。本托管协议的变更报中国证监会备案。</w:t>
      </w:r>
    </w:p>
    <w:p w14:paraId="7E12EF7B" w14:textId="77777777" w:rsidR="00084DB4" w:rsidRPr="00F00B77" w:rsidRDefault="00084DB4" w:rsidP="004A1C62">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、基金托管协议终止的情形</w:t>
      </w:r>
    </w:p>
    <w:p w14:paraId="377A3932"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发生以下情况，本托管协议终止：</w:t>
      </w:r>
    </w:p>
    <w:p w14:paraId="66F10236"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1</w:t>
      </w:r>
      <w:r w:rsidRPr="00F00B77">
        <w:rPr>
          <w:rFonts w:hint="eastAsia"/>
          <w:kern w:val="0"/>
          <w:sz w:val="24"/>
        </w:rPr>
        <w:t>）基金合同终止；</w:t>
      </w:r>
    </w:p>
    <w:p w14:paraId="46EEC3A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2</w:t>
      </w:r>
      <w:r w:rsidRPr="00F00B77">
        <w:rPr>
          <w:rFonts w:hint="eastAsia"/>
          <w:kern w:val="0"/>
          <w:sz w:val="24"/>
        </w:rPr>
        <w:t>）基金托管人解散、依法被撤销、破产或由其他基金托管人接管基金资产；</w:t>
      </w:r>
    </w:p>
    <w:p w14:paraId="50D4EF6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3</w:t>
      </w:r>
      <w:r w:rsidRPr="00F00B77">
        <w:rPr>
          <w:rFonts w:hint="eastAsia"/>
          <w:kern w:val="0"/>
          <w:sz w:val="24"/>
        </w:rPr>
        <w:t>）基金管理人解散、依法被撤销、破产或由其他基金管理人接管基金管理权；</w:t>
      </w:r>
    </w:p>
    <w:p w14:paraId="13F1276D"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4</w:t>
      </w:r>
      <w:r w:rsidRPr="00F00B77">
        <w:rPr>
          <w:rFonts w:hint="eastAsia"/>
          <w:kern w:val="0"/>
          <w:sz w:val="24"/>
        </w:rPr>
        <w:t>）发生法律法规或基金合同规定的终止事项。</w:t>
      </w:r>
    </w:p>
    <w:p w14:paraId="25822E61" w14:textId="77777777" w:rsidR="00084DB4" w:rsidRPr="00F00B77" w:rsidRDefault="00084DB4">
      <w:pPr>
        <w:widowControl/>
        <w:adjustRightInd w:val="0"/>
        <w:snapToGrid w:val="0"/>
        <w:spacing w:line="360" w:lineRule="auto"/>
        <w:rPr>
          <w:rFonts w:ascii="宋体" w:hAnsi="宋体"/>
          <w:kern w:val="0"/>
          <w:sz w:val="24"/>
        </w:rPr>
      </w:pPr>
    </w:p>
    <w:p w14:paraId="0E3A1868"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76" w:name="_Toc491431683"/>
      <w:r w:rsidRPr="00F00B77">
        <w:rPr>
          <w:rFonts w:ascii="宋体" w:hAnsi="宋体" w:hint="eastAsia"/>
          <w:b/>
          <w:kern w:val="0"/>
          <w:sz w:val="30"/>
        </w:rPr>
        <w:t>二十、对基金份额持有人的服务</w:t>
      </w:r>
      <w:bookmarkEnd w:id="76"/>
    </w:p>
    <w:p w14:paraId="65C70719"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基金管理人承诺为基金份额持有人提供一系列的服务。基金管理人根据基金份额持有人的需要和市场的变化，有权增加或变更服务项目。主要服务内容如下：</w:t>
      </w:r>
      <w:r w:rsidRPr="00F00B77">
        <w:rPr>
          <w:kern w:val="0"/>
          <w:sz w:val="24"/>
        </w:rPr>
        <w:t xml:space="preserve"> </w:t>
      </w:r>
    </w:p>
    <w:p w14:paraId="1F684890" w14:textId="77777777" w:rsidR="0028542D" w:rsidRPr="00F00B77" w:rsidRDefault="0028542D" w:rsidP="0028542D">
      <w:pPr>
        <w:widowControl/>
        <w:adjustRightInd w:val="0"/>
        <w:snapToGrid w:val="0"/>
        <w:spacing w:line="360" w:lineRule="auto"/>
        <w:ind w:firstLineChars="200" w:firstLine="482"/>
        <w:rPr>
          <w:b/>
          <w:kern w:val="0"/>
          <w:sz w:val="24"/>
        </w:rPr>
      </w:pPr>
      <w:r w:rsidRPr="00F00B77">
        <w:rPr>
          <w:rFonts w:hAnsi="宋体"/>
          <w:b/>
          <w:kern w:val="0"/>
          <w:sz w:val="24"/>
        </w:rPr>
        <w:t>（一）持有人交易资料的寄送服务</w:t>
      </w:r>
      <w:r w:rsidRPr="00F00B77">
        <w:rPr>
          <w:b/>
          <w:kern w:val="0"/>
          <w:sz w:val="24"/>
        </w:rPr>
        <w:t xml:space="preserve"> </w:t>
      </w:r>
    </w:p>
    <w:p w14:paraId="7EB4872A" w14:textId="77777777" w:rsidR="0028542D" w:rsidRPr="00F00B77" w:rsidRDefault="0028542D" w:rsidP="0028542D">
      <w:pPr>
        <w:widowControl/>
        <w:adjustRightInd w:val="0"/>
        <w:snapToGrid w:val="0"/>
        <w:spacing w:line="360" w:lineRule="auto"/>
        <w:ind w:firstLineChars="200" w:firstLine="480"/>
        <w:rPr>
          <w:kern w:val="0"/>
          <w:sz w:val="24"/>
        </w:rPr>
      </w:pPr>
      <w:r w:rsidRPr="00F00B77">
        <w:rPr>
          <w:kern w:val="0"/>
          <w:sz w:val="24"/>
        </w:rPr>
        <w:t>每次交易结束后，</w:t>
      </w:r>
      <w:r w:rsidRPr="00F00B77">
        <w:rPr>
          <w:rFonts w:hint="eastAsia"/>
          <w:kern w:val="0"/>
          <w:sz w:val="24"/>
        </w:rPr>
        <w:t>投资者</w:t>
      </w:r>
      <w:r w:rsidRPr="00F00B77">
        <w:rPr>
          <w:kern w:val="0"/>
          <w:sz w:val="24"/>
        </w:rPr>
        <w:t>可在</w:t>
      </w:r>
      <w:r w:rsidRPr="00F00B77">
        <w:rPr>
          <w:kern w:val="0"/>
          <w:sz w:val="24"/>
        </w:rPr>
        <w:t>T+</w:t>
      </w:r>
      <w:r w:rsidRPr="00F00B77">
        <w:rPr>
          <w:rFonts w:hint="eastAsia"/>
          <w:kern w:val="0"/>
          <w:sz w:val="24"/>
        </w:rPr>
        <w:t>2</w:t>
      </w:r>
      <w:r w:rsidRPr="00F00B77">
        <w:rPr>
          <w:kern w:val="0"/>
          <w:sz w:val="24"/>
        </w:rPr>
        <w:t>个工作日后到交易网点进行确认单的查询和打印，或通过交易网点提供的自助、电话、网上服务手段查询。</w:t>
      </w:r>
    </w:p>
    <w:p w14:paraId="6EB241B4" w14:textId="77777777" w:rsidR="00084DB4" w:rsidRPr="00F00B77" w:rsidRDefault="0028542D" w:rsidP="001A365C">
      <w:pPr>
        <w:widowControl/>
        <w:adjustRightInd w:val="0"/>
        <w:snapToGrid w:val="0"/>
        <w:spacing w:line="360" w:lineRule="auto"/>
        <w:ind w:firstLineChars="200" w:firstLine="480"/>
        <w:rPr>
          <w:kern w:val="0"/>
          <w:sz w:val="24"/>
        </w:rPr>
      </w:pPr>
      <w:r w:rsidRPr="00F00B77">
        <w:rPr>
          <w:rFonts w:hint="eastAsia"/>
          <w:kern w:val="0"/>
          <w:sz w:val="24"/>
        </w:rPr>
        <w:t>本基金管理人将向持有人提供电子或纸质对账单，需要订阅或取消的客户可与本基金管理人客户服务中心（</w:t>
      </w:r>
      <w:r w:rsidRPr="00F00B77">
        <w:rPr>
          <w:rFonts w:hint="eastAsia"/>
          <w:kern w:val="0"/>
          <w:sz w:val="24"/>
        </w:rPr>
        <w:t>400-700-5000</w:t>
      </w:r>
      <w:r w:rsidRPr="00F00B77">
        <w:rPr>
          <w:rFonts w:hint="eastAsia"/>
          <w:kern w:val="0"/>
          <w:sz w:val="24"/>
        </w:rPr>
        <w:t>，</w:t>
      </w:r>
      <w:r w:rsidRPr="00F00B77">
        <w:rPr>
          <w:rFonts w:hint="eastAsia"/>
          <w:kern w:val="0"/>
          <w:sz w:val="24"/>
        </w:rPr>
        <w:t>021-61055000</w:t>
      </w:r>
      <w:r w:rsidRPr="00F00B77">
        <w:rPr>
          <w:rFonts w:hint="eastAsia"/>
          <w:kern w:val="0"/>
          <w:sz w:val="24"/>
        </w:rPr>
        <w:t>）联系</w:t>
      </w:r>
      <w:r w:rsidRPr="00F00B77">
        <w:rPr>
          <w:rFonts w:hAnsi="宋体"/>
          <w:kern w:val="0"/>
          <w:sz w:val="24"/>
        </w:rPr>
        <w:t>。</w:t>
      </w:r>
    </w:p>
    <w:p w14:paraId="478F8283" w14:textId="77777777" w:rsidR="00084DB4" w:rsidRPr="00F00B77" w:rsidRDefault="00084DB4" w:rsidP="00CD5AB1">
      <w:pPr>
        <w:widowControl/>
        <w:adjustRightInd w:val="0"/>
        <w:snapToGrid w:val="0"/>
        <w:spacing w:line="360" w:lineRule="auto"/>
        <w:ind w:firstLineChars="200" w:firstLine="482"/>
        <w:rPr>
          <w:b/>
          <w:kern w:val="0"/>
          <w:sz w:val="24"/>
        </w:rPr>
      </w:pPr>
      <w:r w:rsidRPr="00F00B77">
        <w:rPr>
          <w:rFonts w:hAnsi="宋体"/>
          <w:b/>
          <w:kern w:val="0"/>
          <w:sz w:val="24"/>
        </w:rPr>
        <w:t>（二）信息咨询、查询服务</w:t>
      </w:r>
      <w:r w:rsidRPr="00F00B77">
        <w:rPr>
          <w:b/>
          <w:kern w:val="0"/>
          <w:sz w:val="24"/>
        </w:rPr>
        <w:t xml:space="preserve"> </w:t>
      </w:r>
    </w:p>
    <w:p w14:paraId="678EB99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投资人如果想查询申购和赎回等交易情况、基金账户余额、基金产品与服务等信息，请拨打本基金管理人客户服务电话（</w:t>
      </w:r>
      <w:r w:rsidRPr="00F00B77">
        <w:rPr>
          <w:kern w:val="0"/>
          <w:sz w:val="24"/>
        </w:rPr>
        <w:t>400-700-5000</w:t>
      </w:r>
      <w:r w:rsidRPr="00F00B77">
        <w:rPr>
          <w:rFonts w:hAnsi="宋体"/>
          <w:kern w:val="0"/>
          <w:sz w:val="24"/>
        </w:rPr>
        <w:t>，</w:t>
      </w:r>
      <w:r w:rsidRPr="00F00B77">
        <w:rPr>
          <w:kern w:val="0"/>
          <w:sz w:val="24"/>
        </w:rPr>
        <w:t>021-61055000</w:t>
      </w:r>
      <w:r w:rsidRPr="00F00B77">
        <w:rPr>
          <w:rFonts w:hAnsi="宋体"/>
          <w:kern w:val="0"/>
          <w:sz w:val="24"/>
        </w:rPr>
        <w:t>）或登录本基金管理人网站（</w:t>
      </w:r>
      <w:r w:rsidRPr="00F00B77">
        <w:rPr>
          <w:rFonts w:hint="eastAsia"/>
          <w:kern w:val="0"/>
          <w:sz w:val="24"/>
        </w:rPr>
        <w:t>www.fund001.com</w:t>
      </w:r>
      <w:r w:rsidRPr="00F00B77">
        <w:rPr>
          <w:rFonts w:hint="eastAsia"/>
          <w:kern w:val="0"/>
          <w:sz w:val="24"/>
        </w:rPr>
        <w:t>，</w:t>
      </w:r>
      <w:r w:rsidRPr="00F00B77">
        <w:rPr>
          <w:rFonts w:hint="eastAsia"/>
          <w:kern w:val="0"/>
          <w:sz w:val="24"/>
        </w:rPr>
        <w:t>www.bocomschroder.com</w:t>
      </w:r>
      <w:r w:rsidRPr="00F00B77">
        <w:rPr>
          <w:rFonts w:hAnsi="宋体"/>
          <w:kern w:val="0"/>
          <w:sz w:val="24"/>
        </w:rPr>
        <w:t>）进行咨询、查询。</w:t>
      </w:r>
      <w:r w:rsidRPr="00F00B77">
        <w:rPr>
          <w:kern w:val="0"/>
          <w:sz w:val="24"/>
        </w:rPr>
        <w:t xml:space="preserve"> </w:t>
      </w:r>
    </w:p>
    <w:p w14:paraId="6974076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本基金管理人为投资人预设基金查询密码，预设的基金查询密码为投资人开户证件号码的后</w:t>
      </w:r>
      <w:r w:rsidRPr="00F00B77">
        <w:rPr>
          <w:kern w:val="0"/>
          <w:sz w:val="24"/>
        </w:rPr>
        <w:t>6</w:t>
      </w:r>
      <w:r w:rsidRPr="00F00B77">
        <w:rPr>
          <w:rFonts w:hAnsi="宋体"/>
          <w:kern w:val="0"/>
          <w:sz w:val="24"/>
        </w:rPr>
        <w:t>位数字，不足</w:t>
      </w:r>
      <w:r w:rsidRPr="00F00B77">
        <w:rPr>
          <w:kern w:val="0"/>
          <w:sz w:val="24"/>
        </w:rPr>
        <w:t>6</w:t>
      </w:r>
      <w:r w:rsidRPr="00F00B77">
        <w:rPr>
          <w:rFonts w:hAnsi="宋体"/>
          <w:kern w:val="0"/>
          <w:sz w:val="24"/>
        </w:rPr>
        <w:t>位数字的，前面</w:t>
      </w:r>
      <w:r w:rsidRPr="00F00B77">
        <w:rPr>
          <w:rFonts w:ascii="宋体" w:hAnsi="宋体"/>
          <w:kern w:val="0"/>
          <w:sz w:val="24"/>
        </w:rPr>
        <w:t>加“0”补足。</w:t>
      </w:r>
      <w:r w:rsidRPr="00F00B77">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F00B77">
        <w:rPr>
          <w:kern w:val="0"/>
          <w:sz w:val="24"/>
        </w:rPr>
        <w:t xml:space="preserve"> </w:t>
      </w:r>
    </w:p>
    <w:p w14:paraId="234C601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投资人可以拨打本基金管理人客户服务电话投诉直销机构的人员和服务。</w:t>
      </w:r>
      <w:r w:rsidRPr="00F00B77">
        <w:rPr>
          <w:kern w:val="0"/>
          <w:sz w:val="24"/>
        </w:rPr>
        <w:t xml:space="preserve"> </w:t>
      </w:r>
    </w:p>
    <w:p w14:paraId="4410421B"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w:t>
      </w:r>
      <w:r w:rsidR="00CD5AB1" w:rsidRPr="00F00B77">
        <w:rPr>
          <w:rFonts w:hAnsi="宋体" w:hint="eastAsia"/>
          <w:b/>
          <w:kern w:val="0"/>
          <w:sz w:val="24"/>
        </w:rPr>
        <w:t>三</w:t>
      </w:r>
      <w:r w:rsidRPr="00F00B77">
        <w:rPr>
          <w:rFonts w:hAnsi="宋体"/>
          <w:b/>
          <w:kern w:val="0"/>
          <w:sz w:val="24"/>
        </w:rPr>
        <w:t>）基金转换业务</w:t>
      </w:r>
    </w:p>
    <w:p w14:paraId="3EC4CC2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在条件成熟时，本基金管理人可通过销售机构为投资人提供基金转换业务服务，具体实施方法另行公告。</w:t>
      </w:r>
      <w:r w:rsidRPr="00F00B77">
        <w:rPr>
          <w:kern w:val="0"/>
          <w:sz w:val="24"/>
        </w:rPr>
        <w:t xml:space="preserve"> </w:t>
      </w:r>
    </w:p>
    <w:p w14:paraId="1ED9569B"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w:t>
      </w:r>
      <w:r w:rsidR="00CD5AB1" w:rsidRPr="00F00B77">
        <w:rPr>
          <w:rFonts w:hAnsi="宋体" w:hint="eastAsia"/>
          <w:b/>
          <w:kern w:val="0"/>
          <w:sz w:val="24"/>
        </w:rPr>
        <w:t>四</w:t>
      </w:r>
      <w:r w:rsidRPr="00F00B77">
        <w:rPr>
          <w:rFonts w:hAnsi="宋体"/>
          <w:b/>
          <w:kern w:val="0"/>
          <w:sz w:val="24"/>
        </w:rPr>
        <w:t>）定期定额投资计划</w:t>
      </w:r>
    </w:p>
    <w:p w14:paraId="12DC28A4"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rPr>
        <w:t>本基金已开通定期定额投资业务，具体实施方法请参见相关公告。</w:t>
      </w:r>
    </w:p>
    <w:p w14:paraId="230FD520"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服务联系方式：</w:t>
      </w:r>
      <w:r w:rsidRPr="00F00B77">
        <w:rPr>
          <w:kern w:val="0"/>
          <w:sz w:val="24"/>
        </w:rPr>
        <w:t xml:space="preserve"> </w:t>
      </w:r>
    </w:p>
    <w:p w14:paraId="316FF349"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本基金管理人的互联网地址及电子信箱</w:t>
      </w:r>
      <w:r w:rsidRPr="00F00B77">
        <w:rPr>
          <w:kern w:val="0"/>
          <w:sz w:val="24"/>
        </w:rPr>
        <w:t xml:space="preserve"> </w:t>
      </w:r>
    </w:p>
    <w:p w14:paraId="2ED4F60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网址：</w:t>
      </w:r>
      <w:r w:rsidRPr="00F00B77">
        <w:rPr>
          <w:sz w:val="24"/>
        </w:rPr>
        <w:t>www.fund001.com</w:t>
      </w:r>
      <w:r w:rsidRPr="00F00B77">
        <w:rPr>
          <w:sz w:val="24"/>
        </w:rPr>
        <w:t>，</w:t>
      </w:r>
      <w:r w:rsidRPr="00F00B77">
        <w:rPr>
          <w:sz w:val="24"/>
        </w:rPr>
        <w:t>www.bocomschroder.com</w:t>
      </w:r>
    </w:p>
    <w:p w14:paraId="3AEE974C"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电子信箱：</w:t>
      </w:r>
      <w:r w:rsidRPr="00F00B77">
        <w:rPr>
          <w:sz w:val="24"/>
        </w:rPr>
        <w:t>services@jysld.com</w:t>
      </w:r>
    </w:p>
    <w:p w14:paraId="6E2F2003" w14:textId="77777777" w:rsidR="00D80722" w:rsidRPr="00F00B77" w:rsidRDefault="00084DB4" w:rsidP="00F4542E">
      <w:pPr>
        <w:widowControl/>
        <w:adjustRightInd w:val="0"/>
        <w:snapToGrid w:val="0"/>
        <w:spacing w:line="360" w:lineRule="auto"/>
        <w:ind w:firstLineChars="200" w:firstLine="480"/>
        <w:rPr>
          <w:rFonts w:hAnsi="宋体"/>
          <w:kern w:val="0"/>
          <w:sz w:val="24"/>
        </w:rPr>
      </w:pPr>
      <w:r w:rsidRPr="00F00B77">
        <w:rPr>
          <w:rFonts w:hAnsi="宋体"/>
          <w:kern w:val="0"/>
          <w:sz w:val="24"/>
        </w:rPr>
        <w:t>投资者也可登录本基金管理人网站，直接提出有关本基金的问题和建议</w:t>
      </w:r>
      <w:r w:rsidR="00267CEE" w:rsidRPr="00F00B77">
        <w:rPr>
          <w:rFonts w:hAnsi="宋体" w:hint="eastAsia"/>
          <w:kern w:val="0"/>
          <w:sz w:val="24"/>
        </w:rPr>
        <w:t>。</w:t>
      </w:r>
    </w:p>
    <w:p w14:paraId="20EC1864" w14:textId="77777777" w:rsidR="00084DB4" w:rsidRPr="00F00B77" w:rsidRDefault="00BA7A10" w:rsidP="004A3EE5">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91431684"/>
      <w:r w:rsidRPr="00F00B77">
        <w:rPr>
          <w:rFonts w:ascii="宋体" w:hAnsi="宋体" w:hint="eastAsia"/>
          <w:b/>
          <w:kern w:val="0"/>
          <w:sz w:val="30"/>
        </w:rPr>
        <w:t>二十一、其他应披露事项</w:t>
      </w:r>
      <w:bookmarkEnd w:id="77"/>
      <w:r w:rsidRPr="00F00B77" w:rsidDel="00BA7A10">
        <w:rPr>
          <w:rFonts w:ascii="宋体" w:hAnsi="宋体" w:hint="eastAsia"/>
          <w:b/>
          <w:kern w:val="0"/>
          <w:sz w:val="30"/>
        </w:rPr>
        <w:t xml:space="preserve"> </w:t>
      </w:r>
    </w:p>
    <w:p w14:paraId="1C706D34" w14:textId="77777777" w:rsidR="00084DB4" w:rsidRPr="00F00B77" w:rsidRDefault="00084DB4" w:rsidP="0088371F">
      <w:pPr>
        <w:widowControl/>
        <w:adjustRightInd w:val="0"/>
        <w:snapToGrid w:val="0"/>
        <w:spacing w:line="360" w:lineRule="auto"/>
        <w:ind w:firstLineChars="200" w:firstLine="480"/>
        <w:rPr>
          <w:rFonts w:hAnsi="宋体"/>
          <w:kern w:val="0"/>
          <w:sz w:val="24"/>
        </w:rPr>
      </w:pPr>
      <w:r w:rsidRPr="00F00B77">
        <w:rPr>
          <w:rFonts w:hAnsi="宋体"/>
          <w:kern w:val="0"/>
          <w:sz w:val="24"/>
        </w:rPr>
        <w:t>基金合同如有未尽事宜，由基金合同当事人各方按有关法律法规协商解决。</w:t>
      </w:r>
    </w:p>
    <w:p w14:paraId="201A1233" w14:textId="77777777" w:rsidR="00CD5DB4" w:rsidRPr="00F00B77" w:rsidRDefault="00CD5DB4" w:rsidP="0088371F">
      <w:pPr>
        <w:widowControl/>
        <w:adjustRightInd w:val="0"/>
        <w:snapToGrid w:val="0"/>
        <w:spacing w:line="360" w:lineRule="auto"/>
        <w:ind w:firstLineChars="200" w:firstLine="480"/>
        <w:rPr>
          <w:rFonts w:hAnsi="宋体"/>
          <w:kern w:val="0"/>
          <w:sz w:val="24"/>
        </w:rPr>
      </w:pPr>
      <w:r w:rsidRPr="00F00B77">
        <w:rPr>
          <w:rFonts w:hAnsi="宋体" w:hint="eastAsia"/>
          <w:kern w:val="0"/>
          <w:sz w:val="24"/>
        </w:rPr>
        <w:t>本招募说明书更新期间基金披露的其他重要事项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2126"/>
        <w:gridCol w:w="1497"/>
      </w:tblGrid>
      <w:tr w:rsidR="00CD5DB4" w:rsidRPr="00F00B77" w14:paraId="7B00967B" w14:textId="77777777" w:rsidTr="0088371F">
        <w:trPr>
          <w:trHeight w:val="20"/>
        </w:trPr>
        <w:tc>
          <w:tcPr>
            <w:tcW w:w="704" w:type="dxa"/>
            <w:shd w:val="clear" w:color="auto" w:fill="auto"/>
            <w:vAlign w:val="center"/>
            <w:hideMark/>
          </w:tcPr>
          <w:p w14:paraId="2338EBBF" w14:textId="77777777" w:rsidR="00CD5DB4" w:rsidRPr="00F00B77" w:rsidRDefault="00CD5DB4" w:rsidP="00C71AF4">
            <w:pPr>
              <w:widowControl/>
              <w:jc w:val="center"/>
              <w:rPr>
                <w:color w:val="000000"/>
                <w:kern w:val="0"/>
                <w:sz w:val="24"/>
                <w:szCs w:val="24"/>
              </w:rPr>
            </w:pPr>
            <w:r w:rsidRPr="00F00B77">
              <w:rPr>
                <w:color w:val="000000"/>
                <w:kern w:val="0"/>
                <w:sz w:val="24"/>
                <w:szCs w:val="24"/>
              </w:rPr>
              <w:t>序号</w:t>
            </w:r>
          </w:p>
        </w:tc>
        <w:tc>
          <w:tcPr>
            <w:tcW w:w="3969" w:type="dxa"/>
            <w:shd w:val="clear" w:color="auto" w:fill="auto"/>
            <w:noWrap/>
            <w:vAlign w:val="center"/>
            <w:hideMark/>
          </w:tcPr>
          <w:p w14:paraId="59B8C139" w14:textId="77777777" w:rsidR="00CD5DB4" w:rsidRPr="00F00B77" w:rsidRDefault="00CD5DB4" w:rsidP="00C71AF4">
            <w:pPr>
              <w:widowControl/>
              <w:jc w:val="center"/>
              <w:rPr>
                <w:color w:val="000000"/>
                <w:kern w:val="0"/>
                <w:sz w:val="24"/>
                <w:szCs w:val="24"/>
              </w:rPr>
            </w:pPr>
            <w:r w:rsidRPr="00F00B77">
              <w:rPr>
                <w:color w:val="000000"/>
                <w:kern w:val="0"/>
                <w:sz w:val="24"/>
                <w:szCs w:val="24"/>
              </w:rPr>
              <w:t>公告事项</w:t>
            </w:r>
          </w:p>
        </w:tc>
        <w:tc>
          <w:tcPr>
            <w:tcW w:w="2126" w:type="dxa"/>
            <w:shd w:val="clear" w:color="auto" w:fill="auto"/>
            <w:noWrap/>
            <w:vAlign w:val="center"/>
            <w:hideMark/>
          </w:tcPr>
          <w:p w14:paraId="1FD98273" w14:textId="77777777" w:rsidR="00CD5DB4" w:rsidRPr="00F00B77" w:rsidRDefault="00CD5DB4" w:rsidP="00C71AF4">
            <w:pPr>
              <w:widowControl/>
              <w:jc w:val="center"/>
              <w:rPr>
                <w:color w:val="000000"/>
                <w:kern w:val="0"/>
                <w:sz w:val="24"/>
                <w:szCs w:val="24"/>
              </w:rPr>
            </w:pPr>
            <w:r w:rsidRPr="00F00B77">
              <w:rPr>
                <w:color w:val="000000"/>
                <w:kern w:val="0"/>
                <w:sz w:val="24"/>
                <w:szCs w:val="24"/>
              </w:rPr>
              <w:t>法定披露方式</w:t>
            </w:r>
          </w:p>
        </w:tc>
        <w:tc>
          <w:tcPr>
            <w:tcW w:w="1497" w:type="dxa"/>
            <w:shd w:val="clear" w:color="auto" w:fill="auto"/>
            <w:noWrap/>
            <w:vAlign w:val="center"/>
            <w:hideMark/>
          </w:tcPr>
          <w:p w14:paraId="766E27FA" w14:textId="77777777" w:rsidR="00CD5DB4" w:rsidRPr="00F00B77" w:rsidRDefault="00CD5DB4" w:rsidP="00C71AF4">
            <w:pPr>
              <w:widowControl/>
              <w:jc w:val="center"/>
              <w:rPr>
                <w:color w:val="000000"/>
                <w:kern w:val="0"/>
                <w:sz w:val="24"/>
                <w:szCs w:val="24"/>
              </w:rPr>
            </w:pPr>
            <w:r w:rsidRPr="00F00B77">
              <w:rPr>
                <w:color w:val="000000"/>
                <w:kern w:val="0"/>
                <w:sz w:val="24"/>
                <w:szCs w:val="24"/>
              </w:rPr>
              <w:t>法定披露日期</w:t>
            </w:r>
          </w:p>
        </w:tc>
      </w:tr>
      <w:tr w:rsidR="0097533A" w:rsidRPr="0097533A" w14:paraId="566B448A" w14:textId="77777777" w:rsidTr="0097533A">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E5D7"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35E5F"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交银施罗德活期通货币市场基金（更新）招募说明书摘要（</w:t>
            </w:r>
            <w:r w:rsidRPr="0097533A">
              <w:rPr>
                <w:rFonts w:hint="eastAsia"/>
                <w:color w:val="000000"/>
                <w:kern w:val="0"/>
                <w:sz w:val="24"/>
                <w:szCs w:val="24"/>
              </w:rPr>
              <w:t>2017</w:t>
            </w:r>
            <w:r w:rsidRPr="0097533A">
              <w:rPr>
                <w:rFonts w:hint="eastAsia"/>
                <w:color w:val="000000"/>
                <w:kern w:val="0"/>
                <w:sz w:val="24"/>
                <w:szCs w:val="24"/>
              </w:rPr>
              <w:t>年第</w:t>
            </w:r>
            <w:r w:rsidRPr="0097533A">
              <w:rPr>
                <w:rFonts w:hint="eastAsia"/>
                <w:color w:val="000000"/>
                <w:kern w:val="0"/>
                <w:sz w:val="24"/>
                <w:szCs w:val="24"/>
              </w:rPr>
              <w:t>1</w:t>
            </w:r>
            <w:r w:rsidRPr="0097533A">
              <w:rPr>
                <w:rFonts w:hint="eastAsia"/>
                <w:color w:val="000000"/>
                <w:kern w:val="0"/>
                <w:sz w:val="24"/>
                <w:szCs w:val="24"/>
              </w:rPr>
              <w:t>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82042"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A2ADE"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2017-3-13</w:t>
            </w:r>
          </w:p>
        </w:tc>
      </w:tr>
      <w:tr w:rsidR="0097533A" w:rsidRPr="0097533A" w14:paraId="49ADE3DE" w14:textId="77777777" w:rsidTr="0097533A">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48D2"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8AFD"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交银施罗德活期通货币市场基金</w:t>
            </w:r>
            <w:r w:rsidRPr="0097533A">
              <w:rPr>
                <w:rFonts w:hint="eastAsia"/>
                <w:color w:val="000000"/>
                <w:kern w:val="0"/>
                <w:sz w:val="24"/>
                <w:szCs w:val="24"/>
              </w:rPr>
              <w:t>2016</w:t>
            </w:r>
            <w:r w:rsidRPr="0097533A">
              <w:rPr>
                <w:rFonts w:hint="eastAsia"/>
                <w:color w:val="000000"/>
                <w:kern w:val="0"/>
                <w:sz w:val="24"/>
                <w:szCs w:val="24"/>
              </w:rPr>
              <w:t>年年度报告摘要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7D890"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BDF2F"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2017-3-29</w:t>
            </w:r>
          </w:p>
        </w:tc>
      </w:tr>
      <w:tr w:rsidR="0097533A" w:rsidRPr="0097533A" w14:paraId="0F2563B1" w14:textId="77777777" w:rsidTr="0097533A">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B94AA"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0F81"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交银施罗德活期通货币市场基金</w:t>
            </w:r>
            <w:r w:rsidRPr="0097533A">
              <w:rPr>
                <w:rFonts w:hint="eastAsia"/>
                <w:color w:val="000000"/>
                <w:kern w:val="0"/>
                <w:sz w:val="24"/>
                <w:szCs w:val="24"/>
              </w:rPr>
              <w:t>2017</w:t>
            </w:r>
            <w:r w:rsidRPr="0097533A">
              <w:rPr>
                <w:rFonts w:hint="eastAsia"/>
                <w:color w:val="000000"/>
                <w:kern w:val="0"/>
                <w:sz w:val="24"/>
                <w:szCs w:val="24"/>
              </w:rPr>
              <w:t>年第</w:t>
            </w:r>
            <w:r w:rsidRPr="0097533A">
              <w:rPr>
                <w:rFonts w:hint="eastAsia"/>
                <w:color w:val="000000"/>
                <w:kern w:val="0"/>
                <w:sz w:val="24"/>
                <w:szCs w:val="24"/>
              </w:rPr>
              <w:t>1</w:t>
            </w:r>
            <w:r w:rsidRPr="0097533A">
              <w:rPr>
                <w:rFonts w:hint="eastAsia"/>
                <w:color w:val="000000"/>
                <w:kern w:val="0"/>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A839"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5CD0"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2017-4-24</w:t>
            </w:r>
          </w:p>
        </w:tc>
      </w:tr>
      <w:tr w:rsidR="0097533A" w:rsidRPr="0097533A" w14:paraId="5C35C17B" w14:textId="77777777" w:rsidTr="0097533A">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E45C2"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EFC1"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交银施罗德基金管理有限公司关于增加上海基煜基金销售有限公司为旗下部分基金的场外销售机构的公告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89581"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6043"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2017-5-26</w:t>
            </w:r>
          </w:p>
        </w:tc>
      </w:tr>
      <w:tr w:rsidR="0097533A" w:rsidRPr="0097533A" w14:paraId="0E16F2F6" w14:textId="77777777" w:rsidTr="0097533A">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C6F0B"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CA6EE"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交银施罗德基金管理有限公司关于交银施罗德活期通货币市场基金暂停大额申购、定期定额投资业务的公告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CB934"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B0F9"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2017-6-30</w:t>
            </w:r>
          </w:p>
        </w:tc>
      </w:tr>
      <w:tr w:rsidR="0097533A" w:rsidRPr="0097533A" w14:paraId="11FFE77C" w14:textId="77777777" w:rsidTr="0097533A">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8B2E"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25F2"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交银施罗德活期通货币市场基金</w:t>
            </w:r>
            <w:r w:rsidRPr="0097533A">
              <w:rPr>
                <w:rFonts w:hint="eastAsia"/>
                <w:color w:val="000000"/>
                <w:kern w:val="0"/>
                <w:sz w:val="24"/>
                <w:szCs w:val="24"/>
              </w:rPr>
              <w:t>2017</w:t>
            </w:r>
            <w:r w:rsidRPr="0097533A">
              <w:rPr>
                <w:rFonts w:hint="eastAsia"/>
                <w:color w:val="000000"/>
                <w:kern w:val="0"/>
                <w:sz w:val="24"/>
                <w:szCs w:val="24"/>
              </w:rPr>
              <w:t>年第</w:t>
            </w:r>
            <w:r w:rsidRPr="0097533A">
              <w:rPr>
                <w:rFonts w:hint="eastAsia"/>
                <w:color w:val="000000"/>
                <w:kern w:val="0"/>
                <w:sz w:val="24"/>
                <w:szCs w:val="24"/>
              </w:rPr>
              <w:t>2</w:t>
            </w:r>
            <w:r w:rsidRPr="0097533A">
              <w:rPr>
                <w:rFonts w:hint="eastAsia"/>
                <w:color w:val="000000"/>
                <w:kern w:val="0"/>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A4A2"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BAE05" w14:textId="77777777" w:rsidR="0097533A" w:rsidRPr="0097533A" w:rsidRDefault="0097533A" w:rsidP="00C71AF4">
            <w:pPr>
              <w:widowControl/>
              <w:jc w:val="center"/>
              <w:rPr>
                <w:color w:val="000000"/>
                <w:kern w:val="0"/>
                <w:sz w:val="24"/>
                <w:szCs w:val="24"/>
              </w:rPr>
            </w:pPr>
            <w:r w:rsidRPr="0097533A">
              <w:rPr>
                <w:rFonts w:hint="eastAsia"/>
                <w:color w:val="000000"/>
                <w:kern w:val="0"/>
                <w:sz w:val="24"/>
                <w:szCs w:val="24"/>
              </w:rPr>
              <w:t>2017-7-20</w:t>
            </w:r>
          </w:p>
        </w:tc>
      </w:tr>
    </w:tbl>
    <w:p w14:paraId="21604894" w14:textId="77777777" w:rsidR="00084DB4" w:rsidRPr="00F00B77" w:rsidRDefault="00084DB4">
      <w:pPr>
        <w:widowControl/>
        <w:adjustRightInd w:val="0"/>
        <w:snapToGrid w:val="0"/>
        <w:spacing w:line="360" w:lineRule="auto"/>
        <w:ind w:firstLineChars="200" w:firstLine="480"/>
        <w:rPr>
          <w:rFonts w:ascii="宋体" w:hAnsi="宋体"/>
          <w:kern w:val="0"/>
          <w:sz w:val="24"/>
        </w:rPr>
      </w:pPr>
    </w:p>
    <w:p w14:paraId="05CD2904"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78" w:name="_Toc491431685"/>
      <w:r w:rsidRPr="00F00B77">
        <w:rPr>
          <w:rFonts w:ascii="宋体" w:hAnsi="宋体" w:hint="eastAsia"/>
          <w:b/>
          <w:kern w:val="0"/>
          <w:sz w:val="30"/>
        </w:rPr>
        <w:t>二十二、招募说明书的存放及查阅方式</w:t>
      </w:r>
      <w:bookmarkEnd w:id="78"/>
    </w:p>
    <w:p w14:paraId="2AAB2A5D"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招募说明书存放在基金管理人、基金托管人</w:t>
      </w:r>
      <w:r w:rsidRPr="00F00B77">
        <w:rPr>
          <w:rFonts w:ascii="宋体" w:hAnsi="宋体"/>
          <w:bCs/>
          <w:kern w:val="0"/>
          <w:sz w:val="24"/>
        </w:rPr>
        <w:t>和基金销售机构</w:t>
      </w:r>
      <w:r w:rsidRPr="00F00B77">
        <w:rPr>
          <w:rFonts w:ascii="宋体" w:hAnsi="宋体"/>
          <w:kern w:val="0"/>
          <w:sz w:val="24"/>
        </w:rPr>
        <w:t>的</w:t>
      </w:r>
      <w:r w:rsidR="00863026" w:rsidRPr="00F00B77">
        <w:rPr>
          <w:rFonts w:ascii="宋体" w:hAnsi="宋体" w:hint="eastAsia"/>
          <w:kern w:val="0"/>
          <w:sz w:val="24"/>
        </w:rPr>
        <w:t>办公</w:t>
      </w:r>
      <w:r w:rsidRPr="00F00B77">
        <w:rPr>
          <w:rFonts w:ascii="宋体" w:hAnsi="宋体"/>
          <w:kern w:val="0"/>
          <w:sz w:val="24"/>
        </w:rPr>
        <w:t>场所，投资人可在办公时间查阅；投资人在支付工本费后，可在合理时</w:t>
      </w:r>
      <w:bookmarkStart w:id="79" w:name="_Toc109537401"/>
      <w:r w:rsidRPr="00F00B77">
        <w:rPr>
          <w:rFonts w:ascii="宋体" w:hAnsi="宋体"/>
          <w:kern w:val="0"/>
          <w:sz w:val="24"/>
        </w:rPr>
        <w:t>间内取得上述文件复制件</w:t>
      </w:r>
      <w:bookmarkEnd w:id="79"/>
      <w:r w:rsidRPr="00F00B77">
        <w:rPr>
          <w:rFonts w:ascii="宋体" w:hAnsi="宋体"/>
          <w:kern w:val="0"/>
          <w:sz w:val="24"/>
        </w:rPr>
        <w:t>或复印件。对投资人按此种方式所获得的文件及其复印件，基金管理人和基金托管人</w:t>
      </w:r>
      <w:bookmarkStart w:id="80" w:name="_Toc109537402"/>
      <w:r w:rsidRPr="00F00B77">
        <w:rPr>
          <w:rFonts w:ascii="宋体" w:hAnsi="宋体"/>
          <w:kern w:val="0"/>
          <w:sz w:val="24"/>
        </w:rPr>
        <w:t>保证文本的内容与所公告的内容完全一</w:t>
      </w:r>
      <w:bookmarkEnd w:id="80"/>
      <w:r w:rsidRPr="00F00B77">
        <w:rPr>
          <w:rFonts w:ascii="宋体" w:hAnsi="宋体"/>
          <w:kern w:val="0"/>
          <w:sz w:val="24"/>
        </w:rPr>
        <w:t xml:space="preserve">致。 </w:t>
      </w:r>
    </w:p>
    <w:p w14:paraId="0384F633"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投资人还可以直接登录基金管理人的网站(</w:t>
      </w:r>
      <w:hyperlink r:id="rId18" w:history="1">
        <w:r w:rsidRPr="00F00B77">
          <w:rPr>
            <w:rStyle w:val="a4"/>
            <w:color w:val="auto"/>
            <w:sz w:val="24"/>
            <w:szCs w:val="24"/>
            <w:u w:val="none"/>
          </w:rPr>
          <w:t>www.fund001.com</w:t>
        </w:r>
        <w:r w:rsidRPr="00F00B77">
          <w:rPr>
            <w:rStyle w:val="a4"/>
            <w:rFonts w:ascii="宋体" w:hAnsi="宋体" w:hint="eastAsia"/>
            <w:color w:val="auto"/>
            <w:sz w:val="24"/>
            <w:szCs w:val="24"/>
            <w:u w:val="none"/>
          </w:rPr>
          <w:t>，</w:t>
        </w:r>
        <w:r w:rsidRPr="00F00B77">
          <w:rPr>
            <w:rStyle w:val="a4"/>
            <w:color w:val="auto"/>
            <w:sz w:val="24"/>
            <w:szCs w:val="24"/>
            <w:u w:val="none"/>
          </w:rPr>
          <w:t>www.bocomschroder.com</w:t>
        </w:r>
      </w:hyperlink>
      <w:r w:rsidRPr="00F00B77">
        <w:rPr>
          <w:rFonts w:ascii="宋体" w:hAnsi="宋体"/>
          <w:kern w:val="0"/>
          <w:sz w:val="24"/>
        </w:rPr>
        <w:t xml:space="preserve">)查阅和下载招募说明书。 </w:t>
      </w:r>
    </w:p>
    <w:p w14:paraId="1EE5AFC9" w14:textId="77777777" w:rsidR="00084DB4" w:rsidRPr="00F00B77" w:rsidRDefault="00084DB4">
      <w:pPr>
        <w:widowControl/>
        <w:adjustRightInd w:val="0"/>
        <w:snapToGrid w:val="0"/>
        <w:spacing w:line="360" w:lineRule="auto"/>
        <w:ind w:firstLineChars="200" w:firstLine="480"/>
        <w:rPr>
          <w:rFonts w:ascii="宋体" w:hAnsi="宋体"/>
          <w:kern w:val="0"/>
          <w:sz w:val="24"/>
        </w:rPr>
      </w:pPr>
    </w:p>
    <w:p w14:paraId="6C9580C4" w14:textId="77777777" w:rsidR="00084DB4" w:rsidRPr="00F00B77" w:rsidRDefault="00084DB4" w:rsidP="004A3EE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1" w:name="_Toc491431686"/>
      <w:r w:rsidRPr="00F00B77">
        <w:rPr>
          <w:rFonts w:ascii="宋体" w:hAnsi="宋体" w:hint="eastAsia"/>
          <w:b/>
          <w:kern w:val="0"/>
          <w:sz w:val="30"/>
        </w:rPr>
        <w:t>二十三、备查文件</w:t>
      </w:r>
      <w:bookmarkEnd w:id="81"/>
    </w:p>
    <w:p w14:paraId="3E79DBBC"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hint="eastAsia"/>
          <w:kern w:val="0"/>
          <w:sz w:val="24"/>
        </w:rPr>
        <w:t>以下备查文件存放在基金管理人的办公场所，在办公时间可供免费查阅。</w:t>
      </w:r>
    </w:p>
    <w:p w14:paraId="63EF90F0"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（一）中国证监会</w:t>
      </w:r>
      <w:r w:rsidRPr="00F00B77">
        <w:rPr>
          <w:rFonts w:ascii="宋体" w:hAnsi="宋体" w:hint="eastAsia"/>
          <w:kern w:val="0"/>
          <w:sz w:val="24"/>
          <w:szCs w:val="24"/>
        </w:rPr>
        <w:t>准予</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基金募集</w:t>
      </w:r>
      <w:r w:rsidRPr="00F00B77">
        <w:rPr>
          <w:rFonts w:ascii="宋体" w:hAnsi="宋体" w:hint="eastAsia"/>
          <w:kern w:val="0"/>
          <w:sz w:val="24"/>
          <w:szCs w:val="24"/>
        </w:rPr>
        <w:t>注册</w:t>
      </w:r>
      <w:r w:rsidRPr="00F00B77">
        <w:rPr>
          <w:rFonts w:ascii="宋体" w:hAnsi="宋体"/>
          <w:kern w:val="0"/>
          <w:sz w:val="24"/>
          <w:szCs w:val="24"/>
        </w:rPr>
        <w:t xml:space="preserve">的文件 </w:t>
      </w:r>
    </w:p>
    <w:p w14:paraId="789838A0"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（二）《交银施罗德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 xml:space="preserve">基金基金合同》 </w:t>
      </w:r>
    </w:p>
    <w:p w14:paraId="02C1527B"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hint="eastAsia"/>
          <w:kern w:val="0"/>
          <w:sz w:val="24"/>
          <w:szCs w:val="24"/>
        </w:rPr>
        <w:t>（</w:t>
      </w:r>
      <w:r w:rsidRPr="00F00B77">
        <w:rPr>
          <w:rFonts w:ascii="宋体" w:hAnsi="宋体"/>
          <w:kern w:val="0"/>
          <w:sz w:val="24"/>
          <w:szCs w:val="24"/>
        </w:rPr>
        <w:t>三</w:t>
      </w:r>
      <w:r w:rsidRPr="00F00B77">
        <w:rPr>
          <w:rFonts w:ascii="宋体" w:hAnsi="宋体" w:hint="eastAsia"/>
          <w:kern w:val="0"/>
          <w:sz w:val="24"/>
          <w:szCs w:val="24"/>
        </w:rPr>
        <w:t>）</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 xml:space="preserve">基金托管协议》 </w:t>
      </w:r>
    </w:p>
    <w:p w14:paraId="4D85F201"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hint="eastAsia"/>
          <w:kern w:val="0"/>
          <w:sz w:val="24"/>
          <w:szCs w:val="24"/>
        </w:rPr>
        <w:t>（四）</w:t>
      </w:r>
      <w:r w:rsidRPr="00F00B77">
        <w:rPr>
          <w:rFonts w:ascii="宋体" w:hAnsi="宋体"/>
          <w:kern w:val="0"/>
          <w:sz w:val="24"/>
          <w:szCs w:val="24"/>
        </w:rPr>
        <w:t>基金管理人业务资格批件、营业执照</w:t>
      </w:r>
    </w:p>
    <w:p w14:paraId="26A1E87C"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w:t>
      </w:r>
      <w:r w:rsidRPr="00F00B77">
        <w:rPr>
          <w:rFonts w:ascii="宋体" w:hAnsi="宋体" w:hint="eastAsia"/>
          <w:kern w:val="0"/>
          <w:sz w:val="24"/>
          <w:szCs w:val="24"/>
        </w:rPr>
        <w:t>五</w:t>
      </w:r>
      <w:r w:rsidRPr="00F00B77">
        <w:rPr>
          <w:rFonts w:ascii="宋体" w:hAnsi="宋体"/>
          <w:kern w:val="0"/>
          <w:sz w:val="24"/>
          <w:szCs w:val="24"/>
        </w:rPr>
        <w:t>）基金托管人业务资格批件、营业执照</w:t>
      </w:r>
    </w:p>
    <w:p w14:paraId="2C60988B" w14:textId="77777777" w:rsidR="00084DB4" w:rsidRPr="00A6368E" w:rsidRDefault="00084DB4" w:rsidP="0088371F">
      <w:pPr>
        <w:widowControl/>
        <w:adjustRightInd w:val="0"/>
        <w:snapToGrid w:val="0"/>
        <w:spacing w:line="360" w:lineRule="auto"/>
        <w:ind w:firstLineChars="200" w:firstLine="480"/>
        <w:rPr>
          <w:kern w:val="0"/>
          <w:sz w:val="24"/>
        </w:rPr>
      </w:pPr>
      <w:r w:rsidRPr="00F00B77">
        <w:rPr>
          <w:rFonts w:ascii="宋体" w:hAnsi="宋体"/>
          <w:kern w:val="0"/>
          <w:sz w:val="24"/>
          <w:szCs w:val="24"/>
        </w:rPr>
        <w:t>（</w:t>
      </w:r>
      <w:r w:rsidRPr="00F00B77">
        <w:rPr>
          <w:rFonts w:ascii="宋体" w:hAnsi="宋体" w:hint="eastAsia"/>
          <w:kern w:val="0"/>
          <w:sz w:val="24"/>
          <w:szCs w:val="24"/>
        </w:rPr>
        <w:t>六</w:t>
      </w:r>
      <w:r w:rsidRPr="00F00B77">
        <w:rPr>
          <w:rFonts w:ascii="宋体" w:hAnsi="宋体"/>
          <w:kern w:val="0"/>
          <w:sz w:val="24"/>
          <w:szCs w:val="24"/>
        </w:rPr>
        <w:t>）关于</w:t>
      </w:r>
      <w:r w:rsidRPr="00F00B77">
        <w:rPr>
          <w:rFonts w:ascii="宋体" w:hAnsi="宋体" w:hint="eastAsia"/>
          <w:kern w:val="0"/>
          <w:sz w:val="24"/>
          <w:szCs w:val="24"/>
        </w:rPr>
        <w:t>申请</w:t>
      </w:r>
      <w:r w:rsidRPr="00F00B77">
        <w:rPr>
          <w:rFonts w:ascii="宋体" w:hAnsi="宋体"/>
          <w:kern w:val="0"/>
          <w:sz w:val="24"/>
          <w:szCs w:val="24"/>
        </w:rPr>
        <w:t>募集</w:t>
      </w:r>
      <w:r w:rsidRPr="00F00B77">
        <w:rPr>
          <w:rFonts w:ascii="宋体" w:hAnsi="宋体" w:hint="eastAsia"/>
          <w:kern w:val="0"/>
          <w:sz w:val="24"/>
          <w:szCs w:val="24"/>
        </w:rPr>
        <w:t>注册</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基金</w:t>
      </w:r>
      <w:r w:rsidRPr="00F00B77">
        <w:rPr>
          <w:rFonts w:ascii="宋体" w:hAnsi="宋体" w:hint="eastAsia"/>
          <w:kern w:val="0"/>
          <w:sz w:val="24"/>
          <w:szCs w:val="24"/>
        </w:rPr>
        <w:t>的</w:t>
      </w:r>
      <w:r w:rsidRPr="00F00B77">
        <w:rPr>
          <w:rFonts w:ascii="宋体" w:hAnsi="宋体"/>
          <w:kern w:val="0"/>
          <w:sz w:val="24"/>
          <w:szCs w:val="24"/>
        </w:rPr>
        <w:t>法律意见书</w:t>
      </w:r>
    </w:p>
    <w:sectPr w:rsidR="00084DB4" w:rsidRPr="00A6368E" w:rsidSect="004A3EE5">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A0D37" w14:textId="77777777" w:rsidR="005464A5" w:rsidRDefault="005464A5">
      <w:r>
        <w:separator/>
      </w:r>
    </w:p>
  </w:endnote>
  <w:endnote w:type="continuationSeparator" w:id="0">
    <w:p w14:paraId="32CF7FAB" w14:textId="77777777" w:rsidR="005464A5" w:rsidRDefault="0054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BF72" w14:textId="77777777" w:rsidR="0046568D" w:rsidRDefault="0046568D">
    <w:pPr>
      <w:pStyle w:val="a7"/>
      <w:jc w:val="center"/>
    </w:pPr>
    <w:r>
      <w:fldChar w:fldCharType="begin"/>
    </w:r>
    <w:r>
      <w:instrText xml:space="preserve"> PAGE   \* MERGEFORMAT </w:instrText>
    </w:r>
    <w:r>
      <w:fldChar w:fldCharType="separate"/>
    </w:r>
    <w:r w:rsidR="007972BD" w:rsidRPr="007972BD">
      <w:rPr>
        <w:noProof/>
        <w:lang w:val="zh-CN"/>
      </w:rPr>
      <w:t>14</w:t>
    </w:r>
    <w:r>
      <w:rPr>
        <w:noProof/>
        <w:lang w:val="zh-CN"/>
      </w:rPr>
      <w:fldChar w:fldCharType="end"/>
    </w:r>
  </w:p>
  <w:p w14:paraId="00B0333D" w14:textId="77777777" w:rsidR="0046568D" w:rsidRDefault="004656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9F020" w14:textId="77777777" w:rsidR="005464A5" w:rsidRDefault="005464A5">
      <w:r>
        <w:separator/>
      </w:r>
    </w:p>
  </w:footnote>
  <w:footnote w:type="continuationSeparator" w:id="0">
    <w:p w14:paraId="4F3BABC4" w14:textId="77777777" w:rsidR="005464A5" w:rsidRDefault="00546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EC1A" w14:textId="77777777" w:rsidR="0046568D" w:rsidRDefault="0046568D">
    <w:pPr>
      <w:pStyle w:val="af1"/>
      <w:jc w:val="right"/>
    </w:pPr>
    <w:r>
      <w:rPr>
        <w:noProof/>
      </w:rPr>
      <w:drawing>
        <wp:anchor distT="0" distB="0" distL="114300" distR="114300" simplePos="0" relativeHeight="251657728" behindDoc="0" locked="0" layoutInCell="1" allowOverlap="1" wp14:anchorId="1C0AF66D" wp14:editId="6B9C772E">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w:t>
    </w:r>
  </w:p>
  <w:p w14:paraId="18356063" w14:textId="77777777" w:rsidR="0046568D" w:rsidRDefault="0046568D">
    <w:pPr>
      <w:pStyle w:val="af1"/>
      <w:jc w:val="right"/>
    </w:pPr>
    <w:r w:rsidRPr="00676714">
      <w:t>（</w:t>
    </w:r>
    <w:r w:rsidRPr="00676714">
      <w:t>20</w:t>
    </w:r>
    <w:r w:rsidRPr="00676714">
      <w:rPr>
        <w:rFonts w:hint="eastAsia"/>
      </w:rPr>
      <w:t>1</w:t>
    </w:r>
    <w:r w:rsidRPr="00676714">
      <w:t>7</w:t>
    </w:r>
    <w:r w:rsidRPr="00676714">
      <w:t>年第</w:t>
    </w:r>
    <w:r>
      <w:t>2</w:t>
    </w:r>
    <w:r w:rsidRPr="00676714">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36ED"/>
    <w:rsid w:val="00004B47"/>
    <w:rsid w:val="00004F21"/>
    <w:rsid w:val="00005C8A"/>
    <w:rsid w:val="000061E8"/>
    <w:rsid w:val="00006765"/>
    <w:rsid w:val="000071A7"/>
    <w:rsid w:val="00007B19"/>
    <w:rsid w:val="00011015"/>
    <w:rsid w:val="00011F81"/>
    <w:rsid w:val="00012036"/>
    <w:rsid w:val="00012593"/>
    <w:rsid w:val="000141E9"/>
    <w:rsid w:val="000142FC"/>
    <w:rsid w:val="00014A8B"/>
    <w:rsid w:val="00015379"/>
    <w:rsid w:val="00015550"/>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1D8A"/>
    <w:rsid w:val="000432D9"/>
    <w:rsid w:val="00043387"/>
    <w:rsid w:val="00045752"/>
    <w:rsid w:val="000461B1"/>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21D3"/>
    <w:rsid w:val="000A2FD3"/>
    <w:rsid w:val="000A3044"/>
    <w:rsid w:val="000A31CA"/>
    <w:rsid w:val="000A36E6"/>
    <w:rsid w:val="000A41B0"/>
    <w:rsid w:val="000A60BA"/>
    <w:rsid w:val="000A775B"/>
    <w:rsid w:val="000B04DF"/>
    <w:rsid w:val="000B07CA"/>
    <w:rsid w:val="000B1A7C"/>
    <w:rsid w:val="000B26A8"/>
    <w:rsid w:val="000B2E33"/>
    <w:rsid w:val="000B5496"/>
    <w:rsid w:val="000B6967"/>
    <w:rsid w:val="000B78FB"/>
    <w:rsid w:val="000C0148"/>
    <w:rsid w:val="000C07FD"/>
    <w:rsid w:val="000C1A8D"/>
    <w:rsid w:val="000C1DC2"/>
    <w:rsid w:val="000C2295"/>
    <w:rsid w:val="000C37ED"/>
    <w:rsid w:val="000C4E01"/>
    <w:rsid w:val="000C7711"/>
    <w:rsid w:val="000D08D9"/>
    <w:rsid w:val="000D0A43"/>
    <w:rsid w:val="000D0D52"/>
    <w:rsid w:val="000D0ED3"/>
    <w:rsid w:val="000D0F1E"/>
    <w:rsid w:val="000D1375"/>
    <w:rsid w:val="000D1B7D"/>
    <w:rsid w:val="000D265E"/>
    <w:rsid w:val="000D30D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5C88"/>
    <w:rsid w:val="000E6928"/>
    <w:rsid w:val="000E7E34"/>
    <w:rsid w:val="000F26AA"/>
    <w:rsid w:val="000F2799"/>
    <w:rsid w:val="000F3239"/>
    <w:rsid w:val="000F5072"/>
    <w:rsid w:val="000F7FC4"/>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304"/>
    <w:rsid w:val="00134341"/>
    <w:rsid w:val="001347F3"/>
    <w:rsid w:val="00136501"/>
    <w:rsid w:val="00136C37"/>
    <w:rsid w:val="001372D7"/>
    <w:rsid w:val="00140C46"/>
    <w:rsid w:val="001411CF"/>
    <w:rsid w:val="001415B1"/>
    <w:rsid w:val="00141A31"/>
    <w:rsid w:val="00141A52"/>
    <w:rsid w:val="00141E6F"/>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4074"/>
    <w:rsid w:val="00184093"/>
    <w:rsid w:val="00184912"/>
    <w:rsid w:val="00184B24"/>
    <w:rsid w:val="00184C7E"/>
    <w:rsid w:val="00184DB7"/>
    <w:rsid w:val="001854DC"/>
    <w:rsid w:val="00185FFD"/>
    <w:rsid w:val="00186FD4"/>
    <w:rsid w:val="001907EB"/>
    <w:rsid w:val="0019090C"/>
    <w:rsid w:val="00192339"/>
    <w:rsid w:val="001940CA"/>
    <w:rsid w:val="00194387"/>
    <w:rsid w:val="00195DCD"/>
    <w:rsid w:val="0019719A"/>
    <w:rsid w:val="001A136E"/>
    <w:rsid w:val="001A1652"/>
    <w:rsid w:val="001A2678"/>
    <w:rsid w:val="001A322F"/>
    <w:rsid w:val="001A365C"/>
    <w:rsid w:val="001A3800"/>
    <w:rsid w:val="001A3878"/>
    <w:rsid w:val="001A39CE"/>
    <w:rsid w:val="001A4110"/>
    <w:rsid w:val="001A68D0"/>
    <w:rsid w:val="001B1F5C"/>
    <w:rsid w:val="001B2E54"/>
    <w:rsid w:val="001B3A68"/>
    <w:rsid w:val="001B46A1"/>
    <w:rsid w:val="001B480D"/>
    <w:rsid w:val="001B65BB"/>
    <w:rsid w:val="001C3484"/>
    <w:rsid w:val="001C44EB"/>
    <w:rsid w:val="001C5D8C"/>
    <w:rsid w:val="001C60F6"/>
    <w:rsid w:val="001C613F"/>
    <w:rsid w:val="001D3529"/>
    <w:rsid w:val="001D39C0"/>
    <w:rsid w:val="001D50B1"/>
    <w:rsid w:val="001D5D5B"/>
    <w:rsid w:val="001D5F76"/>
    <w:rsid w:val="001D64F0"/>
    <w:rsid w:val="001D6A52"/>
    <w:rsid w:val="001D7E20"/>
    <w:rsid w:val="001D7F41"/>
    <w:rsid w:val="001E0F98"/>
    <w:rsid w:val="001E11ED"/>
    <w:rsid w:val="001E3FDB"/>
    <w:rsid w:val="001E405F"/>
    <w:rsid w:val="001E42DC"/>
    <w:rsid w:val="001E4801"/>
    <w:rsid w:val="001E5F64"/>
    <w:rsid w:val="001E6076"/>
    <w:rsid w:val="001E6336"/>
    <w:rsid w:val="001E659D"/>
    <w:rsid w:val="001E68B4"/>
    <w:rsid w:val="001F1755"/>
    <w:rsid w:val="001F1BCF"/>
    <w:rsid w:val="001F267C"/>
    <w:rsid w:val="001F2812"/>
    <w:rsid w:val="001F289C"/>
    <w:rsid w:val="001F3ED2"/>
    <w:rsid w:val="001F446A"/>
    <w:rsid w:val="001F5058"/>
    <w:rsid w:val="001F52BC"/>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63C"/>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9BB"/>
    <w:rsid w:val="00230D8C"/>
    <w:rsid w:val="0023214E"/>
    <w:rsid w:val="002329B6"/>
    <w:rsid w:val="002344C9"/>
    <w:rsid w:val="00234677"/>
    <w:rsid w:val="0023502A"/>
    <w:rsid w:val="00235B74"/>
    <w:rsid w:val="002361A9"/>
    <w:rsid w:val="0023706F"/>
    <w:rsid w:val="0023763D"/>
    <w:rsid w:val="00237DF6"/>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CEE"/>
    <w:rsid w:val="00273181"/>
    <w:rsid w:val="002734DF"/>
    <w:rsid w:val="002742F9"/>
    <w:rsid w:val="0027732C"/>
    <w:rsid w:val="00281F8E"/>
    <w:rsid w:val="00282E02"/>
    <w:rsid w:val="0028398B"/>
    <w:rsid w:val="00283F16"/>
    <w:rsid w:val="00284901"/>
    <w:rsid w:val="0028542D"/>
    <w:rsid w:val="002860B5"/>
    <w:rsid w:val="002860E2"/>
    <w:rsid w:val="002869FF"/>
    <w:rsid w:val="00287C78"/>
    <w:rsid w:val="00287E74"/>
    <w:rsid w:val="002919F8"/>
    <w:rsid w:val="00292156"/>
    <w:rsid w:val="0029355B"/>
    <w:rsid w:val="002939CA"/>
    <w:rsid w:val="00293BC8"/>
    <w:rsid w:val="00293D0D"/>
    <w:rsid w:val="002946B6"/>
    <w:rsid w:val="00294E3E"/>
    <w:rsid w:val="00295BF8"/>
    <w:rsid w:val="00296124"/>
    <w:rsid w:val="00296193"/>
    <w:rsid w:val="0029691D"/>
    <w:rsid w:val="002975BA"/>
    <w:rsid w:val="00297939"/>
    <w:rsid w:val="002979EB"/>
    <w:rsid w:val="002A1944"/>
    <w:rsid w:val="002A20CE"/>
    <w:rsid w:val="002A35B4"/>
    <w:rsid w:val="002A5A87"/>
    <w:rsid w:val="002A5B31"/>
    <w:rsid w:val="002A5D3C"/>
    <w:rsid w:val="002A758B"/>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C06A9"/>
    <w:rsid w:val="002C08AA"/>
    <w:rsid w:val="002C09D3"/>
    <w:rsid w:val="002C0BB9"/>
    <w:rsid w:val="002C2BD0"/>
    <w:rsid w:val="002C2CA7"/>
    <w:rsid w:val="002C398A"/>
    <w:rsid w:val="002C4986"/>
    <w:rsid w:val="002C740D"/>
    <w:rsid w:val="002C7A89"/>
    <w:rsid w:val="002D17E5"/>
    <w:rsid w:val="002D1D28"/>
    <w:rsid w:val="002D2070"/>
    <w:rsid w:val="002D2F5A"/>
    <w:rsid w:val="002D4B8D"/>
    <w:rsid w:val="002D541C"/>
    <w:rsid w:val="002D7952"/>
    <w:rsid w:val="002E0AE6"/>
    <w:rsid w:val="002E1513"/>
    <w:rsid w:val="002E1B5A"/>
    <w:rsid w:val="002E4942"/>
    <w:rsid w:val="002E5033"/>
    <w:rsid w:val="002E50C1"/>
    <w:rsid w:val="002E609E"/>
    <w:rsid w:val="002E64A9"/>
    <w:rsid w:val="002E6905"/>
    <w:rsid w:val="002E798B"/>
    <w:rsid w:val="002F012E"/>
    <w:rsid w:val="002F237D"/>
    <w:rsid w:val="002F24D2"/>
    <w:rsid w:val="002F3CDD"/>
    <w:rsid w:val="002F3DC0"/>
    <w:rsid w:val="002F3F62"/>
    <w:rsid w:val="002F5CD3"/>
    <w:rsid w:val="002F60EF"/>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403CE"/>
    <w:rsid w:val="00340B73"/>
    <w:rsid w:val="00342B94"/>
    <w:rsid w:val="00344829"/>
    <w:rsid w:val="00345EBD"/>
    <w:rsid w:val="003474BB"/>
    <w:rsid w:val="00350529"/>
    <w:rsid w:val="003529FC"/>
    <w:rsid w:val="0035398F"/>
    <w:rsid w:val="00354040"/>
    <w:rsid w:val="00354142"/>
    <w:rsid w:val="0035438D"/>
    <w:rsid w:val="0035453A"/>
    <w:rsid w:val="00354B5F"/>
    <w:rsid w:val="003550FC"/>
    <w:rsid w:val="0035527F"/>
    <w:rsid w:val="00355952"/>
    <w:rsid w:val="003575F1"/>
    <w:rsid w:val="00357EBD"/>
    <w:rsid w:val="003604DE"/>
    <w:rsid w:val="00360E0C"/>
    <w:rsid w:val="00362F37"/>
    <w:rsid w:val="00362F93"/>
    <w:rsid w:val="00363BA1"/>
    <w:rsid w:val="003648BF"/>
    <w:rsid w:val="00365012"/>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1F3"/>
    <w:rsid w:val="003913C8"/>
    <w:rsid w:val="00392C8E"/>
    <w:rsid w:val="00393344"/>
    <w:rsid w:val="00393CDE"/>
    <w:rsid w:val="003950D0"/>
    <w:rsid w:val="0039564A"/>
    <w:rsid w:val="0039612E"/>
    <w:rsid w:val="00396296"/>
    <w:rsid w:val="00396428"/>
    <w:rsid w:val="0039692E"/>
    <w:rsid w:val="00397050"/>
    <w:rsid w:val="003A13EF"/>
    <w:rsid w:val="003A2C15"/>
    <w:rsid w:val="003A333A"/>
    <w:rsid w:val="003A45AB"/>
    <w:rsid w:val="003A5315"/>
    <w:rsid w:val="003A57C9"/>
    <w:rsid w:val="003A5DB5"/>
    <w:rsid w:val="003A633D"/>
    <w:rsid w:val="003A68E7"/>
    <w:rsid w:val="003B0B0C"/>
    <w:rsid w:val="003B3219"/>
    <w:rsid w:val="003B3475"/>
    <w:rsid w:val="003B442E"/>
    <w:rsid w:val="003B66E3"/>
    <w:rsid w:val="003B6E62"/>
    <w:rsid w:val="003C01EF"/>
    <w:rsid w:val="003C0901"/>
    <w:rsid w:val="003C0ED9"/>
    <w:rsid w:val="003C0F87"/>
    <w:rsid w:val="003C2BD3"/>
    <w:rsid w:val="003C2DAE"/>
    <w:rsid w:val="003C354F"/>
    <w:rsid w:val="003C71D7"/>
    <w:rsid w:val="003D0009"/>
    <w:rsid w:val="003D08F8"/>
    <w:rsid w:val="003D1D93"/>
    <w:rsid w:val="003D5261"/>
    <w:rsid w:val="003D5A80"/>
    <w:rsid w:val="003D6AC7"/>
    <w:rsid w:val="003D7AC7"/>
    <w:rsid w:val="003E054C"/>
    <w:rsid w:val="003E1676"/>
    <w:rsid w:val="003E1CAC"/>
    <w:rsid w:val="003E2863"/>
    <w:rsid w:val="003E47F7"/>
    <w:rsid w:val="003E5FEA"/>
    <w:rsid w:val="003E62E6"/>
    <w:rsid w:val="003E63B2"/>
    <w:rsid w:val="003E6C43"/>
    <w:rsid w:val="003F043A"/>
    <w:rsid w:val="003F0BB2"/>
    <w:rsid w:val="003F0BCA"/>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AD4"/>
    <w:rsid w:val="0044052F"/>
    <w:rsid w:val="00440BB2"/>
    <w:rsid w:val="00440F8C"/>
    <w:rsid w:val="004414C4"/>
    <w:rsid w:val="00441C04"/>
    <w:rsid w:val="004457B1"/>
    <w:rsid w:val="004461DC"/>
    <w:rsid w:val="004461E4"/>
    <w:rsid w:val="00446E7F"/>
    <w:rsid w:val="00446EB1"/>
    <w:rsid w:val="00447B3F"/>
    <w:rsid w:val="004509A7"/>
    <w:rsid w:val="0045195C"/>
    <w:rsid w:val="00451F6A"/>
    <w:rsid w:val="0045206F"/>
    <w:rsid w:val="0045254B"/>
    <w:rsid w:val="0045265C"/>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568D"/>
    <w:rsid w:val="00466EA5"/>
    <w:rsid w:val="00470D6C"/>
    <w:rsid w:val="0047104C"/>
    <w:rsid w:val="004718D7"/>
    <w:rsid w:val="00472839"/>
    <w:rsid w:val="00473C4C"/>
    <w:rsid w:val="00473D6A"/>
    <w:rsid w:val="00473F40"/>
    <w:rsid w:val="004742B0"/>
    <w:rsid w:val="00476370"/>
    <w:rsid w:val="00480801"/>
    <w:rsid w:val="004808CA"/>
    <w:rsid w:val="004822D1"/>
    <w:rsid w:val="004828A2"/>
    <w:rsid w:val="00485CB4"/>
    <w:rsid w:val="00486983"/>
    <w:rsid w:val="00486AEC"/>
    <w:rsid w:val="00487E97"/>
    <w:rsid w:val="00490A0E"/>
    <w:rsid w:val="004915F3"/>
    <w:rsid w:val="004916E4"/>
    <w:rsid w:val="00491993"/>
    <w:rsid w:val="004928FB"/>
    <w:rsid w:val="00492F32"/>
    <w:rsid w:val="004934ED"/>
    <w:rsid w:val="00493D80"/>
    <w:rsid w:val="00493FBE"/>
    <w:rsid w:val="004945A6"/>
    <w:rsid w:val="00495742"/>
    <w:rsid w:val="004957D1"/>
    <w:rsid w:val="00495EAB"/>
    <w:rsid w:val="0049664E"/>
    <w:rsid w:val="00496815"/>
    <w:rsid w:val="00497B11"/>
    <w:rsid w:val="004A185F"/>
    <w:rsid w:val="004A1C62"/>
    <w:rsid w:val="004A1D8A"/>
    <w:rsid w:val="004A1DE3"/>
    <w:rsid w:val="004A2643"/>
    <w:rsid w:val="004A3373"/>
    <w:rsid w:val="004A3438"/>
    <w:rsid w:val="004A3EE5"/>
    <w:rsid w:val="004A4FD3"/>
    <w:rsid w:val="004A5A4F"/>
    <w:rsid w:val="004A69D0"/>
    <w:rsid w:val="004A6F6A"/>
    <w:rsid w:val="004A781A"/>
    <w:rsid w:val="004A79E2"/>
    <w:rsid w:val="004A7F55"/>
    <w:rsid w:val="004B0A0B"/>
    <w:rsid w:val="004B0D5A"/>
    <w:rsid w:val="004B10BE"/>
    <w:rsid w:val="004B17C7"/>
    <w:rsid w:val="004B2AF2"/>
    <w:rsid w:val="004B35FB"/>
    <w:rsid w:val="004B45F4"/>
    <w:rsid w:val="004B6733"/>
    <w:rsid w:val="004B7D31"/>
    <w:rsid w:val="004B7DC4"/>
    <w:rsid w:val="004C15FD"/>
    <w:rsid w:val="004C2AED"/>
    <w:rsid w:val="004C3AEA"/>
    <w:rsid w:val="004C3D0A"/>
    <w:rsid w:val="004C4E1B"/>
    <w:rsid w:val="004C5241"/>
    <w:rsid w:val="004C5BE1"/>
    <w:rsid w:val="004C5F5A"/>
    <w:rsid w:val="004C7F8A"/>
    <w:rsid w:val="004D0A42"/>
    <w:rsid w:val="004D25CE"/>
    <w:rsid w:val="004D2C21"/>
    <w:rsid w:val="004D340D"/>
    <w:rsid w:val="004D34F3"/>
    <w:rsid w:val="004D45B1"/>
    <w:rsid w:val="004D59E8"/>
    <w:rsid w:val="004D5C36"/>
    <w:rsid w:val="004D7547"/>
    <w:rsid w:val="004E0A4C"/>
    <w:rsid w:val="004E2424"/>
    <w:rsid w:val="004E29FD"/>
    <w:rsid w:val="004E30B8"/>
    <w:rsid w:val="004E35F4"/>
    <w:rsid w:val="004E47B0"/>
    <w:rsid w:val="004E49F6"/>
    <w:rsid w:val="004E4B8B"/>
    <w:rsid w:val="004E5302"/>
    <w:rsid w:val="004E592A"/>
    <w:rsid w:val="004E5DCC"/>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0FE2"/>
    <w:rsid w:val="00501C88"/>
    <w:rsid w:val="00501DC4"/>
    <w:rsid w:val="0050228E"/>
    <w:rsid w:val="00502B26"/>
    <w:rsid w:val="00502BFA"/>
    <w:rsid w:val="00502E58"/>
    <w:rsid w:val="00502ED4"/>
    <w:rsid w:val="005036C2"/>
    <w:rsid w:val="005040F3"/>
    <w:rsid w:val="00504BDF"/>
    <w:rsid w:val="00505A18"/>
    <w:rsid w:val="0050666F"/>
    <w:rsid w:val="00507FB3"/>
    <w:rsid w:val="00511A03"/>
    <w:rsid w:val="00511D4D"/>
    <w:rsid w:val="005120D4"/>
    <w:rsid w:val="005135AA"/>
    <w:rsid w:val="0051593D"/>
    <w:rsid w:val="00515D02"/>
    <w:rsid w:val="0051764E"/>
    <w:rsid w:val="00517AEC"/>
    <w:rsid w:val="00517AF3"/>
    <w:rsid w:val="00523B8E"/>
    <w:rsid w:val="00523F60"/>
    <w:rsid w:val="00524666"/>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5F2A"/>
    <w:rsid w:val="005464A5"/>
    <w:rsid w:val="00547CBE"/>
    <w:rsid w:val="0055062D"/>
    <w:rsid w:val="00552A56"/>
    <w:rsid w:val="00552FC3"/>
    <w:rsid w:val="00553C17"/>
    <w:rsid w:val="005550E5"/>
    <w:rsid w:val="005563DC"/>
    <w:rsid w:val="005565C9"/>
    <w:rsid w:val="00556A03"/>
    <w:rsid w:val="00557539"/>
    <w:rsid w:val="00557E93"/>
    <w:rsid w:val="005612E7"/>
    <w:rsid w:val="005621CB"/>
    <w:rsid w:val="00563481"/>
    <w:rsid w:val="00563877"/>
    <w:rsid w:val="005643A7"/>
    <w:rsid w:val="00565375"/>
    <w:rsid w:val="00565E58"/>
    <w:rsid w:val="00566FCD"/>
    <w:rsid w:val="0056784C"/>
    <w:rsid w:val="0057028F"/>
    <w:rsid w:val="00570788"/>
    <w:rsid w:val="00571009"/>
    <w:rsid w:val="00571338"/>
    <w:rsid w:val="00571556"/>
    <w:rsid w:val="00571B4E"/>
    <w:rsid w:val="00572BF8"/>
    <w:rsid w:val="00572E86"/>
    <w:rsid w:val="005738F7"/>
    <w:rsid w:val="00574190"/>
    <w:rsid w:val="005778A7"/>
    <w:rsid w:val="00577E5F"/>
    <w:rsid w:val="00581C24"/>
    <w:rsid w:val="00582518"/>
    <w:rsid w:val="005829DC"/>
    <w:rsid w:val="00584F9B"/>
    <w:rsid w:val="00584FA4"/>
    <w:rsid w:val="00585772"/>
    <w:rsid w:val="005857B3"/>
    <w:rsid w:val="00586DD9"/>
    <w:rsid w:val="0058765F"/>
    <w:rsid w:val="005907BE"/>
    <w:rsid w:val="0059094D"/>
    <w:rsid w:val="005936A2"/>
    <w:rsid w:val="00593C29"/>
    <w:rsid w:val="00594CF0"/>
    <w:rsid w:val="00596625"/>
    <w:rsid w:val="005A19FA"/>
    <w:rsid w:val="005A2139"/>
    <w:rsid w:val="005A34CB"/>
    <w:rsid w:val="005A392B"/>
    <w:rsid w:val="005A3F7F"/>
    <w:rsid w:val="005A6B2C"/>
    <w:rsid w:val="005B045A"/>
    <w:rsid w:val="005B0DA9"/>
    <w:rsid w:val="005B2855"/>
    <w:rsid w:val="005B3EE6"/>
    <w:rsid w:val="005B5A21"/>
    <w:rsid w:val="005B65AC"/>
    <w:rsid w:val="005B7342"/>
    <w:rsid w:val="005B7856"/>
    <w:rsid w:val="005C0065"/>
    <w:rsid w:val="005C0AAA"/>
    <w:rsid w:val="005C1FF8"/>
    <w:rsid w:val="005C3188"/>
    <w:rsid w:val="005C59EB"/>
    <w:rsid w:val="005C646B"/>
    <w:rsid w:val="005C6EB8"/>
    <w:rsid w:val="005C7443"/>
    <w:rsid w:val="005C79D9"/>
    <w:rsid w:val="005D04D6"/>
    <w:rsid w:val="005D0A1C"/>
    <w:rsid w:val="005D244A"/>
    <w:rsid w:val="005D3E58"/>
    <w:rsid w:val="005D50DE"/>
    <w:rsid w:val="005D5D1D"/>
    <w:rsid w:val="005D5D38"/>
    <w:rsid w:val="005D7615"/>
    <w:rsid w:val="005D7F7E"/>
    <w:rsid w:val="005E09E5"/>
    <w:rsid w:val="005E114F"/>
    <w:rsid w:val="005E23C6"/>
    <w:rsid w:val="005E26D3"/>
    <w:rsid w:val="005E387A"/>
    <w:rsid w:val="005E3BF3"/>
    <w:rsid w:val="005E4189"/>
    <w:rsid w:val="005E5BAA"/>
    <w:rsid w:val="005E6DB8"/>
    <w:rsid w:val="005F1A0A"/>
    <w:rsid w:val="005F24BA"/>
    <w:rsid w:val="005F3A68"/>
    <w:rsid w:val="005F4DA6"/>
    <w:rsid w:val="005F505B"/>
    <w:rsid w:val="005F692A"/>
    <w:rsid w:val="006009DA"/>
    <w:rsid w:val="0060144B"/>
    <w:rsid w:val="0060212D"/>
    <w:rsid w:val="006023BB"/>
    <w:rsid w:val="00602EFA"/>
    <w:rsid w:val="00605109"/>
    <w:rsid w:val="00605792"/>
    <w:rsid w:val="00607BFE"/>
    <w:rsid w:val="0061036D"/>
    <w:rsid w:val="00610B64"/>
    <w:rsid w:val="00611D13"/>
    <w:rsid w:val="00611F66"/>
    <w:rsid w:val="00612760"/>
    <w:rsid w:val="00613876"/>
    <w:rsid w:val="00613898"/>
    <w:rsid w:val="00614EE4"/>
    <w:rsid w:val="00614FB2"/>
    <w:rsid w:val="006150AB"/>
    <w:rsid w:val="00620A61"/>
    <w:rsid w:val="00621806"/>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3CB5"/>
    <w:rsid w:val="00645542"/>
    <w:rsid w:val="00645606"/>
    <w:rsid w:val="00646512"/>
    <w:rsid w:val="00647A77"/>
    <w:rsid w:val="006509F7"/>
    <w:rsid w:val="00650D60"/>
    <w:rsid w:val="006516EE"/>
    <w:rsid w:val="00651799"/>
    <w:rsid w:val="006529B8"/>
    <w:rsid w:val="00654646"/>
    <w:rsid w:val="00654F6A"/>
    <w:rsid w:val="00654FC7"/>
    <w:rsid w:val="006563D6"/>
    <w:rsid w:val="0066031A"/>
    <w:rsid w:val="0066080D"/>
    <w:rsid w:val="0066106E"/>
    <w:rsid w:val="0066275E"/>
    <w:rsid w:val="0066474C"/>
    <w:rsid w:val="0066618E"/>
    <w:rsid w:val="00666944"/>
    <w:rsid w:val="00666A5B"/>
    <w:rsid w:val="00666AB3"/>
    <w:rsid w:val="006674A2"/>
    <w:rsid w:val="00667696"/>
    <w:rsid w:val="00667F13"/>
    <w:rsid w:val="006703EA"/>
    <w:rsid w:val="00670ABD"/>
    <w:rsid w:val="00671831"/>
    <w:rsid w:val="00671E61"/>
    <w:rsid w:val="0067415B"/>
    <w:rsid w:val="00676714"/>
    <w:rsid w:val="006811F4"/>
    <w:rsid w:val="0068182A"/>
    <w:rsid w:val="00681FB1"/>
    <w:rsid w:val="00682B3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2AEA"/>
    <w:rsid w:val="006A3CDB"/>
    <w:rsid w:val="006A466B"/>
    <w:rsid w:val="006A5AC9"/>
    <w:rsid w:val="006A5B90"/>
    <w:rsid w:val="006B0357"/>
    <w:rsid w:val="006B11B3"/>
    <w:rsid w:val="006B3078"/>
    <w:rsid w:val="006B35CA"/>
    <w:rsid w:val="006B4FA1"/>
    <w:rsid w:val="006B5339"/>
    <w:rsid w:val="006C2B64"/>
    <w:rsid w:val="006C3461"/>
    <w:rsid w:val="006C359E"/>
    <w:rsid w:val="006C3D4A"/>
    <w:rsid w:val="006C45F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4796"/>
    <w:rsid w:val="006E4820"/>
    <w:rsid w:val="006E65D9"/>
    <w:rsid w:val="006E6E62"/>
    <w:rsid w:val="006E6F7A"/>
    <w:rsid w:val="006E74B4"/>
    <w:rsid w:val="006F0177"/>
    <w:rsid w:val="006F2D10"/>
    <w:rsid w:val="006F4975"/>
    <w:rsid w:val="006F538A"/>
    <w:rsid w:val="006F630E"/>
    <w:rsid w:val="006F7EB0"/>
    <w:rsid w:val="007012B3"/>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A1D"/>
    <w:rsid w:val="00724F12"/>
    <w:rsid w:val="0072503B"/>
    <w:rsid w:val="00725375"/>
    <w:rsid w:val="00726CD6"/>
    <w:rsid w:val="00726D07"/>
    <w:rsid w:val="00727DE2"/>
    <w:rsid w:val="00731083"/>
    <w:rsid w:val="00731BD2"/>
    <w:rsid w:val="00732565"/>
    <w:rsid w:val="00734065"/>
    <w:rsid w:val="007347DE"/>
    <w:rsid w:val="007347E7"/>
    <w:rsid w:val="00734DFD"/>
    <w:rsid w:val="007352AE"/>
    <w:rsid w:val="00735D1E"/>
    <w:rsid w:val="007405DF"/>
    <w:rsid w:val="00740AA8"/>
    <w:rsid w:val="00741040"/>
    <w:rsid w:val="00741DCD"/>
    <w:rsid w:val="0074281D"/>
    <w:rsid w:val="00743B8C"/>
    <w:rsid w:val="007441F1"/>
    <w:rsid w:val="00747111"/>
    <w:rsid w:val="00747151"/>
    <w:rsid w:val="0075098C"/>
    <w:rsid w:val="0075164F"/>
    <w:rsid w:val="00751833"/>
    <w:rsid w:val="00751A15"/>
    <w:rsid w:val="007527FC"/>
    <w:rsid w:val="00753382"/>
    <w:rsid w:val="007538AE"/>
    <w:rsid w:val="00753EE4"/>
    <w:rsid w:val="00754872"/>
    <w:rsid w:val="0075555E"/>
    <w:rsid w:val="00755DB0"/>
    <w:rsid w:val="00755DC1"/>
    <w:rsid w:val="00757C7C"/>
    <w:rsid w:val="00757E1A"/>
    <w:rsid w:val="00760815"/>
    <w:rsid w:val="00760E86"/>
    <w:rsid w:val="00763790"/>
    <w:rsid w:val="00763B7C"/>
    <w:rsid w:val="00763E9F"/>
    <w:rsid w:val="0076403F"/>
    <w:rsid w:val="007643FD"/>
    <w:rsid w:val="00764CC6"/>
    <w:rsid w:val="0076584E"/>
    <w:rsid w:val="00765ABA"/>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A8A"/>
    <w:rsid w:val="007766F4"/>
    <w:rsid w:val="00777A67"/>
    <w:rsid w:val="0078022D"/>
    <w:rsid w:val="00780E89"/>
    <w:rsid w:val="00781DE9"/>
    <w:rsid w:val="00781FB1"/>
    <w:rsid w:val="007826AD"/>
    <w:rsid w:val="00783313"/>
    <w:rsid w:val="0078385E"/>
    <w:rsid w:val="00784BB9"/>
    <w:rsid w:val="00784CB5"/>
    <w:rsid w:val="007877C9"/>
    <w:rsid w:val="007877F8"/>
    <w:rsid w:val="00790DE4"/>
    <w:rsid w:val="00790E3F"/>
    <w:rsid w:val="007913AD"/>
    <w:rsid w:val="007913B3"/>
    <w:rsid w:val="00792185"/>
    <w:rsid w:val="00792D39"/>
    <w:rsid w:val="00793126"/>
    <w:rsid w:val="00793F2F"/>
    <w:rsid w:val="00794378"/>
    <w:rsid w:val="007956D3"/>
    <w:rsid w:val="00795EB8"/>
    <w:rsid w:val="0079699D"/>
    <w:rsid w:val="007972BD"/>
    <w:rsid w:val="00797E0F"/>
    <w:rsid w:val="007A078A"/>
    <w:rsid w:val="007A1FC8"/>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423"/>
    <w:rsid w:val="007B68C6"/>
    <w:rsid w:val="007B709A"/>
    <w:rsid w:val="007B7361"/>
    <w:rsid w:val="007C19C3"/>
    <w:rsid w:val="007C2995"/>
    <w:rsid w:val="007C39DF"/>
    <w:rsid w:val="007C3D3A"/>
    <w:rsid w:val="007C55E2"/>
    <w:rsid w:val="007C7618"/>
    <w:rsid w:val="007D34CA"/>
    <w:rsid w:val="007D41A4"/>
    <w:rsid w:val="007D44A5"/>
    <w:rsid w:val="007D477C"/>
    <w:rsid w:val="007D4786"/>
    <w:rsid w:val="007D532B"/>
    <w:rsid w:val="007D679D"/>
    <w:rsid w:val="007D6863"/>
    <w:rsid w:val="007D78E3"/>
    <w:rsid w:val="007E0074"/>
    <w:rsid w:val="007E0C0D"/>
    <w:rsid w:val="007E1347"/>
    <w:rsid w:val="007E18C3"/>
    <w:rsid w:val="007E20B7"/>
    <w:rsid w:val="007E2246"/>
    <w:rsid w:val="007E28A0"/>
    <w:rsid w:val="007F0E0E"/>
    <w:rsid w:val="007F1860"/>
    <w:rsid w:val="007F2154"/>
    <w:rsid w:val="007F2A98"/>
    <w:rsid w:val="007F2E97"/>
    <w:rsid w:val="007F30AB"/>
    <w:rsid w:val="007F43C6"/>
    <w:rsid w:val="007F49CE"/>
    <w:rsid w:val="007F5FC6"/>
    <w:rsid w:val="007F6178"/>
    <w:rsid w:val="007F7C60"/>
    <w:rsid w:val="00802335"/>
    <w:rsid w:val="00802901"/>
    <w:rsid w:val="00805EC0"/>
    <w:rsid w:val="00807F68"/>
    <w:rsid w:val="0081068F"/>
    <w:rsid w:val="00810770"/>
    <w:rsid w:val="00810CD2"/>
    <w:rsid w:val="00811504"/>
    <w:rsid w:val="00813829"/>
    <w:rsid w:val="00813E21"/>
    <w:rsid w:val="00815B08"/>
    <w:rsid w:val="00815F7C"/>
    <w:rsid w:val="00816781"/>
    <w:rsid w:val="00817384"/>
    <w:rsid w:val="0082285D"/>
    <w:rsid w:val="00822FD0"/>
    <w:rsid w:val="0082331F"/>
    <w:rsid w:val="00823DAC"/>
    <w:rsid w:val="00824797"/>
    <w:rsid w:val="00825844"/>
    <w:rsid w:val="0082696F"/>
    <w:rsid w:val="00826C9B"/>
    <w:rsid w:val="00827184"/>
    <w:rsid w:val="00827B78"/>
    <w:rsid w:val="008302D0"/>
    <w:rsid w:val="00831027"/>
    <w:rsid w:val="008310D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2C1D"/>
    <w:rsid w:val="00863026"/>
    <w:rsid w:val="008639CC"/>
    <w:rsid w:val="0086420B"/>
    <w:rsid w:val="0086454A"/>
    <w:rsid w:val="00864DB4"/>
    <w:rsid w:val="008653A5"/>
    <w:rsid w:val="00865D96"/>
    <w:rsid w:val="008672F6"/>
    <w:rsid w:val="00870BF4"/>
    <w:rsid w:val="00872620"/>
    <w:rsid w:val="00873D67"/>
    <w:rsid w:val="00876D76"/>
    <w:rsid w:val="00876FBB"/>
    <w:rsid w:val="00880675"/>
    <w:rsid w:val="00880954"/>
    <w:rsid w:val="00880B71"/>
    <w:rsid w:val="00881894"/>
    <w:rsid w:val="00881EEB"/>
    <w:rsid w:val="008827EB"/>
    <w:rsid w:val="0088371F"/>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3229"/>
    <w:rsid w:val="008A496B"/>
    <w:rsid w:val="008A7E44"/>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E2CAB"/>
    <w:rsid w:val="008E4285"/>
    <w:rsid w:val="008E5973"/>
    <w:rsid w:val="008E65D7"/>
    <w:rsid w:val="008E6653"/>
    <w:rsid w:val="008E7361"/>
    <w:rsid w:val="008E7649"/>
    <w:rsid w:val="008F0D12"/>
    <w:rsid w:val="008F12E7"/>
    <w:rsid w:val="008F17E9"/>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BB7"/>
    <w:rsid w:val="00907F19"/>
    <w:rsid w:val="00907F7D"/>
    <w:rsid w:val="009104F7"/>
    <w:rsid w:val="00910B03"/>
    <w:rsid w:val="009118CD"/>
    <w:rsid w:val="00912550"/>
    <w:rsid w:val="00912F7B"/>
    <w:rsid w:val="009145E2"/>
    <w:rsid w:val="00914FFD"/>
    <w:rsid w:val="00916047"/>
    <w:rsid w:val="009166E5"/>
    <w:rsid w:val="00916D6E"/>
    <w:rsid w:val="00916DE6"/>
    <w:rsid w:val="00916FBF"/>
    <w:rsid w:val="009203C5"/>
    <w:rsid w:val="009216AB"/>
    <w:rsid w:val="00922324"/>
    <w:rsid w:val="009234DB"/>
    <w:rsid w:val="00923AE5"/>
    <w:rsid w:val="00923EC2"/>
    <w:rsid w:val="009245E0"/>
    <w:rsid w:val="00925609"/>
    <w:rsid w:val="00927BE1"/>
    <w:rsid w:val="00930A07"/>
    <w:rsid w:val="00931B0D"/>
    <w:rsid w:val="0093228C"/>
    <w:rsid w:val="0093231F"/>
    <w:rsid w:val="00934191"/>
    <w:rsid w:val="009342C2"/>
    <w:rsid w:val="00935698"/>
    <w:rsid w:val="00936D91"/>
    <w:rsid w:val="00937392"/>
    <w:rsid w:val="009374CC"/>
    <w:rsid w:val="0093773C"/>
    <w:rsid w:val="00940BAE"/>
    <w:rsid w:val="00941251"/>
    <w:rsid w:val="0094265C"/>
    <w:rsid w:val="009431DB"/>
    <w:rsid w:val="00943996"/>
    <w:rsid w:val="00944C73"/>
    <w:rsid w:val="00946148"/>
    <w:rsid w:val="00947216"/>
    <w:rsid w:val="00951235"/>
    <w:rsid w:val="00951F20"/>
    <w:rsid w:val="00952456"/>
    <w:rsid w:val="009532B5"/>
    <w:rsid w:val="00954085"/>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4EFE"/>
    <w:rsid w:val="0097533A"/>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0C43"/>
    <w:rsid w:val="00992971"/>
    <w:rsid w:val="009956EE"/>
    <w:rsid w:val="009A1741"/>
    <w:rsid w:val="009A286B"/>
    <w:rsid w:val="009A2AB7"/>
    <w:rsid w:val="009A5886"/>
    <w:rsid w:val="009A5C07"/>
    <w:rsid w:val="009A6DBB"/>
    <w:rsid w:val="009A6E55"/>
    <w:rsid w:val="009A72CA"/>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25A2"/>
    <w:rsid w:val="009D3728"/>
    <w:rsid w:val="009D4988"/>
    <w:rsid w:val="009D5B81"/>
    <w:rsid w:val="009D5DEA"/>
    <w:rsid w:val="009D76CE"/>
    <w:rsid w:val="009E05E3"/>
    <w:rsid w:val="009E0C8B"/>
    <w:rsid w:val="009E3A70"/>
    <w:rsid w:val="009E4752"/>
    <w:rsid w:val="009E570B"/>
    <w:rsid w:val="009E6264"/>
    <w:rsid w:val="009E6AD1"/>
    <w:rsid w:val="009E7A88"/>
    <w:rsid w:val="009F057F"/>
    <w:rsid w:val="009F17D8"/>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6EB2"/>
    <w:rsid w:val="00A170DB"/>
    <w:rsid w:val="00A204C1"/>
    <w:rsid w:val="00A20831"/>
    <w:rsid w:val="00A2304C"/>
    <w:rsid w:val="00A23E52"/>
    <w:rsid w:val="00A23F8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1A5B"/>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8C2"/>
    <w:rsid w:val="00A5611C"/>
    <w:rsid w:val="00A568AB"/>
    <w:rsid w:val="00A57394"/>
    <w:rsid w:val="00A60329"/>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77399"/>
    <w:rsid w:val="00A80573"/>
    <w:rsid w:val="00A8173A"/>
    <w:rsid w:val="00A821D1"/>
    <w:rsid w:val="00A823E0"/>
    <w:rsid w:val="00A832CE"/>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51E0"/>
    <w:rsid w:val="00AD5C9E"/>
    <w:rsid w:val="00AD7F40"/>
    <w:rsid w:val="00AE06AA"/>
    <w:rsid w:val="00AE13F4"/>
    <w:rsid w:val="00AE16FA"/>
    <w:rsid w:val="00AE1AE9"/>
    <w:rsid w:val="00AE22B6"/>
    <w:rsid w:val="00AE2366"/>
    <w:rsid w:val="00AE2C30"/>
    <w:rsid w:val="00AE3C5E"/>
    <w:rsid w:val="00AE4D4B"/>
    <w:rsid w:val="00AE59B3"/>
    <w:rsid w:val="00AE5D02"/>
    <w:rsid w:val="00AE7B92"/>
    <w:rsid w:val="00AF01B6"/>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BC2"/>
    <w:rsid w:val="00B07069"/>
    <w:rsid w:val="00B11AA0"/>
    <w:rsid w:val="00B1361F"/>
    <w:rsid w:val="00B13EC9"/>
    <w:rsid w:val="00B1411C"/>
    <w:rsid w:val="00B14C20"/>
    <w:rsid w:val="00B150D8"/>
    <w:rsid w:val="00B15969"/>
    <w:rsid w:val="00B16C63"/>
    <w:rsid w:val="00B16FE8"/>
    <w:rsid w:val="00B17273"/>
    <w:rsid w:val="00B20E02"/>
    <w:rsid w:val="00B2119C"/>
    <w:rsid w:val="00B21A7B"/>
    <w:rsid w:val="00B22951"/>
    <w:rsid w:val="00B22E33"/>
    <w:rsid w:val="00B23366"/>
    <w:rsid w:val="00B23CD4"/>
    <w:rsid w:val="00B26C1C"/>
    <w:rsid w:val="00B27A66"/>
    <w:rsid w:val="00B27CCE"/>
    <w:rsid w:val="00B302AC"/>
    <w:rsid w:val="00B322DF"/>
    <w:rsid w:val="00B325D4"/>
    <w:rsid w:val="00B34DBC"/>
    <w:rsid w:val="00B357FE"/>
    <w:rsid w:val="00B3615E"/>
    <w:rsid w:val="00B36727"/>
    <w:rsid w:val="00B3700E"/>
    <w:rsid w:val="00B4040E"/>
    <w:rsid w:val="00B4085C"/>
    <w:rsid w:val="00B42215"/>
    <w:rsid w:val="00B427A9"/>
    <w:rsid w:val="00B437B6"/>
    <w:rsid w:val="00B45981"/>
    <w:rsid w:val="00B465BD"/>
    <w:rsid w:val="00B47E88"/>
    <w:rsid w:val="00B51620"/>
    <w:rsid w:val="00B52F38"/>
    <w:rsid w:val="00B550F3"/>
    <w:rsid w:val="00B55824"/>
    <w:rsid w:val="00B5782D"/>
    <w:rsid w:val="00B60651"/>
    <w:rsid w:val="00B64208"/>
    <w:rsid w:val="00B64865"/>
    <w:rsid w:val="00B66807"/>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2DCB"/>
    <w:rsid w:val="00B94DAB"/>
    <w:rsid w:val="00B94E87"/>
    <w:rsid w:val="00B9566F"/>
    <w:rsid w:val="00B95FFF"/>
    <w:rsid w:val="00BA0142"/>
    <w:rsid w:val="00BA1B67"/>
    <w:rsid w:val="00BA2EC4"/>
    <w:rsid w:val="00BA2F9E"/>
    <w:rsid w:val="00BA35FF"/>
    <w:rsid w:val="00BA39E3"/>
    <w:rsid w:val="00BA4DAC"/>
    <w:rsid w:val="00BA60EB"/>
    <w:rsid w:val="00BA67A5"/>
    <w:rsid w:val="00BA787E"/>
    <w:rsid w:val="00BA7A10"/>
    <w:rsid w:val="00BB0619"/>
    <w:rsid w:val="00BB09F8"/>
    <w:rsid w:val="00BB0CE6"/>
    <w:rsid w:val="00BB127C"/>
    <w:rsid w:val="00BB1A83"/>
    <w:rsid w:val="00BB2D18"/>
    <w:rsid w:val="00BB2DD4"/>
    <w:rsid w:val="00BB3F9B"/>
    <w:rsid w:val="00BB4077"/>
    <w:rsid w:val="00BB4F39"/>
    <w:rsid w:val="00BB54B6"/>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E2601"/>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C9"/>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6293"/>
    <w:rsid w:val="00C37BE7"/>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61832"/>
    <w:rsid w:val="00C61C43"/>
    <w:rsid w:val="00C61E34"/>
    <w:rsid w:val="00C621FA"/>
    <w:rsid w:val="00C6293D"/>
    <w:rsid w:val="00C6413A"/>
    <w:rsid w:val="00C643E7"/>
    <w:rsid w:val="00C64C16"/>
    <w:rsid w:val="00C65558"/>
    <w:rsid w:val="00C6646E"/>
    <w:rsid w:val="00C672F9"/>
    <w:rsid w:val="00C71AF4"/>
    <w:rsid w:val="00C72219"/>
    <w:rsid w:val="00C729E5"/>
    <w:rsid w:val="00C7451C"/>
    <w:rsid w:val="00C7515E"/>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5780"/>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96E76"/>
    <w:rsid w:val="00C96F2B"/>
    <w:rsid w:val="00CA0495"/>
    <w:rsid w:val="00CA1152"/>
    <w:rsid w:val="00CA23D0"/>
    <w:rsid w:val="00CA4AFD"/>
    <w:rsid w:val="00CA4C6D"/>
    <w:rsid w:val="00CA5AA5"/>
    <w:rsid w:val="00CA6660"/>
    <w:rsid w:val="00CA7737"/>
    <w:rsid w:val="00CA77CA"/>
    <w:rsid w:val="00CB1DBD"/>
    <w:rsid w:val="00CB2506"/>
    <w:rsid w:val="00CB3DB8"/>
    <w:rsid w:val="00CB3F92"/>
    <w:rsid w:val="00CB61FE"/>
    <w:rsid w:val="00CB6411"/>
    <w:rsid w:val="00CB7A3D"/>
    <w:rsid w:val="00CC0D2F"/>
    <w:rsid w:val="00CC0F22"/>
    <w:rsid w:val="00CC1792"/>
    <w:rsid w:val="00CC26A9"/>
    <w:rsid w:val="00CC2C4E"/>
    <w:rsid w:val="00CC5DA3"/>
    <w:rsid w:val="00CC5FE4"/>
    <w:rsid w:val="00CC6206"/>
    <w:rsid w:val="00CC6BE9"/>
    <w:rsid w:val="00CC7168"/>
    <w:rsid w:val="00CD00AC"/>
    <w:rsid w:val="00CD1128"/>
    <w:rsid w:val="00CD19E2"/>
    <w:rsid w:val="00CD1E5A"/>
    <w:rsid w:val="00CD1FE1"/>
    <w:rsid w:val="00CD239E"/>
    <w:rsid w:val="00CD23CE"/>
    <w:rsid w:val="00CD3215"/>
    <w:rsid w:val="00CD359E"/>
    <w:rsid w:val="00CD3FF3"/>
    <w:rsid w:val="00CD41BA"/>
    <w:rsid w:val="00CD4FE0"/>
    <w:rsid w:val="00CD5AB1"/>
    <w:rsid w:val="00CD5ACE"/>
    <w:rsid w:val="00CD5BF6"/>
    <w:rsid w:val="00CD5DB4"/>
    <w:rsid w:val="00CD6316"/>
    <w:rsid w:val="00CD7C92"/>
    <w:rsid w:val="00CE2C57"/>
    <w:rsid w:val="00CE3484"/>
    <w:rsid w:val="00CE42D0"/>
    <w:rsid w:val="00CE4C15"/>
    <w:rsid w:val="00CE6A0A"/>
    <w:rsid w:val="00CE7102"/>
    <w:rsid w:val="00CF11F8"/>
    <w:rsid w:val="00CF28B5"/>
    <w:rsid w:val="00CF2B90"/>
    <w:rsid w:val="00CF3116"/>
    <w:rsid w:val="00CF3309"/>
    <w:rsid w:val="00CF3606"/>
    <w:rsid w:val="00CF3FD3"/>
    <w:rsid w:val="00CF4622"/>
    <w:rsid w:val="00CF5041"/>
    <w:rsid w:val="00CF6EE1"/>
    <w:rsid w:val="00D01212"/>
    <w:rsid w:val="00D01726"/>
    <w:rsid w:val="00D01C85"/>
    <w:rsid w:val="00D02C8B"/>
    <w:rsid w:val="00D02E65"/>
    <w:rsid w:val="00D0355B"/>
    <w:rsid w:val="00D042D6"/>
    <w:rsid w:val="00D049A0"/>
    <w:rsid w:val="00D04B59"/>
    <w:rsid w:val="00D0515E"/>
    <w:rsid w:val="00D05419"/>
    <w:rsid w:val="00D07F30"/>
    <w:rsid w:val="00D10F9C"/>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99E"/>
    <w:rsid w:val="00D326F1"/>
    <w:rsid w:val="00D327BC"/>
    <w:rsid w:val="00D32B1B"/>
    <w:rsid w:val="00D3433D"/>
    <w:rsid w:val="00D3601A"/>
    <w:rsid w:val="00D3771F"/>
    <w:rsid w:val="00D379EF"/>
    <w:rsid w:val="00D37FAB"/>
    <w:rsid w:val="00D402D2"/>
    <w:rsid w:val="00D4123D"/>
    <w:rsid w:val="00D41734"/>
    <w:rsid w:val="00D41D19"/>
    <w:rsid w:val="00D422C4"/>
    <w:rsid w:val="00D42692"/>
    <w:rsid w:val="00D4386A"/>
    <w:rsid w:val="00D43898"/>
    <w:rsid w:val="00D46FC3"/>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3C3"/>
    <w:rsid w:val="00D73B84"/>
    <w:rsid w:val="00D76F31"/>
    <w:rsid w:val="00D77FF6"/>
    <w:rsid w:val="00D80722"/>
    <w:rsid w:val="00D80D2D"/>
    <w:rsid w:val="00D81DEF"/>
    <w:rsid w:val="00D81E2D"/>
    <w:rsid w:val="00D8285D"/>
    <w:rsid w:val="00D8287B"/>
    <w:rsid w:val="00D83170"/>
    <w:rsid w:val="00D8329A"/>
    <w:rsid w:val="00D84459"/>
    <w:rsid w:val="00D84C0F"/>
    <w:rsid w:val="00D859E3"/>
    <w:rsid w:val="00D8603E"/>
    <w:rsid w:val="00D86320"/>
    <w:rsid w:val="00D87150"/>
    <w:rsid w:val="00D87730"/>
    <w:rsid w:val="00D902C3"/>
    <w:rsid w:val="00D90779"/>
    <w:rsid w:val="00D90F8C"/>
    <w:rsid w:val="00D91F9B"/>
    <w:rsid w:val="00D963A1"/>
    <w:rsid w:val="00D968FC"/>
    <w:rsid w:val="00DA01B3"/>
    <w:rsid w:val="00DA19D9"/>
    <w:rsid w:val="00DA1E29"/>
    <w:rsid w:val="00DA2F32"/>
    <w:rsid w:val="00DA5403"/>
    <w:rsid w:val="00DA57FC"/>
    <w:rsid w:val="00DA59CC"/>
    <w:rsid w:val="00DA5F54"/>
    <w:rsid w:val="00DA6E3F"/>
    <w:rsid w:val="00DB1669"/>
    <w:rsid w:val="00DB1F56"/>
    <w:rsid w:val="00DB2204"/>
    <w:rsid w:val="00DB22EE"/>
    <w:rsid w:val="00DB244B"/>
    <w:rsid w:val="00DB3CC9"/>
    <w:rsid w:val="00DB3F2E"/>
    <w:rsid w:val="00DB429A"/>
    <w:rsid w:val="00DB60F7"/>
    <w:rsid w:val="00DB7C82"/>
    <w:rsid w:val="00DC0847"/>
    <w:rsid w:val="00DC0DDE"/>
    <w:rsid w:val="00DC1170"/>
    <w:rsid w:val="00DC2BAE"/>
    <w:rsid w:val="00DC2D06"/>
    <w:rsid w:val="00DC2E5F"/>
    <w:rsid w:val="00DC3323"/>
    <w:rsid w:val="00DC34F0"/>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2175"/>
    <w:rsid w:val="00DE3092"/>
    <w:rsid w:val="00DE3DA7"/>
    <w:rsid w:val="00DE5A6D"/>
    <w:rsid w:val="00DE628B"/>
    <w:rsid w:val="00DE6322"/>
    <w:rsid w:val="00DE7EFC"/>
    <w:rsid w:val="00DE7FBB"/>
    <w:rsid w:val="00DF013D"/>
    <w:rsid w:val="00DF09D7"/>
    <w:rsid w:val="00DF1093"/>
    <w:rsid w:val="00DF17E4"/>
    <w:rsid w:val="00DF2F35"/>
    <w:rsid w:val="00DF3540"/>
    <w:rsid w:val="00DF3A49"/>
    <w:rsid w:val="00DF57E3"/>
    <w:rsid w:val="00DF580A"/>
    <w:rsid w:val="00DF5D52"/>
    <w:rsid w:val="00DF5E16"/>
    <w:rsid w:val="00DF63B6"/>
    <w:rsid w:val="00DF6733"/>
    <w:rsid w:val="00DF768B"/>
    <w:rsid w:val="00E00770"/>
    <w:rsid w:val="00E00DB6"/>
    <w:rsid w:val="00E02075"/>
    <w:rsid w:val="00E02D62"/>
    <w:rsid w:val="00E03A2F"/>
    <w:rsid w:val="00E03F2E"/>
    <w:rsid w:val="00E0470C"/>
    <w:rsid w:val="00E04C10"/>
    <w:rsid w:val="00E0621C"/>
    <w:rsid w:val="00E07B54"/>
    <w:rsid w:val="00E10B82"/>
    <w:rsid w:val="00E11B56"/>
    <w:rsid w:val="00E1383F"/>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4E5"/>
    <w:rsid w:val="00E358E9"/>
    <w:rsid w:val="00E35B97"/>
    <w:rsid w:val="00E35D39"/>
    <w:rsid w:val="00E3727D"/>
    <w:rsid w:val="00E40213"/>
    <w:rsid w:val="00E40253"/>
    <w:rsid w:val="00E405B7"/>
    <w:rsid w:val="00E40FE7"/>
    <w:rsid w:val="00E4185B"/>
    <w:rsid w:val="00E418DB"/>
    <w:rsid w:val="00E41934"/>
    <w:rsid w:val="00E42755"/>
    <w:rsid w:val="00E42F5E"/>
    <w:rsid w:val="00E46472"/>
    <w:rsid w:val="00E466A2"/>
    <w:rsid w:val="00E47EA0"/>
    <w:rsid w:val="00E506DA"/>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F75"/>
    <w:rsid w:val="00E727A8"/>
    <w:rsid w:val="00E72EF2"/>
    <w:rsid w:val="00E735C5"/>
    <w:rsid w:val="00E736A6"/>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0E62"/>
    <w:rsid w:val="00E916CE"/>
    <w:rsid w:val="00E918D1"/>
    <w:rsid w:val="00E921AB"/>
    <w:rsid w:val="00E92447"/>
    <w:rsid w:val="00E9467E"/>
    <w:rsid w:val="00E94E84"/>
    <w:rsid w:val="00E9502F"/>
    <w:rsid w:val="00E95439"/>
    <w:rsid w:val="00E96258"/>
    <w:rsid w:val="00E9641C"/>
    <w:rsid w:val="00E96582"/>
    <w:rsid w:val="00EA0361"/>
    <w:rsid w:val="00EA33AD"/>
    <w:rsid w:val="00EA3AF3"/>
    <w:rsid w:val="00EA3CE8"/>
    <w:rsid w:val="00EA4118"/>
    <w:rsid w:val="00EA6638"/>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5F0"/>
    <w:rsid w:val="00ED099E"/>
    <w:rsid w:val="00ED0A7C"/>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2057"/>
    <w:rsid w:val="00EE33A5"/>
    <w:rsid w:val="00EE40DF"/>
    <w:rsid w:val="00EE4676"/>
    <w:rsid w:val="00EE4724"/>
    <w:rsid w:val="00EE51BC"/>
    <w:rsid w:val="00EE57FA"/>
    <w:rsid w:val="00EE6366"/>
    <w:rsid w:val="00EE6698"/>
    <w:rsid w:val="00EE6CA8"/>
    <w:rsid w:val="00EE6E41"/>
    <w:rsid w:val="00EE75B3"/>
    <w:rsid w:val="00EF08B6"/>
    <w:rsid w:val="00EF370C"/>
    <w:rsid w:val="00EF5FD9"/>
    <w:rsid w:val="00EF7C5C"/>
    <w:rsid w:val="00F00549"/>
    <w:rsid w:val="00F00B77"/>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554B"/>
    <w:rsid w:val="00F313AE"/>
    <w:rsid w:val="00F318CF"/>
    <w:rsid w:val="00F31D01"/>
    <w:rsid w:val="00F32C3F"/>
    <w:rsid w:val="00F32D89"/>
    <w:rsid w:val="00F32EE9"/>
    <w:rsid w:val="00F33D5B"/>
    <w:rsid w:val="00F33DDC"/>
    <w:rsid w:val="00F34A2B"/>
    <w:rsid w:val="00F34E08"/>
    <w:rsid w:val="00F35682"/>
    <w:rsid w:val="00F36D68"/>
    <w:rsid w:val="00F400C8"/>
    <w:rsid w:val="00F403F4"/>
    <w:rsid w:val="00F4154F"/>
    <w:rsid w:val="00F416F9"/>
    <w:rsid w:val="00F41935"/>
    <w:rsid w:val="00F42AEE"/>
    <w:rsid w:val="00F42E5C"/>
    <w:rsid w:val="00F42F10"/>
    <w:rsid w:val="00F4315F"/>
    <w:rsid w:val="00F442AB"/>
    <w:rsid w:val="00F44418"/>
    <w:rsid w:val="00F44B27"/>
    <w:rsid w:val="00F453F9"/>
    <w:rsid w:val="00F4542E"/>
    <w:rsid w:val="00F46411"/>
    <w:rsid w:val="00F46BC6"/>
    <w:rsid w:val="00F46D01"/>
    <w:rsid w:val="00F4770C"/>
    <w:rsid w:val="00F50EF5"/>
    <w:rsid w:val="00F51D4A"/>
    <w:rsid w:val="00F51EBD"/>
    <w:rsid w:val="00F56076"/>
    <w:rsid w:val="00F56F2E"/>
    <w:rsid w:val="00F576D8"/>
    <w:rsid w:val="00F62012"/>
    <w:rsid w:val="00F640AA"/>
    <w:rsid w:val="00F65362"/>
    <w:rsid w:val="00F6615B"/>
    <w:rsid w:val="00F6708C"/>
    <w:rsid w:val="00F67B6A"/>
    <w:rsid w:val="00F71409"/>
    <w:rsid w:val="00F71526"/>
    <w:rsid w:val="00F7229B"/>
    <w:rsid w:val="00F75937"/>
    <w:rsid w:val="00F773B5"/>
    <w:rsid w:val="00F778F9"/>
    <w:rsid w:val="00F77B96"/>
    <w:rsid w:val="00F77E9D"/>
    <w:rsid w:val="00F8030C"/>
    <w:rsid w:val="00F80DEF"/>
    <w:rsid w:val="00F81B74"/>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E50"/>
    <w:rsid w:val="00F97519"/>
    <w:rsid w:val="00FA1253"/>
    <w:rsid w:val="00FA174A"/>
    <w:rsid w:val="00FA213E"/>
    <w:rsid w:val="00FA308F"/>
    <w:rsid w:val="00FA3B47"/>
    <w:rsid w:val="00FA415D"/>
    <w:rsid w:val="00FA4AD5"/>
    <w:rsid w:val="00FA5A2C"/>
    <w:rsid w:val="00FA6493"/>
    <w:rsid w:val="00FA6A90"/>
    <w:rsid w:val="00FA6D6D"/>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0CD"/>
    <w:rsid w:val="00FC2799"/>
    <w:rsid w:val="00FC3966"/>
    <w:rsid w:val="00FC49AB"/>
    <w:rsid w:val="00FC4D4F"/>
    <w:rsid w:val="00FC5F16"/>
    <w:rsid w:val="00FC6B71"/>
    <w:rsid w:val="00FC7025"/>
    <w:rsid w:val="00FC7596"/>
    <w:rsid w:val="00FC7B08"/>
    <w:rsid w:val="00FD4301"/>
    <w:rsid w:val="00FD4969"/>
    <w:rsid w:val="00FD5CEE"/>
    <w:rsid w:val="00FD5DE7"/>
    <w:rsid w:val="00FD62A1"/>
    <w:rsid w:val="00FE0034"/>
    <w:rsid w:val="00FE01F5"/>
    <w:rsid w:val="00FE051B"/>
    <w:rsid w:val="00FE0D5D"/>
    <w:rsid w:val="00FE1C1D"/>
    <w:rsid w:val="00FE2904"/>
    <w:rsid w:val="00FE2C11"/>
    <w:rsid w:val="00FE34DA"/>
    <w:rsid w:val="00FE4B01"/>
    <w:rsid w:val="00FE5605"/>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0A705C"/>
  <w15:docId w15:val="{A85CA6A1-0711-4D99-808B-921ECA1F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E5"/>
    <w:pPr>
      <w:widowControl w:val="0"/>
      <w:jc w:val="both"/>
    </w:pPr>
    <w:rPr>
      <w:kern w:val="2"/>
      <w:sz w:val="21"/>
    </w:rPr>
  </w:style>
  <w:style w:type="paragraph" w:styleId="1">
    <w:name w:val="heading 1"/>
    <w:basedOn w:val="a"/>
    <w:next w:val="a"/>
    <w:qFormat/>
    <w:rsid w:val="004A3EE5"/>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4A3EE5"/>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4A3EE5"/>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4A3EE5"/>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4A3EE5"/>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4A3EE5"/>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4A3EE5"/>
    <w:pPr>
      <w:keepNext/>
      <w:keepLines/>
      <w:spacing w:before="240" w:after="64" w:line="317" w:lineRule="auto"/>
      <w:outlineLvl w:val="6"/>
    </w:pPr>
    <w:rPr>
      <w:b/>
      <w:sz w:val="24"/>
    </w:rPr>
  </w:style>
  <w:style w:type="paragraph" w:styleId="8">
    <w:name w:val="heading 8"/>
    <w:basedOn w:val="a"/>
    <w:next w:val="a"/>
    <w:qFormat/>
    <w:rsid w:val="004A3EE5"/>
    <w:pPr>
      <w:keepNext/>
      <w:keepLines/>
      <w:spacing w:before="240" w:after="64" w:line="317" w:lineRule="auto"/>
      <w:outlineLvl w:val="7"/>
    </w:pPr>
    <w:rPr>
      <w:rFonts w:ascii="Arial" w:eastAsia="黑体" w:hAnsi="Arial"/>
      <w:sz w:val="24"/>
    </w:rPr>
  </w:style>
  <w:style w:type="paragraph" w:styleId="9">
    <w:name w:val="heading 9"/>
    <w:basedOn w:val="a"/>
    <w:next w:val="a"/>
    <w:qFormat/>
    <w:rsid w:val="004A3EE5"/>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A3EE5"/>
    <w:rPr>
      <w:color w:val="0000FF"/>
      <w:u w:val="single"/>
    </w:rPr>
  </w:style>
  <w:style w:type="character" w:styleId="a5">
    <w:name w:val="page number"/>
    <w:basedOn w:val="a1"/>
    <w:rsid w:val="004A3EE5"/>
  </w:style>
  <w:style w:type="character" w:styleId="a6">
    <w:name w:val="annotation reference"/>
    <w:rsid w:val="004A3EE5"/>
    <w:rPr>
      <w:sz w:val="21"/>
    </w:rPr>
  </w:style>
  <w:style w:type="character" w:customStyle="1" w:styleId="10">
    <w:name w:val="访问过的超链接1"/>
    <w:rsid w:val="004A3EE5"/>
    <w:rPr>
      <w:color w:val="800080"/>
      <w:u w:val="single"/>
    </w:rPr>
  </w:style>
  <w:style w:type="character" w:customStyle="1" w:styleId="Char">
    <w:name w:val="页脚 Char"/>
    <w:link w:val="a7"/>
    <w:uiPriority w:val="99"/>
    <w:rsid w:val="004A3EE5"/>
    <w:rPr>
      <w:kern w:val="2"/>
      <w:sz w:val="18"/>
    </w:rPr>
  </w:style>
  <w:style w:type="character" w:customStyle="1" w:styleId="big1">
    <w:name w:val="big1"/>
    <w:rsid w:val="004A3EE5"/>
    <w:rPr>
      <w:sz w:val="22"/>
    </w:rPr>
  </w:style>
  <w:style w:type="character" w:customStyle="1" w:styleId="ten51">
    <w:name w:val="ten51"/>
    <w:rsid w:val="004A3EE5"/>
    <w:rPr>
      <w:sz w:val="21"/>
    </w:rPr>
  </w:style>
  <w:style w:type="character" w:customStyle="1" w:styleId="Char0">
    <w:name w:val="文档结构图 Char"/>
    <w:link w:val="a8"/>
    <w:uiPriority w:val="99"/>
    <w:semiHidden/>
    <w:rsid w:val="004A3EE5"/>
    <w:rPr>
      <w:rFonts w:ascii="宋体"/>
      <w:kern w:val="2"/>
      <w:sz w:val="18"/>
      <w:szCs w:val="18"/>
    </w:rPr>
  </w:style>
  <w:style w:type="character" w:customStyle="1" w:styleId="Char1">
    <w:name w:val="纯文本 Char"/>
    <w:link w:val="a9"/>
    <w:uiPriority w:val="99"/>
    <w:rsid w:val="004A3EE5"/>
    <w:rPr>
      <w:rFonts w:ascii="Courier New" w:hAnsi="Courier New"/>
    </w:rPr>
  </w:style>
  <w:style w:type="character" w:customStyle="1" w:styleId="unnamed11">
    <w:name w:val="unnamed11"/>
    <w:rsid w:val="004A3EE5"/>
    <w:rPr>
      <w:rFonts w:ascii="宋体" w:eastAsia="宋体" w:hAnsi="宋体" w:hint="eastAsia"/>
      <w:sz w:val="18"/>
      <w:szCs w:val="18"/>
    </w:rPr>
  </w:style>
  <w:style w:type="character" w:customStyle="1" w:styleId="Char2">
    <w:name w:val="批注文字 Char"/>
    <w:link w:val="aa"/>
    <w:rsid w:val="004A3EE5"/>
    <w:rPr>
      <w:kern w:val="2"/>
      <w:sz w:val="21"/>
    </w:rPr>
  </w:style>
  <w:style w:type="character" w:customStyle="1" w:styleId="read">
    <w:name w:val="read"/>
    <w:basedOn w:val="a1"/>
    <w:rsid w:val="004A3EE5"/>
  </w:style>
  <w:style w:type="paragraph" w:styleId="ab">
    <w:name w:val="Body Text Indent"/>
    <w:basedOn w:val="a"/>
    <w:rsid w:val="004A3EE5"/>
    <w:pPr>
      <w:widowControl/>
      <w:spacing w:line="360" w:lineRule="auto"/>
      <w:ind w:rightChars="-85" w:right="-85" w:firstLineChars="150" w:firstLine="360"/>
      <w:jc w:val="left"/>
    </w:pPr>
    <w:rPr>
      <w:rFonts w:ascii="宋体" w:hAnsi="宋体"/>
      <w:sz w:val="24"/>
    </w:rPr>
  </w:style>
  <w:style w:type="paragraph" w:styleId="a8">
    <w:name w:val="Document Map"/>
    <w:basedOn w:val="a"/>
    <w:link w:val="Char0"/>
    <w:uiPriority w:val="99"/>
    <w:unhideWhenUsed/>
    <w:rsid w:val="004A3EE5"/>
    <w:rPr>
      <w:rFonts w:ascii="宋体"/>
      <w:sz w:val="18"/>
      <w:szCs w:val="18"/>
    </w:rPr>
  </w:style>
  <w:style w:type="paragraph" w:styleId="ac">
    <w:name w:val="annotation subject"/>
    <w:basedOn w:val="aa"/>
    <w:next w:val="aa"/>
    <w:rsid w:val="004A3EE5"/>
    <w:rPr>
      <w:b/>
    </w:rPr>
  </w:style>
  <w:style w:type="paragraph" w:styleId="a0">
    <w:name w:val="Normal Indent"/>
    <w:basedOn w:val="a"/>
    <w:rsid w:val="004A3EE5"/>
    <w:pPr>
      <w:ind w:firstLineChars="200" w:firstLine="420"/>
    </w:pPr>
  </w:style>
  <w:style w:type="paragraph" w:styleId="ad">
    <w:name w:val="Body Text"/>
    <w:basedOn w:val="a"/>
    <w:rsid w:val="004A3EE5"/>
    <w:pPr>
      <w:spacing w:after="120"/>
    </w:pPr>
  </w:style>
  <w:style w:type="paragraph" w:styleId="ae">
    <w:name w:val="Body Text First Indent"/>
    <w:basedOn w:val="ad"/>
    <w:rsid w:val="004A3EE5"/>
    <w:pPr>
      <w:spacing w:line="300" w:lineRule="auto"/>
      <w:ind w:firstLine="425"/>
    </w:pPr>
  </w:style>
  <w:style w:type="paragraph" w:styleId="aa">
    <w:name w:val="annotation text"/>
    <w:basedOn w:val="a"/>
    <w:link w:val="Char2"/>
    <w:rsid w:val="004A3EE5"/>
    <w:pPr>
      <w:jc w:val="left"/>
    </w:pPr>
  </w:style>
  <w:style w:type="paragraph" w:styleId="af">
    <w:name w:val="Title"/>
    <w:basedOn w:val="ad"/>
    <w:next w:val="ad"/>
    <w:qFormat/>
    <w:rsid w:val="004A3EE5"/>
    <w:pPr>
      <w:tabs>
        <w:tab w:val="left" w:pos="-540"/>
        <w:tab w:val="left" w:pos="1182"/>
      </w:tabs>
      <w:snapToGrid w:val="0"/>
      <w:spacing w:before="240" w:after="60" w:line="360" w:lineRule="auto"/>
      <w:ind w:left="527" w:hanging="425"/>
      <w:jc w:val="center"/>
      <w:outlineLvl w:val="0"/>
    </w:pPr>
    <w:rPr>
      <w:b/>
      <w:sz w:val="36"/>
    </w:rPr>
  </w:style>
  <w:style w:type="paragraph" w:styleId="af0">
    <w:name w:val="Normal (Web)"/>
    <w:basedOn w:val="a"/>
    <w:rsid w:val="004A3EE5"/>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9">
    <w:name w:val="Plain Text"/>
    <w:basedOn w:val="a"/>
    <w:link w:val="Char1"/>
    <w:uiPriority w:val="99"/>
    <w:rsid w:val="004A3EE5"/>
    <w:pPr>
      <w:widowControl/>
      <w:jc w:val="left"/>
    </w:pPr>
    <w:rPr>
      <w:rFonts w:ascii="Courier New" w:hAnsi="Courier New"/>
      <w:kern w:val="0"/>
      <w:sz w:val="20"/>
    </w:rPr>
  </w:style>
  <w:style w:type="paragraph" w:styleId="a7">
    <w:name w:val="footer"/>
    <w:basedOn w:val="a"/>
    <w:link w:val="Char"/>
    <w:uiPriority w:val="99"/>
    <w:rsid w:val="004A3EE5"/>
    <w:pPr>
      <w:tabs>
        <w:tab w:val="center" w:pos="4153"/>
        <w:tab w:val="right" w:pos="8306"/>
      </w:tabs>
      <w:snapToGrid w:val="0"/>
      <w:jc w:val="left"/>
    </w:pPr>
    <w:rPr>
      <w:sz w:val="18"/>
    </w:rPr>
  </w:style>
  <w:style w:type="paragraph" w:styleId="20">
    <w:name w:val="Body Text Indent 2"/>
    <w:basedOn w:val="a"/>
    <w:rsid w:val="004A3EE5"/>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4A3EE5"/>
    <w:pPr>
      <w:ind w:leftChars="200" w:left="420"/>
    </w:pPr>
  </w:style>
  <w:style w:type="paragraph" w:styleId="af1">
    <w:name w:val="header"/>
    <w:basedOn w:val="a"/>
    <w:rsid w:val="004A3EE5"/>
    <w:pPr>
      <w:pBdr>
        <w:bottom w:val="single" w:sz="6" w:space="1" w:color="auto"/>
      </w:pBdr>
      <w:tabs>
        <w:tab w:val="center" w:pos="4153"/>
        <w:tab w:val="right" w:pos="8306"/>
      </w:tabs>
      <w:snapToGrid w:val="0"/>
      <w:jc w:val="center"/>
    </w:pPr>
    <w:rPr>
      <w:sz w:val="18"/>
    </w:rPr>
  </w:style>
  <w:style w:type="paragraph" w:styleId="af2">
    <w:name w:val="Balloon Text"/>
    <w:basedOn w:val="a"/>
    <w:rsid w:val="004A3EE5"/>
    <w:rPr>
      <w:sz w:val="18"/>
    </w:rPr>
  </w:style>
  <w:style w:type="paragraph" w:styleId="11">
    <w:name w:val="toc 1"/>
    <w:basedOn w:val="a"/>
    <w:next w:val="a"/>
    <w:uiPriority w:val="39"/>
    <w:rsid w:val="004A3EE5"/>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4A3EE5"/>
  </w:style>
  <w:style w:type="paragraph" w:customStyle="1" w:styleId="af3">
    <w:name w:val="项目"/>
    <w:basedOn w:val="4"/>
    <w:rsid w:val="004A3EE5"/>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4A3EE5"/>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4A3EE5"/>
    <w:pPr>
      <w:tabs>
        <w:tab w:val="left" w:pos="840"/>
      </w:tabs>
      <w:ind w:left="840" w:hanging="360"/>
    </w:pPr>
    <w:rPr>
      <w:sz w:val="24"/>
    </w:rPr>
  </w:style>
  <w:style w:type="paragraph" w:customStyle="1" w:styleId="c">
    <w:name w:val="c_"/>
    <w:rsid w:val="004A3EE5"/>
    <w:pPr>
      <w:widowControl w:val="0"/>
      <w:autoSpaceDE w:val="0"/>
      <w:autoSpaceDN w:val="0"/>
      <w:adjustRightInd w:val="0"/>
      <w:jc w:val="both"/>
    </w:pPr>
    <w:rPr>
      <w:rFonts w:ascii="五" w:eastAsia="五"/>
      <w:sz w:val="24"/>
    </w:rPr>
  </w:style>
  <w:style w:type="paragraph" w:customStyle="1" w:styleId="xl22">
    <w:name w:val="xl22"/>
    <w:basedOn w:val="a"/>
    <w:rsid w:val="004A3EE5"/>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4A3EE5"/>
  </w:style>
  <w:style w:type="paragraph" w:customStyle="1" w:styleId="af4">
    <w:name w:val="表格正文"/>
    <w:basedOn w:val="a0"/>
    <w:rsid w:val="004A3EE5"/>
    <w:pPr>
      <w:spacing w:beforeLines="50"/>
      <w:ind w:firstLineChars="0" w:firstLine="0"/>
      <w:jc w:val="center"/>
    </w:pPr>
    <w:rPr>
      <w:sz w:val="24"/>
    </w:rPr>
  </w:style>
  <w:style w:type="paragraph" w:customStyle="1" w:styleId="Char3">
    <w:name w:val="Char"/>
    <w:basedOn w:val="a"/>
    <w:rsid w:val="004A3EE5"/>
  </w:style>
  <w:style w:type="paragraph" w:styleId="af5">
    <w:name w:val="Revision"/>
    <w:uiPriority w:val="99"/>
    <w:semiHidden/>
    <w:rsid w:val="004A3EE5"/>
    <w:rPr>
      <w:kern w:val="2"/>
      <w:sz w:val="21"/>
    </w:rPr>
  </w:style>
  <w:style w:type="paragraph" w:customStyle="1" w:styleId="af6">
    <w:name w:val="报告署名"/>
    <w:basedOn w:val="a"/>
    <w:next w:val="a"/>
    <w:rsid w:val="004A3EE5"/>
    <w:pPr>
      <w:spacing w:line="360" w:lineRule="auto"/>
      <w:jc w:val="center"/>
    </w:pPr>
    <w:rPr>
      <w:rFonts w:ascii="宋体" w:hAnsi="宋体"/>
      <w:sz w:val="24"/>
    </w:rPr>
  </w:style>
  <w:style w:type="paragraph" w:customStyle="1" w:styleId="Default">
    <w:name w:val="Default"/>
    <w:rsid w:val="004A3EE5"/>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4A3EE5"/>
    <w:pPr>
      <w:tabs>
        <w:tab w:val="left" w:pos="840"/>
      </w:tabs>
      <w:ind w:left="840" w:hanging="360"/>
    </w:pPr>
    <w:rPr>
      <w:sz w:val="24"/>
    </w:rPr>
  </w:style>
  <w:style w:type="paragraph" w:styleId="af7">
    <w:name w:val="List Paragraph"/>
    <w:basedOn w:val="a"/>
    <w:qFormat/>
    <w:rsid w:val="004A3EE5"/>
    <w:pPr>
      <w:ind w:firstLineChars="200" w:firstLine="420"/>
    </w:pPr>
  </w:style>
  <w:style w:type="paragraph" w:customStyle="1" w:styleId="23">
    <w:name w:val="列表2"/>
    <w:basedOn w:val="a"/>
    <w:next w:val="af"/>
    <w:rsid w:val="004A3EE5"/>
    <w:pPr>
      <w:tabs>
        <w:tab w:val="left" w:pos="1125"/>
      </w:tabs>
      <w:spacing w:line="360" w:lineRule="auto"/>
      <w:ind w:left="1125" w:hanging="1125"/>
    </w:pPr>
    <w:rPr>
      <w:rFonts w:ascii="宋体"/>
    </w:rPr>
  </w:style>
  <w:style w:type="paragraph" w:customStyle="1" w:styleId="1Char">
    <w:name w:val="1 Char"/>
    <w:basedOn w:val="a"/>
    <w:semiHidden/>
    <w:rsid w:val="004A3EE5"/>
    <w:pPr>
      <w:tabs>
        <w:tab w:val="left" w:pos="360"/>
      </w:tabs>
    </w:pPr>
    <w:rPr>
      <w:sz w:val="24"/>
      <w:szCs w:val="24"/>
    </w:rPr>
  </w:style>
  <w:style w:type="paragraph" w:customStyle="1" w:styleId="CharChar">
    <w:name w:val="Char Char"/>
    <w:basedOn w:val="a"/>
    <w:rsid w:val="004A3EE5"/>
    <w:pPr>
      <w:tabs>
        <w:tab w:val="left" w:pos="840"/>
      </w:tabs>
      <w:ind w:left="840" w:hanging="360"/>
    </w:pPr>
    <w:rPr>
      <w:sz w:val="24"/>
      <w:szCs w:val="24"/>
    </w:rPr>
  </w:style>
  <w:style w:type="paragraph" w:customStyle="1" w:styleId="Char4">
    <w:name w:val="Char"/>
    <w:basedOn w:val="a"/>
    <w:rsid w:val="004A3EE5"/>
  </w:style>
  <w:style w:type="table" w:styleId="af8">
    <w:name w:val="Table Grid"/>
    <w:basedOn w:val="a2"/>
    <w:qFormat/>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 w:id="1670253913">
      <w:bodyDiv w:val="1"/>
      <w:marLeft w:val="0"/>
      <w:marRight w:val="0"/>
      <w:marTop w:val="0"/>
      <w:marBottom w:val="0"/>
      <w:divBdr>
        <w:top w:val="none" w:sz="0" w:space="0" w:color="auto"/>
        <w:left w:val="none" w:sz="0" w:space="0" w:color="auto"/>
        <w:bottom w:val="none" w:sz="0" w:space="0" w:color="auto"/>
        <w:right w:val="none" w:sz="0" w:space="0" w:color="auto"/>
      </w:divBdr>
    </w:div>
    <w:div w:id="1814450073">
      <w:bodyDiv w:val="1"/>
      <w:marLeft w:val="0"/>
      <w:marRight w:val="0"/>
      <w:marTop w:val="0"/>
      <w:marBottom w:val="0"/>
      <w:divBdr>
        <w:top w:val="none" w:sz="0" w:space="0" w:color="auto"/>
        <w:left w:val="none" w:sz="0" w:space="0" w:color="auto"/>
        <w:bottom w:val="none" w:sz="0" w:space="0" w:color="auto"/>
        <w:right w:val="none" w:sz="0" w:space="0" w:color="auto"/>
      </w:divBdr>
    </w:div>
    <w:div w:id="1954745326">
      <w:bodyDiv w:val="1"/>
      <w:marLeft w:val="0"/>
      <w:marRight w:val="0"/>
      <w:marTop w:val="0"/>
      <w:marBottom w:val="0"/>
      <w:divBdr>
        <w:top w:val="none" w:sz="0" w:space="0" w:color="auto"/>
        <w:left w:val="none" w:sz="0" w:space="0" w:color="auto"/>
        <w:bottom w:val="none" w:sz="0" w:space="0" w:color="auto"/>
        <w:right w:val="none" w:sz="0" w:space="0" w:color="auto"/>
      </w:divBdr>
    </w:div>
    <w:div w:id="2124767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572C-C6A1-4FA3-890F-0E90B2AD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113</Pages>
  <Words>10932</Words>
  <Characters>62317</Characters>
  <Application>Microsoft Office Word</Application>
  <DocSecurity>0</DocSecurity>
  <PresentationFormat/>
  <Lines>519</Lines>
  <Paragraphs>146</Paragraphs>
  <Slides>0</Slides>
  <Notes>0</Notes>
  <HiddenSlides>0</HiddenSlides>
  <MMClips>0</MMClips>
  <ScaleCrop>false</ScaleCrop>
  <Company>Microsoft</Company>
  <LinksUpToDate>false</LinksUpToDate>
  <CharactersWithSpaces>73103</CharactersWithSpaces>
  <SharedDoc>false</SharedDoc>
  <HLinks>
    <vt:vector size="156" baseType="variant">
      <vt:variant>
        <vt:i4>4849461</vt:i4>
      </vt:variant>
      <vt:variant>
        <vt:i4>156</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1572921</vt:i4>
      </vt:variant>
      <vt:variant>
        <vt:i4>134</vt:i4>
      </vt:variant>
      <vt:variant>
        <vt:i4>0</vt:i4>
      </vt:variant>
      <vt:variant>
        <vt:i4>5</vt:i4>
      </vt:variant>
      <vt:variant>
        <vt:lpwstr/>
      </vt:variant>
      <vt:variant>
        <vt:lpwstr>_Toc491191560</vt:lpwstr>
      </vt:variant>
      <vt:variant>
        <vt:i4>1769529</vt:i4>
      </vt:variant>
      <vt:variant>
        <vt:i4>128</vt:i4>
      </vt:variant>
      <vt:variant>
        <vt:i4>0</vt:i4>
      </vt:variant>
      <vt:variant>
        <vt:i4>5</vt:i4>
      </vt:variant>
      <vt:variant>
        <vt:lpwstr/>
      </vt:variant>
      <vt:variant>
        <vt:lpwstr>_Toc491191559</vt:lpwstr>
      </vt:variant>
      <vt:variant>
        <vt:i4>1769529</vt:i4>
      </vt:variant>
      <vt:variant>
        <vt:i4>122</vt:i4>
      </vt:variant>
      <vt:variant>
        <vt:i4>0</vt:i4>
      </vt:variant>
      <vt:variant>
        <vt:i4>5</vt:i4>
      </vt:variant>
      <vt:variant>
        <vt:lpwstr/>
      </vt:variant>
      <vt:variant>
        <vt:lpwstr>_Toc491191558</vt:lpwstr>
      </vt:variant>
      <vt:variant>
        <vt:i4>1769529</vt:i4>
      </vt:variant>
      <vt:variant>
        <vt:i4>116</vt:i4>
      </vt:variant>
      <vt:variant>
        <vt:i4>0</vt:i4>
      </vt:variant>
      <vt:variant>
        <vt:i4>5</vt:i4>
      </vt:variant>
      <vt:variant>
        <vt:lpwstr/>
      </vt:variant>
      <vt:variant>
        <vt:lpwstr>_Toc491191557</vt:lpwstr>
      </vt:variant>
      <vt:variant>
        <vt:i4>1769529</vt:i4>
      </vt:variant>
      <vt:variant>
        <vt:i4>110</vt:i4>
      </vt:variant>
      <vt:variant>
        <vt:i4>0</vt:i4>
      </vt:variant>
      <vt:variant>
        <vt:i4>5</vt:i4>
      </vt:variant>
      <vt:variant>
        <vt:lpwstr/>
      </vt:variant>
      <vt:variant>
        <vt:lpwstr>_Toc491191556</vt:lpwstr>
      </vt:variant>
      <vt:variant>
        <vt:i4>1769529</vt:i4>
      </vt:variant>
      <vt:variant>
        <vt:i4>104</vt:i4>
      </vt:variant>
      <vt:variant>
        <vt:i4>0</vt:i4>
      </vt:variant>
      <vt:variant>
        <vt:i4>5</vt:i4>
      </vt:variant>
      <vt:variant>
        <vt:lpwstr/>
      </vt:variant>
      <vt:variant>
        <vt:lpwstr>_Toc491191555</vt:lpwstr>
      </vt:variant>
      <vt:variant>
        <vt:i4>1769529</vt:i4>
      </vt:variant>
      <vt:variant>
        <vt:i4>98</vt:i4>
      </vt:variant>
      <vt:variant>
        <vt:i4>0</vt:i4>
      </vt:variant>
      <vt:variant>
        <vt:i4>5</vt:i4>
      </vt:variant>
      <vt:variant>
        <vt:lpwstr/>
      </vt:variant>
      <vt:variant>
        <vt:lpwstr>_Toc491191554</vt:lpwstr>
      </vt:variant>
      <vt:variant>
        <vt:i4>1769529</vt:i4>
      </vt:variant>
      <vt:variant>
        <vt:i4>92</vt:i4>
      </vt:variant>
      <vt:variant>
        <vt:i4>0</vt:i4>
      </vt:variant>
      <vt:variant>
        <vt:i4>5</vt:i4>
      </vt:variant>
      <vt:variant>
        <vt:lpwstr/>
      </vt:variant>
      <vt:variant>
        <vt:lpwstr>_Toc491191553</vt:lpwstr>
      </vt:variant>
      <vt:variant>
        <vt:i4>1769529</vt:i4>
      </vt:variant>
      <vt:variant>
        <vt:i4>86</vt:i4>
      </vt:variant>
      <vt:variant>
        <vt:i4>0</vt:i4>
      </vt:variant>
      <vt:variant>
        <vt:i4>5</vt:i4>
      </vt:variant>
      <vt:variant>
        <vt:lpwstr/>
      </vt:variant>
      <vt:variant>
        <vt:lpwstr>_Toc491191552</vt:lpwstr>
      </vt:variant>
      <vt:variant>
        <vt:i4>1769529</vt:i4>
      </vt:variant>
      <vt:variant>
        <vt:i4>80</vt:i4>
      </vt:variant>
      <vt:variant>
        <vt:i4>0</vt:i4>
      </vt:variant>
      <vt:variant>
        <vt:i4>5</vt:i4>
      </vt:variant>
      <vt:variant>
        <vt:lpwstr/>
      </vt:variant>
      <vt:variant>
        <vt:lpwstr>_Toc491191551</vt:lpwstr>
      </vt:variant>
      <vt:variant>
        <vt:i4>1769529</vt:i4>
      </vt:variant>
      <vt:variant>
        <vt:i4>74</vt:i4>
      </vt:variant>
      <vt:variant>
        <vt:i4>0</vt:i4>
      </vt:variant>
      <vt:variant>
        <vt:i4>5</vt:i4>
      </vt:variant>
      <vt:variant>
        <vt:lpwstr/>
      </vt:variant>
      <vt:variant>
        <vt:lpwstr>_Toc491191550</vt:lpwstr>
      </vt:variant>
      <vt:variant>
        <vt:i4>1703993</vt:i4>
      </vt:variant>
      <vt:variant>
        <vt:i4>68</vt:i4>
      </vt:variant>
      <vt:variant>
        <vt:i4>0</vt:i4>
      </vt:variant>
      <vt:variant>
        <vt:i4>5</vt:i4>
      </vt:variant>
      <vt:variant>
        <vt:lpwstr/>
      </vt:variant>
      <vt:variant>
        <vt:lpwstr>_Toc491191549</vt:lpwstr>
      </vt:variant>
      <vt:variant>
        <vt:i4>1703993</vt:i4>
      </vt:variant>
      <vt:variant>
        <vt:i4>62</vt:i4>
      </vt:variant>
      <vt:variant>
        <vt:i4>0</vt:i4>
      </vt:variant>
      <vt:variant>
        <vt:i4>5</vt:i4>
      </vt:variant>
      <vt:variant>
        <vt:lpwstr/>
      </vt:variant>
      <vt:variant>
        <vt:lpwstr>_Toc491191548</vt:lpwstr>
      </vt:variant>
      <vt:variant>
        <vt:i4>1703993</vt:i4>
      </vt:variant>
      <vt:variant>
        <vt:i4>56</vt:i4>
      </vt:variant>
      <vt:variant>
        <vt:i4>0</vt:i4>
      </vt:variant>
      <vt:variant>
        <vt:i4>5</vt:i4>
      </vt:variant>
      <vt:variant>
        <vt:lpwstr/>
      </vt:variant>
      <vt:variant>
        <vt:lpwstr>_Toc491191547</vt:lpwstr>
      </vt:variant>
      <vt:variant>
        <vt:i4>1703993</vt:i4>
      </vt:variant>
      <vt:variant>
        <vt:i4>50</vt:i4>
      </vt:variant>
      <vt:variant>
        <vt:i4>0</vt:i4>
      </vt:variant>
      <vt:variant>
        <vt:i4>5</vt:i4>
      </vt:variant>
      <vt:variant>
        <vt:lpwstr/>
      </vt:variant>
      <vt:variant>
        <vt:lpwstr>_Toc491191546</vt:lpwstr>
      </vt:variant>
      <vt:variant>
        <vt:i4>1703993</vt:i4>
      </vt:variant>
      <vt:variant>
        <vt:i4>44</vt:i4>
      </vt:variant>
      <vt:variant>
        <vt:i4>0</vt:i4>
      </vt:variant>
      <vt:variant>
        <vt:i4>5</vt:i4>
      </vt:variant>
      <vt:variant>
        <vt:lpwstr/>
      </vt:variant>
      <vt:variant>
        <vt:lpwstr>_Toc491191545</vt:lpwstr>
      </vt:variant>
      <vt:variant>
        <vt:i4>1703993</vt:i4>
      </vt:variant>
      <vt:variant>
        <vt:i4>38</vt:i4>
      </vt:variant>
      <vt:variant>
        <vt:i4>0</vt:i4>
      </vt:variant>
      <vt:variant>
        <vt:i4>5</vt:i4>
      </vt:variant>
      <vt:variant>
        <vt:lpwstr/>
      </vt:variant>
      <vt:variant>
        <vt:lpwstr>_Toc491191544</vt:lpwstr>
      </vt:variant>
      <vt:variant>
        <vt:i4>1703993</vt:i4>
      </vt:variant>
      <vt:variant>
        <vt:i4>32</vt:i4>
      </vt:variant>
      <vt:variant>
        <vt:i4>0</vt:i4>
      </vt:variant>
      <vt:variant>
        <vt:i4>5</vt:i4>
      </vt:variant>
      <vt:variant>
        <vt:lpwstr/>
      </vt:variant>
      <vt:variant>
        <vt:lpwstr>_Toc491191543</vt:lpwstr>
      </vt:variant>
      <vt:variant>
        <vt:i4>1703993</vt:i4>
      </vt:variant>
      <vt:variant>
        <vt:i4>26</vt:i4>
      </vt:variant>
      <vt:variant>
        <vt:i4>0</vt:i4>
      </vt:variant>
      <vt:variant>
        <vt:i4>5</vt:i4>
      </vt:variant>
      <vt:variant>
        <vt:lpwstr/>
      </vt:variant>
      <vt:variant>
        <vt:lpwstr>_Toc491191542</vt:lpwstr>
      </vt:variant>
      <vt:variant>
        <vt:i4>1703993</vt:i4>
      </vt:variant>
      <vt:variant>
        <vt:i4>20</vt:i4>
      </vt:variant>
      <vt:variant>
        <vt:i4>0</vt:i4>
      </vt:variant>
      <vt:variant>
        <vt:i4>5</vt:i4>
      </vt:variant>
      <vt:variant>
        <vt:lpwstr/>
      </vt:variant>
      <vt:variant>
        <vt:lpwstr>_Toc491191541</vt:lpwstr>
      </vt:variant>
      <vt:variant>
        <vt:i4>1703993</vt:i4>
      </vt:variant>
      <vt:variant>
        <vt:i4>14</vt:i4>
      </vt:variant>
      <vt:variant>
        <vt:i4>0</vt:i4>
      </vt:variant>
      <vt:variant>
        <vt:i4>5</vt:i4>
      </vt:variant>
      <vt:variant>
        <vt:lpwstr/>
      </vt:variant>
      <vt:variant>
        <vt:lpwstr>_Toc491191540</vt:lpwstr>
      </vt:variant>
      <vt:variant>
        <vt:i4>1900601</vt:i4>
      </vt:variant>
      <vt:variant>
        <vt:i4>8</vt:i4>
      </vt:variant>
      <vt:variant>
        <vt:i4>0</vt:i4>
      </vt:variant>
      <vt:variant>
        <vt:i4>5</vt:i4>
      </vt:variant>
      <vt:variant>
        <vt:lpwstr/>
      </vt:variant>
      <vt:variant>
        <vt:lpwstr>_Toc491191539</vt:lpwstr>
      </vt:variant>
      <vt:variant>
        <vt:i4>1900601</vt:i4>
      </vt:variant>
      <vt:variant>
        <vt:i4>2</vt:i4>
      </vt:variant>
      <vt:variant>
        <vt:i4>0</vt:i4>
      </vt:variant>
      <vt:variant>
        <vt:i4>5</vt:i4>
      </vt:variant>
      <vt:variant>
        <vt:lpwstr/>
      </vt:variant>
      <vt:variant>
        <vt:lpwstr>_Toc491191538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何烁</cp:lastModifiedBy>
  <cp:revision>15</cp:revision>
  <cp:lastPrinted>2017-02-24T05:12:00Z</cp:lastPrinted>
  <dcterms:created xsi:type="dcterms:W3CDTF">2017-08-24T07:21:00Z</dcterms:created>
  <dcterms:modified xsi:type="dcterms:W3CDTF">2017-08-25T05:54:00Z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