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交银施罗德裕兴纯债债券型证券投资基金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基金托管人：兴业银行股份有限公司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兴业银行股份有限公司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交银裕兴纯债债券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519774</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519774</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2016</w:t>
            </w:r>
            <w:r w:rsidRPr="008A1551">
              <w:rPr>
                <w:sz w:val="24"/>
              </w:rPr>
              <w:t>年</w:t>
            </w:r>
            <w:r w:rsidRPr="008A1551">
              <w:rPr>
                <w:sz w:val="24"/>
              </w:rPr>
              <w:t>9</w:t>
            </w:r>
            <w:r w:rsidRPr="008A1551">
              <w:rPr>
                <w:sz w:val="24"/>
              </w:rPr>
              <w:t>月</w:t>
            </w:r>
            <w:r w:rsidRPr="008A1551">
              <w:rPr>
                <w:sz w:val="24"/>
              </w:rPr>
              <w:t>7</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兴业银行股份有限公司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1,405,197,329.52</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交银裕兴纯债债券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交银裕兴纯债债券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CD12CC" w:rsidP="009E1EA4">
            <w:pPr>
              <w:spacing w:before="29" w:line="288" w:lineRule="auto"/>
              <w:jc w:val="center"/>
              <w:rPr>
                <w:sz w:val="24"/>
              </w:rPr>
            </w:pPr>
            <w:r w:rsidRPr="00613D84">
              <w:rPr>
                <w:sz w:val="24"/>
              </w:rPr>
              <w:t>519774</w:t>
            </w:r>
          </w:p>
        </w:tc>
        <w:tc>
          <w:tcPr>
            <w:tcW w:w="2596" w:type="dxa"/>
            <w:vAlign w:val="center"/>
          </w:tcPr>
          <w:p w:rsidR="00405B9D" w:rsidRPr="008A1551" w:rsidRDefault="00405B9D" w:rsidP="009E1EA4">
            <w:pPr>
              <w:spacing w:before="29" w:line="288" w:lineRule="auto"/>
              <w:jc w:val="center"/>
              <w:rPr>
                <w:sz w:val="24"/>
              </w:rPr>
            </w:pPr>
            <w:r w:rsidRPr="008A1551">
              <w:rPr>
                <w:sz w:val="24"/>
              </w:rPr>
              <w:t>519775</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1,405,196,759.49</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570.03</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本基金在控制风险和保持资产流动性的基础上，通过积极主动的投资管理，追求基金资产的长期稳健增值，力争较高的投资回报。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宏观周期研究、行业周期研究、公司研究相结合，在分析和判断宏观经济趋势、货币及财政政策趋势和金融市场运行趋势的基础上，动态调整大类金融资产比例，自上而下决定债券组合久期、期限结构、债券类别配置策略，在严谨深入的分析基础上，综合考量政府债券、信用债等不同债券板块的流动性、供求关系和收益率水平等，深入挖掘价值被低估的标的券种。</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中债综合全价指数</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w:t>
            </w:r>
            <w:r w:rsidRPr="008A1551">
              <w:rPr>
                <w:color w:val="000000"/>
                <w:kern w:val="0"/>
                <w:sz w:val="24"/>
              </w:rPr>
              <w:lastRenderedPageBreak/>
              <w:t>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lastRenderedPageBreak/>
              <w:t>兴业银行股份有限公司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刘峰</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7777@126.com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021-52629999</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021-62159217</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交银裕兴纯债债券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交银裕兴纯债债券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42,183,587.82</w:t>
            </w:r>
          </w:p>
        </w:tc>
        <w:tc>
          <w:tcPr>
            <w:tcW w:w="2558" w:type="dxa"/>
            <w:vAlign w:val="center"/>
          </w:tcPr>
          <w:p w:rsidR="001548F9" w:rsidRPr="008A1551" w:rsidRDefault="001548F9" w:rsidP="009E1EA4">
            <w:pPr>
              <w:spacing w:before="29" w:line="288" w:lineRule="auto"/>
              <w:jc w:val="right"/>
              <w:rPr>
                <w:sz w:val="24"/>
              </w:rPr>
            </w:pPr>
            <w:r w:rsidRPr="008A1551">
              <w:rPr>
                <w:sz w:val="24"/>
              </w:rPr>
              <w:t>29.54</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19,780,749.50</w:t>
            </w:r>
          </w:p>
        </w:tc>
        <w:tc>
          <w:tcPr>
            <w:tcW w:w="2558" w:type="dxa"/>
            <w:vAlign w:val="center"/>
          </w:tcPr>
          <w:p w:rsidR="001548F9" w:rsidRPr="008A1551" w:rsidRDefault="001548F9" w:rsidP="009E1EA4">
            <w:pPr>
              <w:spacing w:before="29" w:line="288" w:lineRule="auto"/>
              <w:jc w:val="right"/>
              <w:rPr>
                <w:sz w:val="24"/>
              </w:rPr>
            </w:pPr>
            <w:r w:rsidRPr="008A1551">
              <w:rPr>
                <w:sz w:val="24"/>
              </w:rPr>
              <w:t>14.44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0.0178</w:t>
            </w:r>
          </w:p>
        </w:tc>
        <w:tc>
          <w:tcPr>
            <w:tcW w:w="2558" w:type="dxa"/>
            <w:vAlign w:val="center"/>
          </w:tcPr>
          <w:p w:rsidR="001548F9" w:rsidRPr="008A1551" w:rsidRDefault="001548F9" w:rsidP="009E1EA4">
            <w:pPr>
              <w:spacing w:before="29" w:line="288" w:lineRule="auto"/>
              <w:jc w:val="right"/>
              <w:rPr>
                <w:sz w:val="24"/>
              </w:rPr>
            </w:pPr>
            <w:r w:rsidRPr="008A1551">
              <w:rPr>
                <w:sz w:val="24"/>
              </w:rPr>
              <w:t>0.0132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1.62%</w:t>
            </w:r>
          </w:p>
        </w:tc>
        <w:tc>
          <w:tcPr>
            <w:tcW w:w="2558" w:type="dxa"/>
            <w:vAlign w:val="center"/>
          </w:tcPr>
          <w:p w:rsidR="001548F9" w:rsidRPr="008A1551" w:rsidRDefault="001548F9" w:rsidP="009E1EA4">
            <w:pPr>
              <w:spacing w:before="29" w:line="288" w:lineRule="auto"/>
              <w:jc w:val="right"/>
              <w:rPr>
                <w:sz w:val="24"/>
              </w:rPr>
            </w:pPr>
            <w:r w:rsidRPr="008A1551">
              <w:rPr>
                <w:sz w:val="24"/>
              </w:rPr>
              <w:t>1.22%</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交银裕兴纯债债券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交银裕兴纯债债券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0.004</w:t>
            </w:r>
          </w:p>
        </w:tc>
        <w:tc>
          <w:tcPr>
            <w:tcW w:w="2558" w:type="dxa"/>
            <w:vAlign w:val="center"/>
          </w:tcPr>
          <w:p w:rsidR="001548F9" w:rsidRPr="008A1551" w:rsidRDefault="001548F9" w:rsidP="009E1EA4">
            <w:pPr>
              <w:spacing w:before="29" w:line="288" w:lineRule="auto"/>
              <w:jc w:val="right"/>
              <w:rPr>
                <w:sz w:val="24"/>
              </w:rPr>
            </w:pPr>
            <w:r w:rsidRPr="008A1551">
              <w:rPr>
                <w:sz w:val="24"/>
              </w:rPr>
              <w:t>-0.005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1,410,358,334.05</w:t>
            </w:r>
          </w:p>
        </w:tc>
        <w:tc>
          <w:tcPr>
            <w:tcW w:w="2558" w:type="dxa"/>
            <w:vAlign w:val="center"/>
          </w:tcPr>
          <w:p w:rsidR="001548F9" w:rsidRPr="008A1551" w:rsidRDefault="001548F9" w:rsidP="009E1EA4">
            <w:pPr>
              <w:spacing w:before="29" w:line="288" w:lineRule="auto"/>
              <w:jc w:val="right"/>
              <w:rPr>
                <w:sz w:val="24"/>
              </w:rPr>
            </w:pPr>
            <w:r w:rsidRPr="008A1551">
              <w:rPr>
                <w:sz w:val="24"/>
              </w:rPr>
              <w:t>566.97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1.004</w:t>
            </w:r>
          </w:p>
        </w:tc>
        <w:tc>
          <w:tcPr>
            <w:tcW w:w="2558" w:type="dxa"/>
            <w:vAlign w:val="center"/>
          </w:tcPr>
          <w:p w:rsidR="001548F9" w:rsidRPr="008A1551" w:rsidRDefault="001548F9" w:rsidP="009E1EA4">
            <w:pPr>
              <w:spacing w:before="29" w:line="288" w:lineRule="auto"/>
              <w:jc w:val="right"/>
              <w:rPr>
                <w:sz w:val="24"/>
              </w:rPr>
            </w:pPr>
            <w:r w:rsidRPr="008A1551">
              <w:rPr>
                <w:sz w:val="24"/>
              </w:rPr>
              <w:t>0.995</w:t>
            </w:r>
          </w:p>
        </w:tc>
      </w:tr>
    </w:tbl>
    <w:p w:rsidR="00DF658A" w:rsidRDefault="00CD12CC">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w:t>
      </w:r>
      <w:r w:rsidRPr="008A1551">
        <w:rPr>
          <w:kern w:val="0"/>
          <w:sz w:val="24"/>
        </w:rPr>
        <w:lastRenderedPageBreak/>
        <w:t>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交银裕兴纯债债券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F658A">
        <w:tc>
          <w:tcPr>
            <w:tcW w:w="1497" w:type="dxa"/>
            <w:vAlign w:val="center"/>
          </w:tcPr>
          <w:p w:rsidR="00DF658A" w:rsidRDefault="00CD12CC">
            <w:pPr>
              <w:jc w:val="left"/>
            </w:pPr>
            <w:r>
              <w:rPr>
                <w:color w:val="000000"/>
                <w:sz w:val="24"/>
              </w:rPr>
              <w:t>过去一个月</w:t>
            </w:r>
          </w:p>
        </w:tc>
        <w:tc>
          <w:tcPr>
            <w:tcW w:w="1251" w:type="dxa"/>
            <w:vAlign w:val="center"/>
          </w:tcPr>
          <w:p w:rsidR="00DF658A" w:rsidRDefault="00CD12CC">
            <w:pPr>
              <w:jc w:val="center"/>
            </w:pPr>
            <w:r>
              <w:rPr>
                <w:color w:val="000000"/>
                <w:sz w:val="24"/>
              </w:rPr>
              <w:t>1.52%</w:t>
            </w:r>
          </w:p>
        </w:tc>
        <w:tc>
          <w:tcPr>
            <w:tcW w:w="1250" w:type="dxa"/>
            <w:vAlign w:val="center"/>
          </w:tcPr>
          <w:p w:rsidR="00DF658A" w:rsidRDefault="00CD12CC">
            <w:pPr>
              <w:jc w:val="center"/>
            </w:pPr>
            <w:r>
              <w:rPr>
                <w:color w:val="000000"/>
                <w:sz w:val="24"/>
              </w:rPr>
              <w:t>0.06%</w:t>
            </w:r>
          </w:p>
        </w:tc>
        <w:tc>
          <w:tcPr>
            <w:tcW w:w="1250" w:type="dxa"/>
            <w:vAlign w:val="center"/>
          </w:tcPr>
          <w:p w:rsidR="00DF658A" w:rsidRDefault="00CD12CC">
            <w:pPr>
              <w:jc w:val="center"/>
            </w:pPr>
            <w:r>
              <w:rPr>
                <w:color w:val="000000"/>
                <w:sz w:val="24"/>
              </w:rPr>
              <w:t>0.90%</w:t>
            </w:r>
          </w:p>
        </w:tc>
        <w:tc>
          <w:tcPr>
            <w:tcW w:w="1250" w:type="dxa"/>
            <w:vAlign w:val="center"/>
          </w:tcPr>
          <w:p w:rsidR="00DF658A" w:rsidRDefault="00CD12CC">
            <w:pPr>
              <w:jc w:val="center"/>
            </w:pPr>
            <w:r>
              <w:rPr>
                <w:color w:val="000000"/>
                <w:sz w:val="24"/>
              </w:rPr>
              <w:t>0.06%</w:t>
            </w:r>
          </w:p>
        </w:tc>
        <w:tc>
          <w:tcPr>
            <w:tcW w:w="1250" w:type="dxa"/>
            <w:vAlign w:val="center"/>
          </w:tcPr>
          <w:p w:rsidR="00DF658A" w:rsidRDefault="00CD12CC">
            <w:pPr>
              <w:jc w:val="center"/>
            </w:pPr>
            <w:r>
              <w:rPr>
                <w:color w:val="000000"/>
                <w:sz w:val="24"/>
              </w:rPr>
              <w:t>0.62%</w:t>
            </w:r>
          </w:p>
        </w:tc>
        <w:tc>
          <w:tcPr>
            <w:tcW w:w="1250" w:type="dxa"/>
            <w:vAlign w:val="center"/>
          </w:tcPr>
          <w:p w:rsidR="00DF658A" w:rsidRDefault="00CD12CC">
            <w:pPr>
              <w:jc w:val="center"/>
            </w:pPr>
            <w:r>
              <w:rPr>
                <w:color w:val="000000"/>
                <w:sz w:val="24"/>
              </w:rPr>
              <w:t>0.00%</w:t>
            </w:r>
          </w:p>
        </w:tc>
      </w:tr>
      <w:tr w:rsidR="00DF658A">
        <w:tc>
          <w:tcPr>
            <w:tcW w:w="1497" w:type="dxa"/>
            <w:vAlign w:val="center"/>
          </w:tcPr>
          <w:p w:rsidR="00DF658A" w:rsidRDefault="00CD12CC">
            <w:pPr>
              <w:jc w:val="left"/>
            </w:pPr>
            <w:r>
              <w:rPr>
                <w:color w:val="000000"/>
                <w:sz w:val="24"/>
              </w:rPr>
              <w:t>过去三个月</w:t>
            </w:r>
          </w:p>
        </w:tc>
        <w:tc>
          <w:tcPr>
            <w:tcW w:w="1251" w:type="dxa"/>
            <w:vAlign w:val="center"/>
          </w:tcPr>
          <w:p w:rsidR="00DF658A" w:rsidRDefault="00CD12CC">
            <w:pPr>
              <w:jc w:val="center"/>
            </w:pPr>
            <w:r>
              <w:rPr>
                <w:color w:val="000000"/>
                <w:sz w:val="24"/>
              </w:rPr>
              <w:t>0.80%</w:t>
            </w:r>
          </w:p>
        </w:tc>
        <w:tc>
          <w:tcPr>
            <w:tcW w:w="1250" w:type="dxa"/>
            <w:vAlign w:val="center"/>
          </w:tcPr>
          <w:p w:rsidR="00DF658A" w:rsidRDefault="00CD12CC">
            <w:pPr>
              <w:jc w:val="center"/>
            </w:pPr>
            <w:r>
              <w:rPr>
                <w:color w:val="000000"/>
                <w:sz w:val="24"/>
              </w:rPr>
              <w:t>0.08%</w:t>
            </w:r>
          </w:p>
        </w:tc>
        <w:tc>
          <w:tcPr>
            <w:tcW w:w="1250" w:type="dxa"/>
            <w:vAlign w:val="center"/>
          </w:tcPr>
          <w:p w:rsidR="00DF658A" w:rsidRDefault="00CD12CC">
            <w:pPr>
              <w:jc w:val="center"/>
            </w:pPr>
            <w:r>
              <w:rPr>
                <w:color w:val="000000"/>
                <w:sz w:val="24"/>
              </w:rPr>
              <w:t>-0.88%</w:t>
            </w:r>
          </w:p>
        </w:tc>
        <w:tc>
          <w:tcPr>
            <w:tcW w:w="1250" w:type="dxa"/>
            <w:vAlign w:val="center"/>
          </w:tcPr>
          <w:p w:rsidR="00DF658A" w:rsidRDefault="00CD12CC">
            <w:pPr>
              <w:jc w:val="center"/>
            </w:pPr>
            <w:r>
              <w:rPr>
                <w:color w:val="000000"/>
                <w:sz w:val="24"/>
              </w:rPr>
              <w:t>0.08%</w:t>
            </w:r>
          </w:p>
        </w:tc>
        <w:tc>
          <w:tcPr>
            <w:tcW w:w="1250" w:type="dxa"/>
            <w:vAlign w:val="center"/>
          </w:tcPr>
          <w:p w:rsidR="00DF658A" w:rsidRDefault="00CD12CC">
            <w:pPr>
              <w:jc w:val="center"/>
            </w:pPr>
            <w:r>
              <w:rPr>
                <w:color w:val="000000"/>
                <w:sz w:val="24"/>
              </w:rPr>
              <w:t>1.68%</w:t>
            </w:r>
          </w:p>
        </w:tc>
        <w:tc>
          <w:tcPr>
            <w:tcW w:w="1250" w:type="dxa"/>
            <w:vAlign w:val="center"/>
          </w:tcPr>
          <w:p w:rsidR="00DF658A" w:rsidRDefault="00CD12CC">
            <w:pPr>
              <w:jc w:val="center"/>
            </w:pPr>
            <w:r>
              <w:rPr>
                <w:color w:val="000000"/>
                <w:sz w:val="24"/>
              </w:rPr>
              <w:t>0.00%</w:t>
            </w:r>
          </w:p>
        </w:tc>
      </w:tr>
      <w:tr w:rsidR="00DF658A">
        <w:tc>
          <w:tcPr>
            <w:tcW w:w="1497" w:type="dxa"/>
            <w:vAlign w:val="center"/>
          </w:tcPr>
          <w:p w:rsidR="00DF658A" w:rsidRDefault="00CD12CC">
            <w:pPr>
              <w:jc w:val="left"/>
            </w:pPr>
            <w:r>
              <w:rPr>
                <w:color w:val="000000"/>
                <w:sz w:val="24"/>
              </w:rPr>
              <w:t>过去六个月</w:t>
            </w:r>
          </w:p>
        </w:tc>
        <w:tc>
          <w:tcPr>
            <w:tcW w:w="1251" w:type="dxa"/>
            <w:vAlign w:val="center"/>
          </w:tcPr>
          <w:p w:rsidR="00DF658A" w:rsidRDefault="00CD12CC">
            <w:pPr>
              <w:jc w:val="center"/>
            </w:pPr>
            <w:r>
              <w:rPr>
                <w:color w:val="000000"/>
                <w:sz w:val="24"/>
              </w:rPr>
              <w:t>1.62%</w:t>
            </w:r>
          </w:p>
        </w:tc>
        <w:tc>
          <w:tcPr>
            <w:tcW w:w="1250" w:type="dxa"/>
            <w:vAlign w:val="center"/>
          </w:tcPr>
          <w:p w:rsidR="00DF658A" w:rsidRDefault="00CD12CC">
            <w:pPr>
              <w:jc w:val="center"/>
            </w:pPr>
            <w:r>
              <w:rPr>
                <w:color w:val="000000"/>
                <w:sz w:val="24"/>
              </w:rPr>
              <w:t>0.08%</w:t>
            </w:r>
          </w:p>
        </w:tc>
        <w:tc>
          <w:tcPr>
            <w:tcW w:w="1250" w:type="dxa"/>
            <w:vAlign w:val="center"/>
          </w:tcPr>
          <w:p w:rsidR="00DF658A" w:rsidRDefault="00CD12CC">
            <w:pPr>
              <w:jc w:val="center"/>
            </w:pPr>
            <w:r>
              <w:rPr>
                <w:color w:val="000000"/>
                <w:sz w:val="24"/>
              </w:rPr>
              <w:t>-2.11%</w:t>
            </w:r>
          </w:p>
        </w:tc>
        <w:tc>
          <w:tcPr>
            <w:tcW w:w="1250" w:type="dxa"/>
            <w:vAlign w:val="center"/>
          </w:tcPr>
          <w:p w:rsidR="00DF658A" w:rsidRDefault="00CD12CC">
            <w:pPr>
              <w:jc w:val="center"/>
            </w:pPr>
            <w:r>
              <w:rPr>
                <w:color w:val="000000"/>
                <w:sz w:val="24"/>
              </w:rPr>
              <w:t>0.08%</w:t>
            </w:r>
          </w:p>
        </w:tc>
        <w:tc>
          <w:tcPr>
            <w:tcW w:w="1250" w:type="dxa"/>
            <w:vAlign w:val="center"/>
          </w:tcPr>
          <w:p w:rsidR="00DF658A" w:rsidRDefault="00CD12CC">
            <w:pPr>
              <w:jc w:val="center"/>
            </w:pPr>
            <w:r>
              <w:rPr>
                <w:color w:val="000000"/>
                <w:sz w:val="24"/>
              </w:rPr>
              <w:t>3.73%</w:t>
            </w:r>
          </w:p>
        </w:tc>
        <w:tc>
          <w:tcPr>
            <w:tcW w:w="1250" w:type="dxa"/>
            <w:vAlign w:val="center"/>
          </w:tcPr>
          <w:p w:rsidR="00DF658A" w:rsidRDefault="00CD12CC">
            <w:pPr>
              <w:jc w:val="center"/>
            </w:pPr>
            <w:r>
              <w:rPr>
                <w:color w:val="000000"/>
                <w:sz w:val="24"/>
              </w:rPr>
              <w:t>0.00%</w:t>
            </w:r>
          </w:p>
        </w:tc>
      </w:tr>
      <w:tr w:rsidR="00DF658A">
        <w:tc>
          <w:tcPr>
            <w:tcW w:w="1497" w:type="dxa"/>
            <w:vAlign w:val="center"/>
          </w:tcPr>
          <w:p w:rsidR="00DF658A" w:rsidRDefault="00CD12CC">
            <w:pPr>
              <w:jc w:val="left"/>
            </w:pPr>
            <w:r>
              <w:rPr>
                <w:color w:val="000000"/>
                <w:sz w:val="24"/>
              </w:rPr>
              <w:t>自基金合同生效起至今</w:t>
            </w:r>
          </w:p>
        </w:tc>
        <w:tc>
          <w:tcPr>
            <w:tcW w:w="1251" w:type="dxa"/>
            <w:vAlign w:val="center"/>
          </w:tcPr>
          <w:p w:rsidR="00DF658A" w:rsidRDefault="00CD12CC">
            <w:pPr>
              <w:jc w:val="center"/>
            </w:pPr>
            <w:r>
              <w:rPr>
                <w:color w:val="000000"/>
                <w:sz w:val="24"/>
              </w:rPr>
              <w:t>0.40%</w:t>
            </w:r>
          </w:p>
        </w:tc>
        <w:tc>
          <w:tcPr>
            <w:tcW w:w="1250" w:type="dxa"/>
            <w:vAlign w:val="center"/>
          </w:tcPr>
          <w:p w:rsidR="00DF658A" w:rsidRDefault="00CD12CC">
            <w:pPr>
              <w:jc w:val="center"/>
            </w:pPr>
            <w:r>
              <w:rPr>
                <w:color w:val="000000"/>
                <w:sz w:val="24"/>
              </w:rPr>
              <w:t>0.10%</w:t>
            </w:r>
          </w:p>
        </w:tc>
        <w:tc>
          <w:tcPr>
            <w:tcW w:w="1250" w:type="dxa"/>
            <w:vAlign w:val="center"/>
          </w:tcPr>
          <w:p w:rsidR="00DF658A" w:rsidRDefault="00CD12CC">
            <w:pPr>
              <w:jc w:val="center"/>
            </w:pPr>
            <w:r>
              <w:rPr>
                <w:color w:val="000000"/>
                <w:sz w:val="24"/>
              </w:rPr>
              <w:t>-4.26%</w:t>
            </w:r>
          </w:p>
        </w:tc>
        <w:tc>
          <w:tcPr>
            <w:tcW w:w="1250" w:type="dxa"/>
            <w:vAlign w:val="center"/>
          </w:tcPr>
          <w:p w:rsidR="00DF658A" w:rsidRDefault="00CD12CC">
            <w:pPr>
              <w:jc w:val="center"/>
            </w:pPr>
            <w:r>
              <w:rPr>
                <w:color w:val="000000"/>
                <w:sz w:val="24"/>
              </w:rPr>
              <w:t>0.10%</w:t>
            </w:r>
          </w:p>
        </w:tc>
        <w:tc>
          <w:tcPr>
            <w:tcW w:w="1250" w:type="dxa"/>
            <w:vAlign w:val="center"/>
          </w:tcPr>
          <w:p w:rsidR="00DF658A" w:rsidRDefault="00CD12CC">
            <w:pPr>
              <w:jc w:val="center"/>
            </w:pPr>
            <w:r>
              <w:rPr>
                <w:color w:val="000000"/>
                <w:sz w:val="24"/>
              </w:rPr>
              <w:t>4.66%</w:t>
            </w:r>
          </w:p>
        </w:tc>
        <w:tc>
          <w:tcPr>
            <w:tcW w:w="1250" w:type="dxa"/>
            <w:vAlign w:val="center"/>
          </w:tcPr>
          <w:p w:rsidR="00DF658A" w:rsidRDefault="00CD12CC">
            <w:pPr>
              <w:jc w:val="center"/>
            </w:pPr>
            <w:r>
              <w:rPr>
                <w:color w:val="000000"/>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交银裕兴纯债债券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DF658A">
        <w:tc>
          <w:tcPr>
            <w:tcW w:w="1497" w:type="dxa"/>
            <w:vAlign w:val="center"/>
          </w:tcPr>
          <w:p w:rsidR="00DF658A" w:rsidRDefault="00CD12CC">
            <w:pPr>
              <w:jc w:val="left"/>
            </w:pPr>
            <w:r>
              <w:rPr>
                <w:color w:val="000000"/>
                <w:sz w:val="24"/>
              </w:rPr>
              <w:t>过去一个月</w:t>
            </w:r>
          </w:p>
        </w:tc>
        <w:tc>
          <w:tcPr>
            <w:tcW w:w="1251" w:type="dxa"/>
            <w:vAlign w:val="center"/>
          </w:tcPr>
          <w:p w:rsidR="00DF658A" w:rsidRDefault="00CD12CC">
            <w:pPr>
              <w:jc w:val="center"/>
            </w:pPr>
            <w:r>
              <w:rPr>
                <w:color w:val="000000"/>
                <w:sz w:val="24"/>
              </w:rPr>
              <w:t>1.43%</w:t>
            </w:r>
          </w:p>
        </w:tc>
        <w:tc>
          <w:tcPr>
            <w:tcW w:w="1250" w:type="dxa"/>
            <w:vAlign w:val="center"/>
          </w:tcPr>
          <w:p w:rsidR="00DF658A" w:rsidRDefault="00CD12CC">
            <w:pPr>
              <w:jc w:val="center"/>
            </w:pPr>
            <w:r>
              <w:rPr>
                <w:color w:val="000000"/>
                <w:sz w:val="24"/>
              </w:rPr>
              <w:t>0.06%</w:t>
            </w:r>
          </w:p>
        </w:tc>
        <w:tc>
          <w:tcPr>
            <w:tcW w:w="1250" w:type="dxa"/>
            <w:vAlign w:val="center"/>
          </w:tcPr>
          <w:p w:rsidR="00DF658A" w:rsidRDefault="00CD12CC">
            <w:pPr>
              <w:jc w:val="center"/>
            </w:pPr>
            <w:r>
              <w:rPr>
                <w:color w:val="000000"/>
                <w:sz w:val="24"/>
              </w:rPr>
              <w:t>0.90%</w:t>
            </w:r>
          </w:p>
        </w:tc>
        <w:tc>
          <w:tcPr>
            <w:tcW w:w="1250" w:type="dxa"/>
            <w:vAlign w:val="center"/>
          </w:tcPr>
          <w:p w:rsidR="00DF658A" w:rsidRDefault="00CD12CC">
            <w:pPr>
              <w:jc w:val="center"/>
            </w:pPr>
            <w:r>
              <w:rPr>
                <w:color w:val="000000"/>
                <w:sz w:val="24"/>
              </w:rPr>
              <w:t>0.06%</w:t>
            </w:r>
          </w:p>
        </w:tc>
        <w:tc>
          <w:tcPr>
            <w:tcW w:w="1250" w:type="dxa"/>
            <w:vAlign w:val="center"/>
          </w:tcPr>
          <w:p w:rsidR="00DF658A" w:rsidRDefault="00CD12CC">
            <w:pPr>
              <w:jc w:val="center"/>
            </w:pPr>
            <w:r>
              <w:rPr>
                <w:color w:val="000000"/>
                <w:sz w:val="24"/>
              </w:rPr>
              <w:t>0.53%</w:t>
            </w:r>
          </w:p>
        </w:tc>
        <w:tc>
          <w:tcPr>
            <w:tcW w:w="1250" w:type="dxa"/>
            <w:vAlign w:val="center"/>
          </w:tcPr>
          <w:p w:rsidR="00DF658A" w:rsidRDefault="00CD12CC">
            <w:pPr>
              <w:jc w:val="center"/>
            </w:pPr>
            <w:r>
              <w:rPr>
                <w:color w:val="000000"/>
                <w:sz w:val="24"/>
              </w:rPr>
              <w:t>0.00%</w:t>
            </w:r>
          </w:p>
        </w:tc>
      </w:tr>
      <w:tr w:rsidR="00DF658A">
        <w:tc>
          <w:tcPr>
            <w:tcW w:w="1497" w:type="dxa"/>
            <w:vAlign w:val="center"/>
          </w:tcPr>
          <w:p w:rsidR="00DF658A" w:rsidRDefault="00CD12CC">
            <w:pPr>
              <w:jc w:val="left"/>
            </w:pPr>
            <w:r>
              <w:rPr>
                <w:color w:val="000000"/>
                <w:sz w:val="24"/>
              </w:rPr>
              <w:t>过去三个月</w:t>
            </w:r>
          </w:p>
        </w:tc>
        <w:tc>
          <w:tcPr>
            <w:tcW w:w="1251" w:type="dxa"/>
            <w:vAlign w:val="center"/>
          </w:tcPr>
          <w:p w:rsidR="00DF658A" w:rsidRDefault="00CD12CC">
            <w:pPr>
              <w:jc w:val="center"/>
            </w:pPr>
            <w:r>
              <w:rPr>
                <w:color w:val="000000"/>
                <w:sz w:val="24"/>
              </w:rPr>
              <w:t>0.61%</w:t>
            </w:r>
          </w:p>
        </w:tc>
        <w:tc>
          <w:tcPr>
            <w:tcW w:w="1250" w:type="dxa"/>
            <w:vAlign w:val="center"/>
          </w:tcPr>
          <w:p w:rsidR="00DF658A" w:rsidRDefault="00CD12CC">
            <w:pPr>
              <w:jc w:val="center"/>
            </w:pPr>
            <w:r>
              <w:rPr>
                <w:color w:val="000000"/>
                <w:sz w:val="24"/>
              </w:rPr>
              <w:t>0.07%</w:t>
            </w:r>
          </w:p>
        </w:tc>
        <w:tc>
          <w:tcPr>
            <w:tcW w:w="1250" w:type="dxa"/>
            <w:vAlign w:val="center"/>
          </w:tcPr>
          <w:p w:rsidR="00DF658A" w:rsidRDefault="00CD12CC">
            <w:pPr>
              <w:jc w:val="center"/>
            </w:pPr>
            <w:r>
              <w:rPr>
                <w:color w:val="000000"/>
                <w:sz w:val="24"/>
              </w:rPr>
              <w:t>-0.88%</w:t>
            </w:r>
          </w:p>
        </w:tc>
        <w:tc>
          <w:tcPr>
            <w:tcW w:w="1250" w:type="dxa"/>
            <w:vAlign w:val="center"/>
          </w:tcPr>
          <w:p w:rsidR="00DF658A" w:rsidRDefault="00CD12CC">
            <w:pPr>
              <w:jc w:val="center"/>
            </w:pPr>
            <w:r>
              <w:rPr>
                <w:color w:val="000000"/>
                <w:sz w:val="24"/>
              </w:rPr>
              <w:t>0.08%</w:t>
            </w:r>
          </w:p>
        </w:tc>
        <w:tc>
          <w:tcPr>
            <w:tcW w:w="1250" w:type="dxa"/>
            <w:vAlign w:val="center"/>
          </w:tcPr>
          <w:p w:rsidR="00DF658A" w:rsidRDefault="00CD12CC">
            <w:pPr>
              <w:jc w:val="center"/>
            </w:pPr>
            <w:r>
              <w:rPr>
                <w:color w:val="000000"/>
                <w:sz w:val="24"/>
              </w:rPr>
              <w:t>1.49%</w:t>
            </w:r>
          </w:p>
        </w:tc>
        <w:tc>
          <w:tcPr>
            <w:tcW w:w="1250" w:type="dxa"/>
            <w:vAlign w:val="center"/>
          </w:tcPr>
          <w:p w:rsidR="00DF658A" w:rsidRDefault="00CD12CC">
            <w:pPr>
              <w:jc w:val="center"/>
            </w:pPr>
            <w:r>
              <w:rPr>
                <w:color w:val="000000"/>
                <w:sz w:val="24"/>
              </w:rPr>
              <w:t>-0.01%</w:t>
            </w:r>
          </w:p>
        </w:tc>
      </w:tr>
      <w:tr w:rsidR="00DF658A">
        <w:tc>
          <w:tcPr>
            <w:tcW w:w="1497" w:type="dxa"/>
            <w:vAlign w:val="center"/>
          </w:tcPr>
          <w:p w:rsidR="00DF658A" w:rsidRDefault="00CD12CC">
            <w:pPr>
              <w:jc w:val="left"/>
            </w:pPr>
            <w:r>
              <w:rPr>
                <w:color w:val="000000"/>
                <w:sz w:val="24"/>
              </w:rPr>
              <w:t>过去六个月</w:t>
            </w:r>
          </w:p>
        </w:tc>
        <w:tc>
          <w:tcPr>
            <w:tcW w:w="1251" w:type="dxa"/>
            <w:vAlign w:val="center"/>
          </w:tcPr>
          <w:p w:rsidR="00DF658A" w:rsidRDefault="00CD12CC">
            <w:pPr>
              <w:jc w:val="center"/>
            </w:pPr>
            <w:r>
              <w:rPr>
                <w:color w:val="000000"/>
                <w:sz w:val="24"/>
              </w:rPr>
              <w:t>1.22%</w:t>
            </w:r>
          </w:p>
        </w:tc>
        <w:tc>
          <w:tcPr>
            <w:tcW w:w="1250" w:type="dxa"/>
            <w:vAlign w:val="center"/>
          </w:tcPr>
          <w:p w:rsidR="00DF658A" w:rsidRDefault="00CD12CC">
            <w:pPr>
              <w:jc w:val="center"/>
            </w:pPr>
            <w:r>
              <w:rPr>
                <w:color w:val="000000"/>
                <w:sz w:val="24"/>
              </w:rPr>
              <w:t>0.07%</w:t>
            </w:r>
          </w:p>
        </w:tc>
        <w:tc>
          <w:tcPr>
            <w:tcW w:w="1250" w:type="dxa"/>
            <w:vAlign w:val="center"/>
          </w:tcPr>
          <w:p w:rsidR="00DF658A" w:rsidRDefault="00CD12CC">
            <w:pPr>
              <w:jc w:val="center"/>
            </w:pPr>
            <w:r>
              <w:rPr>
                <w:color w:val="000000"/>
                <w:sz w:val="24"/>
              </w:rPr>
              <w:t>-2.11%</w:t>
            </w:r>
          </w:p>
        </w:tc>
        <w:tc>
          <w:tcPr>
            <w:tcW w:w="1250" w:type="dxa"/>
            <w:vAlign w:val="center"/>
          </w:tcPr>
          <w:p w:rsidR="00DF658A" w:rsidRDefault="00CD12CC">
            <w:pPr>
              <w:jc w:val="center"/>
            </w:pPr>
            <w:r>
              <w:rPr>
                <w:color w:val="000000"/>
                <w:sz w:val="24"/>
              </w:rPr>
              <w:t>0.08%</w:t>
            </w:r>
          </w:p>
        </w:tc>
        <w:tc>
          <w:tcPr>
            <w:tcW w:w="1250" w:type="dxa"/>
            <w:vAlign w:val="center"/>
          </w:tcPr>
          <w:p w:rsidR="00DF658A" w:rsidRDefault="00CD12CC">
            <w:pPr>
              <w:jc w:val="center"/>
            </w:pPr>
            <w:r>
              <w:rPr>
                <w:color w:val="000000"/>
                <w:sz w:val="24"/>
              </w:rPr>
              <w:t>3.33%</w:t>
            </w:r>
          </w:p>
        </w:tc>
        <w:tc>
          <w:tcPr>
            <w:tcW w:w="1250" w:type="dxa"/>
            <w:vAlign w:val="center"/>
          </w:tcPr>
          <w:p w:rsidR="00DF658A" w:rsidRDefault="00CD12CC">
            <w:pPr>
              <w:jc w:val="center"/>
            </w:pPr>
            <w:r>
              <w:rPr>
                <w:color w:val="000000"/>
                <w:sz w:val="24"/>
              </w:rPr>
              <w:t>-0.01%</w:t>
            </w:r>
          </w:p>
        </w:tc>
      </w:tr>
      <w:tr w:rsidR="00DF658A">
        <w:tc>
          <w:tcPr>
            <w:tcW w:w="1497" w:type="dxa"/>
            <w:vAlign w:val="center"/>
          </w:tcPr>
          <w:p w:rsidR="00DF658A" w:rsidRDefault="00CD12CC">
            <w:pPr>
              <w:jc w:val="left"/>
            </w:pPr>
            <w:r>
              <w:rPr>
                <w:color w:val="000000"/>
                <w:sz w:val="24"/>
              </w:rPr>
              <w:t>自基金合同生效起至今</w:t>
            </w:r>
          </w:p>
        </w:tc>
        <w:tc>
          <w:tcPr>
            <w:tcW w:w="1251" w:type="dxa"/>
            <w:vAlign w:val="center"/>
          </w:tcPr>
          <w:p w:rsidR="00DF658A" w:rsidRDefault="00CD12CC">
            <w:pPr>
              <w:jc w:val="center"/>
            </w:pPr>
            <w:r>
              <w:rPr>
                <w:color w:val="000000"/>
                <w:sz w:val="24"/>
              </w:rPr>
              <w:t>-0.50%</w:t>
            </w:r>
          </w:p>
        </w:tc>
        <w:tc>
          <w:tcPr>
            <w:tcW w:w="1250" w:type="dxa"/>
            <w:vAlign w:val="center"/>
          </w:tcPr>
          <w:p w:rsidR="00DF658A" w:rsidRDefault="00CD12CC">
            <w:pPr>
              <w:jc w:val="center"/>
            </w:pPr>
            <w:r>
              <w:rPr>
                <w:color w:val="000000"/>
                <w:sz w:val="24"/>
              </w:rPr>
              <w:t>0.10%</w:t>
            </w:r>
          </w:p>
        </w:tc>
        <w:tc>
          <w:tcPr>
            <w:tcW w:w="1250" w:type="dxa"/>
            <w:vAlign w:val="center"/>
          </w:tcPr>
          <w:p w:rsidR="00DF658A" w:rsidRDefault="00CD12CC">
            <w:pPr>
              <w:jc w:val="center"/>
            </w:pPr>
            <w:r>
              <w:rPr>
                <w:color w:val="000000"/>
                <w:sz w:val="24"/>
              </w:rPr>
              <w:t>-4.26%</w:t>
            </w:r>
          </w:p>
        </w:tc>
        <w:tc>
          <w:tcPr>
            <w:tcW w:w="1250" w:type="dxa"/>
            <w:vAlign w:val="center"/>
          </w:tcPr>
          <w:p w:rsidR="00DF658A" w:rsidRDefault="00CD12CC">
            <w:pPr>
              <w:jc w:val="center"/>
            </w:pPr>
            <w:r>
              <w:rPr>
                <w:color w:val="000000"/>
                <w:sz w:val="24"/>
              </w:rPr>
              <w:t>0.10%</w:t>
            </w:r>
          </w:p>
        </w:tc>
        <w:tc>
          <w:tcPr>
            <w:tcW w:w="1250" w:type="dxa"/>
            <w:vAlign w:val="center"/>
          </w:tcPr>
          <w:p w:rsidR="00DF658A" w:rsidRDefault="00CD12CC">
            <w:pPr>
              <w:jc w:val="center"/>
            </w:pPr>
            <w:r>
              <w:rPr>
                <w:color w:val="000000"/>
                <w:sz w:val="24"/>
              </w:rPr>
              <w:t>3.76%</w:t>
            </w:r>
          </w:p>
        </w:tc>
        <w:tc>
          <w:tcPr>
            <w:tcW w:w="1250" w:type="dxa"/>
            <w:vAlign w:val="center"/>
          </w:tcPr>
          <w:p w:rsidR="00DF658A" w:rsidRDefault="00CD12CC">
            <w:pPr>
              <w:jc w:val="center"/>
            </w:pPr>
            <w:r>
              <w:rPr>
                <w:color w:val="000000"/>
                <w:sz w:val="24"/>
              </w:rPr>
              <w:t>0.00%</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注：本基金业绩比较基准为中债综合全价指数。</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交银施罗德裕兴纯债债券型证券投资基金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lastRenderedPageBreak/>
        <w:t>（</w:t>
      </w:r>
      <w:r w:rsidR="001548F9" w:rsidRPr="008A1551">
        <w:rPr>
          <w:rFonts w:ascii="Times New Roman" w:hAnsi="Times New Roman"/>
          <w:sz w:val="24"/>
          <w:szCs w:val="24"/>
        </w:rPr>
        <w:t>2016</w:t>
      </w:r>
      <w:r w:rsidR="001548F9" w:rsidRPr="008A1551">
        <w:rPr>
          <w:rFonts w:ascii="Times New Roman" w:hAnsi="Times New Roman"/>
          <w:sz w:val="24"/>
          <w:szCs w:val="24"/>
        </w:rPr>
        <w:t>年</w:t>
      </w:r>
      <w:r w:rsidR="001548F9" w:rsidRPr="008A1551">
        <w:rPr>
          <w:rFonts w:ascii="Times New Roman" w:hAnsi="Times New Roman"/>
          <w:sz w:val="24"/>
          <w:szCs w:val="24"/>
        </w:rPr>
        <w:t>9</w:t>
      </w:r>
      <w:r w:rsidR="001548F9" w:rsidRPr="008A1551">
        <w:rPr>
          <w:rFonts w:ascii="Times New Roman" w:hAnsi="Times New Roman"/>
          <w:sz w:val="24"/>
          <w:szCs w:val="24"/>
        </w:rPr>
        <w:t>月</w:t>
      </w:r>
      <w:r w:rsidR="001548F9" w:rsidRPr="008A1551">
        <w:rPr>
          <w:rFonts w:ascii="Times New Roman" w:hAnsi="Times New Roman"/>
          <w:sz w:val="24"/>
          <w:szCs w:val="24"/>
        </w:rPr>
        <w:t>7</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交银裕兴纯债债券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9</w:t>
      </w:r>
      <w:r w:rsidRPr="008A1551">
        <w:rPr>
          <w:kern w:val="0"/>
          <w:sz w:val="24"/>
        </w:rPr>
        <w:t>月</w:t>
      </w:r>
      <w:r w:rsidRPr="008A1551">
        <w:rPr>
          <w:kern w:val="0"/>
          <w:sz w:val="24"/>
        </w:rPr>
        <w:t>7</w:t>
      </w:r>
      <w:r w:rsidRPr="008A1551">
        <w:rPr>
          <w:kern w:val="0"/>
          <w:sz w:val="24"/>
        </w:rPr>
        <w:t>日，基金合同生效日至报告期期末，本基金运作时间未满一年。本基金建仓期为自基金合同生效日起的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交银裕兴纯债债券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注：本基金基金合同生效日为</w:t>
      </w:r>
      <w:r w:rsidRPr="008A1551">
        <w:rPr>
          <w:kern w:val="0"/>
          <w:sz w:val="24"/>
        </w:rPr>
        <w:t>2016</w:t>
      </w:r>
      <w:r w:rsidRPr="008A1551">
        <w:rPr>
          <w:kern w:val="0"/>
          <w:sz w:val="24"/>
        </w:rPr>
        <w:t>年</w:t>
      </w:r>
      <w:r w:rsidRPr="008A1551">
        <w:rPr>
          <w:kern w:val="0"/>
          <w:sz w:val="24"/>
        </w:rPr>
        <w:t>9</w:t>
      </w:r>
      <w:r w:rsidRPr="008A1551">
        <w:rPr>
          <w:kern w:val="0"/>
          <w:sz w:val="24"/>
        </w:rPr>
        <w:t>月</w:t>
      </w:r>
      <w:r w:rsidRPr="008A1551">
        <w:rPr>
          <w:kern w:val="0"/>
          <w:sz w:val="24"/>
        </w:rPr>
        <w:t>7</w:t>
      </w:r>
      <w:r w:rsidRPr="008A1551">
        <w:rPr>
          <w:kern w:val="0"/>
          <w:sz w:val="24"/>
        </w:rPr>
        <w:t>日，基金合同生效日至报告期期末，本基</w:t>
      </w:r>
      <w:r w:rsidRPr="008A1551">
        <w:rPr>
          <w:kern w:val="0"/>
          <w:sz w:val="24"/>
        </w:rPr>
        <w:lastRenderedPageBreak/>
        <w:t>金运作时间未满一年。本基金建仓期为自基金合同生效日起的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DF658A" w:rsidRDefault="00CD12C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DF658A">
        <w:tc>
          <w:tcPr>
            <w:tcW w:w="1033" w:type="dxa"/>
            <w:vAlign w:val="center"/>
          </w:tcPr>
          <w:p w:rsidR="00DF658A" w:rsidRDefault="00CD12CC">
            <w:pPr>
              <w:jc w:val="center"/>
            </w:pPr>
            <w:r>
              <w:rPr>
                <w:color w:val="000000"/>
                <w:sz w:val="24"/>
              </w:rPr>
              <w:t>连端清</w:t>
            </w:r>
          </w:p>
        </w:tc>
        <w:tc>
          <w:tcPr>
            <w:tcW w:w="1416" w:type="dxa"/>
            <w:vAlign w:val="center"/>
          </w:tcPr>
          <w:p w:rsidR="00DF658A" w:rsidRDefault="00CD12CC">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w:t>
            </w:r>
            <w:r>
              <w:rPr>
                <w:color w:val="000000"/>
                <w:sz w:val="24"/>
              </w:rPr>
              <w:lastRenderedPageBreak/>
              <w:t>利纯债债券、交银裕隆纯债债券、交银天鑫宝货币、交银天益宝货币、交银境尚收益债券的基金经理</w:t>
            </w:r>
          </w:p>
        </w:tc>
        <w:tc>
          <w:tcPr>
            <w:tcW w:w="1126" w:type="dxa"/>
            <w:vAlign w:val="center"/>
          </w:tcPr>
          <w:p w:rsidR="00DF658A" w:rsidRDefault="00CD12CC">
            <w:pPr>
              <w:jc w:val="center"/>
            </w:pPr>
            <w:r>
              <w:rPr>
                <w:color w:val="000000"/>
                <w:sz w:val="24"/>
              </w:rPr>
              <w:lastRenderedPageBreak/>
              <w:t>2017-03-31</w:t>
            </w:r>
          </w:p>
        </w:tc>
        <w:tc>
          <w:tcPr>
            <w:tcW w:w="1192" w:type="dxa"/>
            <w:vAlign w:val="center"/>
          </w:tcPr>
          <w:p w:rsidR="00DF658A" w:rsidRDefault="00CD12CC">
            <w:pPr>
              <w:jc w:val="center"/>
            </w:pPr>
            <w:r>
              <w:rPr>
                <w:color w:val="000000"/>
                <w:sz w:val="24"/>
              </w:rPr>
              <w:t>-</w:t>
            </w:r>
          </w:p>
        </w:tc>
        <w:tc>
          <w:tcPr>
            <w:tcW w:w="1169" w:type="dxa"/>
            <w:vAlign w:val="center"/>
          </w:tcPr>
          <w:p w:rsidR="00DF658A" w:rsidRDefault="00CD12CC">
            <w:pPr>
              <w:jc w:val="center"/>
            </w:pPr>
            <w:r>
              <w:rPr>
                <w:color w:val="000000"/>
                <w:sz w:val="24"/>
              </w:rPr>
              <w:t>4</w:t>
            </w:r>
            <w:r>
              <w:rPr>
                <w:color w:val="000000"/>
                <w:sz w:val="24"/>
              </w:rPr>
              <w:t>年</w:t>
            </w:r>
          </w:p>
        </w:tc>
        <w:tc>
          <w:tcPr>
            <w:tcW w:w="3062" w:type="dxa"/>
            <w:vAlign w:val="center"/>
          </w:tcPr>
          <w:p w:rsidR="00DF658A" w:rsidRDefault="00CD12CC">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DF658A">
        <w:tc>
          <w:tcPr>
            <w:tcW w:w="1033" w:type="dxa"/>
            <w:vAlign w:val="center"/>
          </w:tcPr>
          <w:p w:rsidR="00DF658A" w:rsidRDefault="00CD12CC">
            <w:pPr>
              <w:jc w:val="center"/>
            </w:pPr>
            <w:r>
              <w:rPr>
                <w:color w:val="000000"/>
                <w:sz w:val="24"/>
              </w:rPr>
              <w:t>章妍</w:t>
            </w:r>
          </w:p>
        </w:tc>
        <w:tc>
          <w:tcPr>
            <w:tcW w:w="1416" w:type="dxa"/>
            <w:vAlign w:val="center"/>
          </w:tcPr>
          <w:p w:rsidR="00DF658A" w:rsidRDefault="00CD12CC">
            <w:pPr>
              <w:jc w:val="center"/>
            </w:pPr>
            <w:r>
              <w:rPr>
                <w:color w:val="000000"/>
                <w:sz w:val="24"/>
              </w:rPr>
              <w:t>交银荣祥保本混合、交银增强收益债券、交银裕通纯债债券、交银裕兴纯债债券、交银裕盈纯债债券、交银裕利纯债债券、交银启通灵活配置混合的基金经理</w:t>
            </w:r>
          </w:p>
        </w:tc>
        <w:tc>
          <w:tcPr>
            <w:tcW w:w="1126" w:type="dxa"/>
            <w:vAlign w:val="center"/>
          </w:tcPr>
          <w:p w:rsidR="00DF658A" w:rsidRDefault="00CD12CC">
            <w:pPr>
              <w:jc w:val="center"/>
            </w:pPr>
            <w:r>
              <w:rPr>
                <w:color w:val="000000"/>
                <w:sz w:val="24"/>
              </w:rPr>
              <w:t>2016-09-07</w:t>
            </w:r>
          </w:p>
        </w:tc>
        <w:tc>
          <w:tcPr>
            <w:tcW w:w="1192" w:type="dxa"/>
            <w:vAlign w:val="center"/>
          </w:tcPr>
          <w:p w:rsidR="00DF658A" w:rsidRDefault="00CD12CC">
            <w:pPr>
              <w:jc w:val="center"/>
            </w:pPr>
            <w:r>
              <w:rPr>
                <w:color w:val="000000"/>
                <w:sz w:val="24"/>
              </w:rPr>
              <w:t>2017-03-31</w:t>
            </w:r>
          </w:p>
        </w:tc>
        <w:tc>
          <w:tcPr>
            <w:tcW w:w="1169" w:type="dxa"/>
            <w:vAlign w:val="center"/>
          </w:tcPr>
          <w:p w:rsidR="00DF658A" w:rsidRDefault="00CD12CC">
            <w:pPr>
              <w:jc w:val="center"/>
            </w:pPr>
            <w:r>
              <w:rPr>
                <w:color w:val="000000"/>
                <w:sz w:val="24"/>
              </w:rPr>
              <w:t>2</w:t>
            </w:r>
            <w:r>
              <w:rPr>
                <w:color w:val="000000"/>
                <w:sz w:val="24"/>
              </w:rPr>
              <w:t>年</w:t>
            </w:r>
          </w:p>
        </w:tc>
        <w:tc>
          <w:tcPr>
            <w:tcW w:w="3062" w:type="dxa"/>
            <w:vAlign w:val="center"/>
          </w:tcPr>
          <w:p w:rsidR="00DF658A" w:rsidRDefault="00CD12CC">
            <w:r>
              <w:rPr>
                <w:color w:val="000000"/>
                <w:sz w:val="24"/>
              </w:rPr>
              <w:t>章妍女士，复旦大学金融学硕士、中央财经大学统计学学士。</w:t>
            </w:r>
            <w:r>
              <w:rPr>
                <w:color w:val="000000"/>
                <w:sz w:val="24"/>
              </w:rPr>
              <w:t>9</w:t>
            </w:r>
            <w:r>
              <w:rPr>
                <w:color w:val="000000"/>
                <w:sz w:val="24"/>
              </w:rPr>
              <w:t>年金融行业证券投资工作经验，历任太平洋资产管理有限公司高级投资经理、资深投资经理。</w:t>
            </w:r>
            <w:r>
              <w:rPr>
                <w:color w:val="000000"/>
                <w:sz w:val="24"/>
              </w:rPr>
              <w:t>2015</w:t>
            </w:r>
            <w:r>
              <w:rPr>
                <w:color w:val="000000"/>
                <w:sz w:val="24"/>
              </w:rPr>
              <w:t>年加入交银施罗德基金管理有限公司。</w:t>
            </w:r>
            <w:r>
              <w:rPr>
                <w:color w:val="000000"/>
                <w:sz w:val="24"/>
              </w:rPr>
              <w:t>2015</w:t>
            </w:r>
            <w:r>
              <w:rPr>
                <w:color w:val="000000"/>
                <w:sz w:val="24"/>
              </w:rPr>
              <w:t>年</w:t>
            </w:r>
            <w:r>
              <w:rPr>
                <w:color w:val="000000"/>
                <w:sz w:val="24"/>
              </w:rPr>
              <w:t>11</w:t>
            </w:r>
            <w:r>
              <w:rPr>
                <w:color w:val="000000"/>
                <w:sz w:val="24"/>
              </w:rPr>
              <w:t>月</w:t>
            </w:r>
            <w:r>
              <w:rPr>
                <w:color w:val="000000"/>
                <w:sz w:val="24"/>
              </w:rPr>
              <w:t>21</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2016</w:t>
            </w:r>
            <w:r>
              <w:rPr>
                <w:color w:val="000000"/>
                <w:sz w:val="24"/>
              </w:rPr>
              <w:t>年</w:t>
            </w:r>
            <w:r>
              <w:rPr>
                <w:color w:val="000000"/>
                <w:sz w:val="24"/>
              </w:rPr>
              <w:t>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日担任交银施罗德裕通纯债债券型证券投资基金的基金经理，</w:t>
            </w:r>
            <w:r>
              <w:rPr>
                <w:color w:val="000000"/>
                <w:sz w:val="24"/>
              </w:rPr>
              <w:t>2016</w:t>
            </w:r>
            <w:r>
              <w:rPr>
                <w:color w:val="000000"/>
                <w:sz w:val="24"/>
              </w:rPr>
              <w:t>年</w:t>
            </w:r>
            <w:r>
              <w:rPr>
                <w:color w:val="000000"/>
                <w:sz w:val="24"/>
              </w:rPr>
              <w:t>6</w:t>
            </w:r>
            <w:r>
              <w:rPr>
                <w:color w:val="000000"/>
                <w:sz w:val="24"/>
              </w:rPr>
              <w:t>月</w:t>
            </w:r>
            <w:r>
              <w:rPr>
                <w:color w:val="000000"/>
                <w:sz w:val="24"/>
              </w:rPr>
              <w:t>20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日担任交银施罗德荣祥保本混合型证券投资基金的基金经理，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日担任交银施罗德裕兴纯债债券型证券投资基金的基金经理，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日担任交银施罗德裕盈纯债债券型证券投资基金的基金经理，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23</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日担任交银施罗德裕利纯债债券型证券投资基金的基金经理，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30</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lastRenderedPageBreak/>
              <w:t>30</w:t>
            </w:r>
            <w:r>
              <w:rPr>
                <w:color w:val="000000"/>
                <w:sz w:val="24"/>
              </w:rPr>
              <w:t>日担任交银施罗德启通灵活配置混合型证券投资基金的基金经理。</w:t>
            </w:r>
          </w:p>
        </w:tc>
      </w:tr>
    </w:tbl>
    <w:p w:rsidR="00DF658A" w:rsidRDefault="00CD12C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DF658A" w:rsidRDefault="00CD12C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DF658A" w:rsidRDefault="00CD12C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DF658A" w:rsidRDefault="00CD12C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F658A" w:rsidRDefault="00CD12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F658A" w:rsidRDefault="00CD12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DF658A" w:rsidRDefault="00CD12CC">
      <w:pPr>
        <w:spacing w:before="29" w:line="288" w:lineRule="auto"/>
        <w:ind w:firstLineChars="200" w:firstLine="480"/>
        <w:rPr>
          <w:color w:val="000000"/>
          <w:sz w:val="24"/>
        </w:rPr>
      </w:pPr>
      <w:r>
        <w:rPr>
          <w:color w:val="000000"/>
          <w:sz w:val="24"/>
        </w:rPr>
        <w:t>2017</w:t>
      </w:r>
      <w:r>
        <w:rPr>
          <w:color w:val="000000"/>
          <w:sz w:val="24"/>
        </w:rPr>
        <w:t>年上半年国内经济稳中求进，但整体上已运行至小周期的高点。尽管上半年楼市调控政策进一步加码，但是年初以来房地产投资增速持续攀升，四月份房地产投资同比增速上升至</w:t>
      </w:r>
      <w:r>
        <w:rPr>
          <w:color w:val="000000"/>
          <w:sz w:val="24"/>
        </w:rPr>
        <w:t>9.3%</w:t>
      </w:r>
      <w:r>
        <w:rPr>
          <w:color w:val="000000"/>
          <w:sz w:val="24"/>
        </w:rPr>
        <w:t>的高点。上半年，国内制造业景气度与美欧等发达经济体处于同步扩张的状态，主要受发达经济体制造业回暖的影响，国内出口形势好转，对经济增长的贡献转为正面。</w:t>
      </w:r>
      <w:r>
        <w:rPr>
          <w:color w:val="000000"/>
          <w:sz w:val="24"/>
        </w:rPr>
        <w:t>CPI</w:t>
      </w:r>
      <w:r>
        <w:rPr>
          <w:color w:val="000000"/>
          <w:sz w:val="24"/>
        </w:rPr>
        <w:t>在低位运行，</w:t>
      </w:r>
      <w:r>
        <w:rPr>
          <w:color w:val="000000"/>
          <w:sz w:val="24"/>
        </w:rPr>
        <w:t>PPI</w:t>
      </w:r>
      <w:r>
        <w:rPr>
          <w:color w:val="000000"/>
          <w:sz w:val="24"/>
        </w:rPr>
        <w:t>在二月份升至</w:t>
      </w:r>
      <w:r>
        <w:rPr>
          <w:color w:val="000000"/>
          <w:sz w:val="24"/>
        </w:rPr>
        <w:t>7.8%</w:t>
      </w:r>
      <w:r>
        <w:rPr>
          <w:color w:val="000000"/>
          <w:sz w:val="24"/>
        </w:rPr>
        <w:t>的高点之后呈逐步下行走势。鉴于上半年国内宏观经济形势相对稳定，但金融泡沫较大，且美联储上半年加息节奏加快，央行货币政策在一季度继续向中性偏紧方向回归，而且在四月份银监会政策转向防控风控、加强银行业监管。二季度，为配合银监会等三会强化金融监管，降低金融市场风险，央行货币政策转向</w:t>
      </w:r>
      <w:r>
        <w:rPr>
          <w:color w:val="000000"/>
          <w:sz w:val="24"/>
        </w:rPr>
        <w:t>“</w:t>
      </w:r>
      <w:r>
        <w:rPr>
          <w:color w:val="000000"/>
          <w:sz w:val="24"/>
        </w:rPr>
        <w:t>不松不紧</w:t>
      </w:r>
      <w:r>
        <w:rPr>
          <w:color w:val="000000"/>
          <w:sz w:val="24"/>
        </w:rPr>
        <w:t>”</w:t>
      </w:r>
      <w:r>
        <w:rPr>
          <w:color w:val="000000"/>
          <w:sz w:val="24"/>
        </w:rPr>
        <w:t>，加大了市场维稳力度。央行于</w:t>
      </w:r>
      <w:r>
        <w:rPr>
          <w:color w:val="000000"/>
          <w:sz w:val="24"/>
        </w:rPr>
        <w:t>2</w:t>
      </w:r>
      <w:r>
        <w:rPr>
          <w:color w:val="000000"/>
          <w:sz w:val="24"/>
        </w:rPr>
        <w:t>月</w:t>
      </w:r>
      <w:r>
        <w:rPr>
          <w:color w:val="000000"/>
          <w:sz w:val="24"/>
        </w:rPr>
        <w:t>3</w:t>
      </w:r>
      <w:r>
        <w:rPr>
          <w:color w:val="000000"/>
          <w:sz w:val="24"/>
        </w:rPr>
        <w:t>日与</w:t>
      </w:r>
      <w:r>
        <w:rPr>
          <w:color w:val="000000"/>
          <w:sz w:val="24"/>
        </w:rPr>
        <w:t>3</w:t>
      </w:r>
      <w:r>
        <w:rPr>
          <w:color w:val="000000"/>
          <w:sz w:val="24"/>
        </w:rPr>
        <w:t>月</w:t>
      </w:r>
      <w:r>
        <w:rPr>
          <w:color w:val="000000"/>
          <w:sz w:val="24"/>
        </w:rPr>
        <w:t>16</w:t>
      </w:r>
      <w:r>
        <w:rPr>
          <w:color w:val="000000"/>
          <w:sz w:val="24"/>
        </w:rPr>
        <w:t>日两次上调公开市场操作利率及</w:t>
      </w:r>
      <w:r>
        <w:rPr>
          <w:color w:val="000000"/>
          <w:sz w:val="24"/>
        </w:rPr>
        <w:t>SLF</w:t>
      </w:r>
      <w:r>
        <w:rPr>
          <w:color w:val="000000"/>
          <w:sz w:val="24"/>
        </w:rPr>
        <w:t>等定向工具利率，今年一季度央行公开市场净回笼</w:t>
      </w:r>
      <w:r>
        <w:rPr>
          <w:color w:val="000000"/>
          <w:sz w:val="24"/>
        </w:rPr>
        <w:t>1.025</w:t>
      </w:r>
      <w:r>
        <w:rPr>
          <w:color w:val="000000"/>
          <w:sz w:val="24"/>
        </w:rPr>
        <w:t>万亿元，为</w:t>
      </w:r>
      <w:r>
        <w:rPr>
          <w:color w:val="000000"/>
          <w:sz w:val="24"/>
        </w:rPr>
        <w:t>2016</w:t>
      </w:r>
      <w:r>
        <w:rPr>
          <w:color w:val="000000"/>
          <w:sz w:val="24"/>
        </w:rPr>
        <w:t>年以来首次季度净回笼。二季度，央行公开市场净投放</w:t>
      </w:r>
      <w:r>
        <w:rPr>
          <w:color w:val="000000"/>
          <w:sz w:val="24"/>
        </w:rPr>
        <w:t>2700</w:t>
      </w:r>
      <w:r>
        <w:rPr>
          <w:color w:val="000000"/>
          <w:sz w:val="24"/>
        </w:rPr>
        <w:t>亿元，尤其在六月初投放</w:t>
      </w:r>
      <w:r>
        <w:rPr>
          <w:color w:val="000000"/>
          <w:sz w:val="24"/>
        </w:rPr>
        <w:t>1</w:t>
      </w:r>
      <w:r>
        <w:rPr>
          <w:color w:val="000000"/>
          <w:sz w:val="24"/>
        </w:rPr>
        <w:t>年期</w:t>
      </w:r>
      <w:r>
        <w:rPr>
          <w:color w:val="000000"/>
          <w:sz w:val="24"/>
        </w:rPr>
        <w:t>MLF4980</w:t>
      </w:r>
      <w:r>
        <w:rPr>
          <w:color w:val="000000"/>
          <w:sz w:val="24"/>
        </w:rPr>
        <w:t>亿元，引导市场机构对六月资金面的预期。</w:t>
      </w:r>
    </w:p>
    <w:p w:rsidR="00DF658A" w:rsidRDefault="00CD12CC">
      <w:pPr>
        <w:spacing w:before="29" w:line="288" w:lineRule="auto"/>
        <w:ind w:firstLineChars="200" w:firstLine="480"/>
        <w:rPr>
          <w:color w:val="000000"/>
          <w:sz w:val="24"/>
        </w:rPr>
      </w:pPr>
      <w:r>
        <w:rPr>
          <w:color w:val="000000"/>
          <w:sz w:val="24"/>
        </w:rPr>
        <w:t>受央行上调公开市场操作利率、经济回暖、银监会等三会加强金融监管以及资金面阶段性好于预期等因素交替冲击的影响，上半年债市呈震荡下跌走势。</w:t>
      </w:r>
      <w:r>
        <w:rPr>
          <w:color w:val="000000"/>
          <w:sz w:val="24"/>
        </w:rPr>
        <w:t>10</w:t>
      </w:r>
      <w:r>
        <w:rPr>
          <w:color w:val="000000"/>
          <w:sz w:val="24"/>
        </w:rPr>
        <w:t>年期国开债年初以来不断下跌，三月中下旬由于市场资金面好预期开始上涨，但四月中下旬以来受金融监管加强的影响，市场抛盘沉重，</w:t>
      </w:r>
      <w:r>
        <w:rPr>
          <w:color w:val="000000"/>
          <w:sz w:val="24"/>
        </w:rPr>
        <w:t>10</w:t>
      </w:r>
      <w:r>
        <w:rPr>
          <w:color w:val="000000"/>
          <w:sz w:val="24"/>
        </w:rPr>
        <w:t>年期国开债大幅下跌，至六月份由于资金面显著好于市场预期，再次走出一波上涨行情，上半年信用债也呈震荡回调走势。其中，六月底银行间市场</w:t>
      </w:r>
      <w:r>
        <w:rPr>
          <w:color w:val="000000"/>
          <w:sz w:val="24"/>
        </w:rPr>
        <w:t>10</w:t>
      </w:r>
      <w:r>
        <w:rPr>
          <w:color w:val="000000"/>
          <w:sz w:val="24"/>
        </w:rPr>
        <w:t>年期国开债</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51</w:t>
      </w:r>
      <w:r>
        <w:rPr>
          <w:color w:val="000000"/>
          <w:sz w:val="24"/>
        </w:rPr>
        <w:t>个</w:t>
      </w:r>
      <w:r>
        <w:rPr>
          <w:color w:val="000000"/>
          <w:sz w:val="24"/>
        </w:rPr>
        <w:t>BP</w:t>
      </w:r>
      <w:r>
        <w:rPr>
          <w:color w:val="000000"/>
          <w:sz w:val="24"/>
        </w:rPr>
        <w:t>以上，六月底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较一季末上升</w:t>
      </w:r>
      <w:r>
        <w:rPr>
          <w:color w:val="000000"/>
          <w:sz w:val="24"/>
        </w:rPr>
        <w:t>13</w:t>
      </w:r>
      <w:r>
        <w:rPr>
          <w:color w:val="000000"/>
          <w:sz w:val="24"/>
        </w:rPr>
        <w:t>个</w:t>
      </w:r>
      <w:r>
        <w:rPr>
          <w:color w:val="000000"/>
          <w:sz w:val="24"/>
        </w:rPr>
        <w:t>BP</w:t>
      </w:r>
      <w:r>
        <w:rPr>
          <w:color w:val="000000"/>
          <w:sz w:val="24"/>
        </w:rPr>
        <w:t>以上，较去年底上升</w:t>
      </w:r>
      <w:r>
        <w:rPr>
          <w:color w:val="000000"/>
          <w:sz w:val="24"/>
        </w:rPr>
        <w:t>54</w:t>
      </w:r>
      <w:r>
        <w:rPr>
          <w:color w:val="000000"/>
          <w:sz w:val="24"/>
        </w:rPr>
        <w:t>个</w:t>
      </w:r>
      <w:r>
        <w:rPr>
          <w:color w:val="000000"/>
          <w:sz w:val="24"/>
        </w:rPr>
        <w:t>BP</w:t>
      </w:r>
      <w:r>
        <w:rPr>
          <w:color w:val="000000"/>
          <w:sz w:val="24"/>
        </w:rPr>
        <w:t>以上。</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基金操作方面，报告期内本基金继续加强信用风险管控，顺应市场走势调整持仓债券，降低组合杠杆与久期，努力为持有人创造稳健的回报。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日，交银裕兴纯债债券</w:t>
      </w:r>
      <w:r w:rsidRPr="008A1551">
        <w:rPr>
          <w:color w:val="000000"/>
          <w:sz w:val="24"/>
        </w:rPr>
        <w:t>A</w:t>
      </w:r>
      <w:r w:rsidRPr="008A1551">
        <w:rPr>
          <w:color w:val="000000"/>
          <w:sz w:val="24"/>
        </w:rPr>
        <w:t>份额净值为</w:t>
      </w:r>
      <w:r w:rsidRPr="008A1551">
        <w:rPr>
          <w:color w:val="000000"/>
          <w:sz w:val="24"/>
        </w:rPr>
        <w:t>1.004</w:t>
      </w:r>
      <w:r w:rsidRPr="008A1551">
        <w:rPr>
          <w:color w:val="000000"/>
          <w:sz w:val="24"/>
        </w:rPr>
        <w:t>元，本报告期份额净值增长率为</w:t>
      </w:r>
      <w:r w:rsidRPr="008A1551">
        <w:rPr>
          <w:color w:val="000000"/>
          <w:sz w:val="24"/>
        </w:rPr>
        <w:t>1.62%</w:t>
      </w:r>
      <w:r w:rsidRPr="008A1551">
        <w:rPr>
          <w:color w:val="000000"/>
          <w:sz w:val="24"/>
        </w:rPr>
        <w:t>，同期业绩比较基准增长率为</w:t>
      </w:r>
      <w:r w:rsidRPr="008A1551">
        <w:rPr>
          <w:color w:val="000000"/>
          <w:sz w:val="24"/>
        </w:rPr>
        <w:t>-2.11%</w:t>
      </w:r>
      <w:r w:rsidRPr="008A1551">
        <w:rPr>
          <w:color w:val="000000"/>
          <w:sz w:val="24"/>
        </w:rPr>
        <w:t>；交银裕兴纯债债券</w:t>
      </w:r>
      <w:r w:rsidRPr="008A1551">
        <w:rPr>
          <w:color w:val="000000"/>
          <w:sz w:val="24"/>
        </w:rPr>
        <w:t>C</w:t>
      </w:r>
      <w:r w:rsidRPr="008A1551">
        <w:rPr>
          <w:color w:val="000000"/>
          <w:sz w:val="24"/>
        </w:rPr>
        <w:t>份额净值为</w:t>
      </w:r>
      <w:r w:rsidRPr="008A1551">
        <w:rPr>
          <w:color w:val="000000"/>
          <w:sz w:val="24"/>
        </w:rPr>
        <w:t>0.995</w:t>
      </w:r>
      <w:r w:rsidRPr="008A1551">
        <w:rPr>
          <w:color w:val="000000"/>
          <w:sz w:val="24"/>
        </w:rPr>
        <w:t>元，本报告期份额净值增长率为</w:t>
      </w:r>
      <w:r w:rsidRPr="008A1551">
        <w:rPr>
          <w:color w:val="000000"/>
          <w:sz w:val="24"/>
        </w:rPr>
        <w:t>1.22%</w:t>
      </w:r>
      <w:r w:rsidRPr="008A1551">
        <w:rPr>
          <w:color w:val="000000"/>
          <w:sz w:val="24"/>
        </w:rPr>
        <w:t>，同期业绩比较基准增长率为</w:t>
      </w:r>
      <w:r w:rsidRPr="008A1551">
        <w:rPr>
          <w:color w:val="000000"/>
          <w:sz w:val="24"/>
        </w:rPr>
        <w:t>-2.11%</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展望下半年，尽管国内经济已处于小周期高点，但是考虑本轮楼市调控因城施策特</w:t>
      </w:r>
      <w:r w:rsidRPr="008A1551">
        <w:rPr>
          <w:color w:val="000000"/>
          <w:sz w:val="24"/>
        </w:rPr>
        <w:lastRenderedPageBreak/>
        <w:t>色、国内消费对经济增长贡献的提升以及发达经济体保持向好势头等因素，除非房地产投资出现大幅下滑，否则短期内国内经济整体上预计保持高位企稳的概率较大。再往前看，国内经济边际上有下行压力，但年内可能压力不大。预计短期内央行将以</w:t>
      </w:r>
      <w:r w:rsidRPr="008A1551">
        <w:rPr>
          <w:color w:val="000000"/>
          <w:sz w:val="24"/>
        </w:rPr>
        <w:t>“</w:t>
      </w:r>
      <w:r w:rsidRPr="008A1551">
        <w:rPr>
          <w:color w:val="000000"/>
          <w:sz w:val="24"/>
        </w:rPr>
        <w:t>不松不紧</w:t>
      </w:r>
      <w:r w:rsidRPr="008A1551">
        <w:rPr>
          <w:color w:val="000000"/>
          <w:sz w:val="24"/>
        </w:rPr>
        <w:t>”</w:t>
      </w:r>
      <w:r w:rsidRPr="008A1551">
        <w:rPr>
          <w:color w:val="000000"/>
          <w:sz w:val="24"/>
        </w:rPr>
        <w:t>的货币政策为主，既抑制资产价格泡沫再度膨胀，又配合三会继续深化金融监管，着力维稳金融市场。二季度以来银行负债端资金成本的上升及债市发行量缩价升，可能将逐步抬升发债主体融资成本，尤其是利率敏感型企业，需警惕后续融资成本上升带来的信用风险。组合管理方面，本基金将积极研判宏观经济走势，密切跟踪央行货币政策操作动态，严格控制信用风险，积极跟踪把握市场节奏，计划继续调整部分债券，力求保持合适的组合久期，努力为份额持有人创造稳健的回报。</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DF658A" w:rsidRDefault="00CD12C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F658A" w:rsidRDefault="00CD12C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据相关法律法规和基金合同的规定，本基金对本报告期应分配的可供分配利润进行了收益分配，具体情况参见半年度报告正文</w:t>
      </w:r>
      <w:r w:rsidRPr="008A1551">
        <w:rPr>
          <w:color w:val="000000"/>
          <w:sz w:val="24"/>
        </w:rPr>
        <w:t>6.4.8.2</w:t>
      </w:r>
      <w:r w:rsidRPr="008A1551">
        <w:rPr>
          <w:color w:val="000000"/>
          <w:sz w:val="24"/>
        </w:rPr>
        <w:t>资产负债表日后事项。</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lastRenderedPageBreak/>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本托管人认真复核了本半年度报告中的财务指标、净值表现、收益分配情况、财务会计报告、投资组合报告等内容，认为其真实、准确和完整，不存在虚假记载、误导性陈述或者重大遗漏。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会计主体：交银施罗德裕兴纯债债券型证券投资基金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6,207,437.75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4,153,460.00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1,129,401,100.00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567,851,400.00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1,129,401,100.00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567,851,400.00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lastRenderedPageBreak/>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262,069,153.10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13,360,829.86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20,266,345.90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1,411,038,520.71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592,271,205.90</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344,548.61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150,662.54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114,849.52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50,220.86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0.30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0.62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11,354.06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5,181.91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208,767.59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120,000.00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lastRenderedPageBreak/>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679,619.69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326,065.93</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1,405,197,329.52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599,311,411.47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5,161,571.50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-7,366,271.50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1,410,358,901.02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591,945,139.97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1,411,038,520.71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592,271,205.90</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1.004</w:t>
      </w:r>
      <w:r w:rsidRPr="008A1551">
        <w:rPr>
          <w:kern w:val="0"/>
          <w:sz w:val="24"/>
        </w:rPr>
        <w:t>元，</w:t>
      </w:r>
      <w:r w:rsidRPr="008A1551">
        <w:rPr>
          <w:kern w:val="0"/>
          <w:sz w:val="24"/>
        </w:rPr>
        <w:t>C</w:t>
      </w:r>
      <w:r w:rsidRPr="008A1551">
        <w:rPr>
          <w:kern w:val="0"/>
          <w:sz w:val="24"/>
        </w:rPr>
        <w:t>类基金份额净值</w:t>
      </w:r>
      <w:r w:rsidRPr="008A1551">
        <w:rPr>
          <w:kern w:val="0"/>
          <w:sz w:val="24"/>
        </w:rPr>
        <w:t>0.995</w:t>
      </w:r>
      <w:r w:rsidRPr="008A1551">
        <w:rPr>
          <w:kern w:val="0"/>
          <w:sz w:val="24"/>
        </w:rPr>
        <w:t>元，基金份额总额</w:t>
      </w:r>
      <w:r w:rsidRPr="008A1551">
        <w:rPr>
          <w:kern w:val="0"/>
          <w:sz w:val="24"/>
        </w:rPr>
        <w:t>1,405,197,329.52</w:t>
      </w:r>
      <w:r w:rsidRPr="008A1551">
        <w:rPr>
          <w:kern w:val="0"/>
          <w:sz w:val="24"/>
        </w:rPr>
        <w:t>份，其中</w:t>
      </w:r>
      <w:r w:rsidRPr="008A1551">
        <w:rPr>
          <w:kern w:val="0"/>
          <w:sz w:val="24"/>
        </w:rPr>
        <w:t>A</w:t>
      </w:r>
      <w:r w:rsidRPr="008A1551">
        <w:rPr>
          <w:kern w:val="0"/>
          <w:sz w:val="24"/>
        </w:rPr>
        <w:t>类基金份额</w:t>
      </w:r>
      <w:r w:rsidRPr="008A1551">
        <w:rPr>
          <w:kern w:val="0"/>
          <w:sz w:val="24"/>
        </w:rPr>
        <w:t>1,405,196,759.49</w:t>
      </w:r>
      <w:r w:rsidRPr="008A1551">
        <w:rPr>
          <w:kern w:val="0"/>
          <w:sz w:val="24"/>
        </w:rPr>
        <w:t>份，</w:t>
      </w:r>
      <w:r w:rsidRPr="008A1551">
        <w:rPr>
          <w:kern w:val="0"/>
          <w:sz w:val="24"/>
        </w:rPr>
        <w:t>C</w:t>
      </w:r>
      <w:r w:rsidRPr="008A1551">
        <w:rPr>
          <w:kern w:val="0"/>
          <w:sz w:val="24"/>
        </w:rPr>
        <w:t>类基金份额</w:t>
      </w:r>
      <w:r w:rsidRPr="008A1551">
        <w:rPr>
          <w:kern w:val="0"/>
          <w:sz w:val="24"/>
        </w:rPr>
        <w:t>570.03</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交银施罗德裕兴纯债债券型证券投资基金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CD12CC" w:rsidRPr="008A1551" w:rsidTr="00CD12CC">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450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r>
      <w:tr w:rsidR="00CD12CC" w:rsidRPr="008A1551" w:rsidTr="00CD12CC">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22,131,879.79</w:t>
            </w:r>
          </w:p>
        </w:tc>
      </w:tr>
      <w:tr w:rsidR="00CD12CC" w:rsidRPr="008A1551" w:rsidTr="00CD12CC">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44,434,389.89</w:t>
            </w:r>
          </w:p>
        </w:tc>
      </w:tr>
      <w:tr w:rsidR="00CD12CC" w:rsidRPr="008A1551" w:rsidTr="00CD12CC">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184,579.14</w:t>
            </w:r>
          </w:p>
        </w:tc>
      </w:tr>
      <w:tr w:rsidR="00CD12CC" w:rsidRPr="008A1551" w:rsidTr="00CD12CC">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42,960,106.96</w:t>
            </w:r>
          </w:p>
        </w:tc>
      </w:tr>
      <w:tr w:rsidR="00CD12CC" w:rsidRPr="008A1551" w:rsidTr="00CD12CC">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1,289,703.79</w:t>
            </w:r>
          </w:p>
        </w:tc>
      </w:tr>
      <w:tr w:rsidR="00CD12CC" w:rsidRPr="008A1551" w:rsidTr="00CD12CC">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450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D12CC" w:rsidRPr="008A1551" w:rsidTr="00CD12CC">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lastRenderedPageBreak/>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lastRenderedPageBreak/>
              <w:t>6.4.7.17</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-22,402,853.42</w:t>
            </w:r>
          </w:p>
        </w:tc>
      </w:tr>
      <w:tr w:rsidR="00CD12CC" w:rsidRPr="008A1551" w:rsidTr="00CD12CC">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100,343.32</w:t>
            </w:r>
          </w:p>
        </w:tc>
      </w:tr>
      <w:tr w:rsidR="00CD12CC" w:rsidRPr="008A1551" w:rsidTr="00CD12CC">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2,351,115.85</w:t>
            </w:r>
          </w:p>
        </w:tc>
      </w:tr>
      <w:tr w:rsidR="00CD12CC" w:rsidRPr="008A1551" w:rsidTr="00CD12CC">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1,628,408.38</w:t>
            </w:r>
          </w:p>
        </w:tc>
      </w:tr>
      <w:tr w:rsidR="00CD12CC" w:rsidRPr="008A1551" w:rsidTr="00CD12CC">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542,802.69</w:t>
            </w:r>
          </w:p>
        </w:tc>
      </w:tr>
      <w:tr w:rsidR="00CD12CC" w:rsidRPr="008A1551" w:rsidTr="00CD12CC">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2.61</w:t>
            </w:r>
          </w:p>
        </w:tc>
      </w:tr>
      <w:tr w:rsidR="00CD12CC" w:rsidRPr="008A1551" w:rsidTr="00CD12CC">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3,295.00</w:t>
            </w:r>
          </w:p>
        </w:tc>
      </w:tr>
      <w:tr w:rsidR="00CD12CC" w:rsidRPr="008A1551" w:rsidTr="00CD12CC">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6,559.65</w:t>
            </w:r>
          </w:p>
        </w:tc>
      </w:tr>
      <w:tr w:rsidR="00CD12CC" w:rsidRPr="008A1551" w:rsidTr="00CD12CC">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6,559.65</w:t>
            </w:r>
          </w:p>
        </w:tc>
      </w:tr>
      <w:tr w:rsidR="00CD12CC" w:rsidRPr="008A1551" w:rsidTr="00CD12CC">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170,047.52</w:t>
            </w:r>
          </w:p>
        </w:tc>
      </w:tr>
      <w:tr w:rsidR="00CD12CC" w:rsidRPr="008A1551" w:rsidTr="00CD12CC">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19,780,763.94</w:t>
            </w:r>
          </w:p>
        </w:tc>
      </w:tr>
      <w:tr w:rsidR="00CD12CC" w:rsidRPr="008A1551" w:rsidTr="00CD12CC">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D12CC" w:rsidRPr="008A1551" w:rsidTr="00CD12CC">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450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19,780,763.94</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交银施罗德裕兴纯债债券型证券投资基金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599,311,411.47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-7,366,271.50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591,945,139.97</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19,780,763.94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19,780,763.94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805,885,918.05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-7,252,920.94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798,632,997.11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1,210,907,052.11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-10,898,162.24</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1,200,008,889.87</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-405,021,134.06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3,645,241.30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-401,375,892.76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lastRenderedPageBreak/>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1,405,197,329.52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5,161,571.50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1,410,358,901.02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DF658A" w:rsidRDefault="00CD12CC">
      <w:pPr>
        <w:spacing w:before="29" w:line="288" w:lineRule="auto"/>
        <w:ind w:firstLineChars="200" w:firstLine="480"/>
        <w:rPr>
          <w:color w:val="000000"/>
          <w:sz w:val="24"/>
        </w:rPr>
      </w:pPr>
      <w:r>
        <w:rPr>
          <w:color w:val="000000"/>
          <w:sz w:val="24"/>
        </w:rPr>
        <w:t>交银施罗德裕兴纯债债券型证券投资基金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496</w:t>
      </w:r>
      <w:r>
        <w:rPr>
          <w:color w:val="000000"/>
          <w:sz w:val="24"/>
        </w:rPr>
        <w:t>号《关于准予交银施罗德裕兴纯债债券型证券投资基金注册的批复》核准，由交银施罗德基金管理有限公司依照《中华人民共和国证券投资基金法》和《交银施罗德裕兴纯债债券型证券投资基金基金合同》负责公开募集。本基金为契约型开放式，存续期限不定，首次设立募集不包括认购资金利息共募集人民币</w:t>
      </w:r>
      <w:r>
        <w:rPr>
          <w:color w:val="000000"/>
          <w:sz w:val="24"/>
        </w:rPr>
        <w:t>200,061,410.40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1183</w:t>
      </w:r>
      <w:r>
        <w:rPr>
          <w:color w:val="000000"/>
          <w:sz w:val="24"/>
        </w:rPr>
        <w:t>号验资报告予以验证。经向中国证监会备案，《交银施罗德裕兴纯债债券型证券投资基金基金合同》于</w:t>
      </w:r>
      <w:r>
        <w:rPr>
          <w:color w:val="000000"/>
          <w:sz w:val="24"/>
        </w:rPr>
        <w:t>2016</w:t>
      </w:r>
      <w:r>
        <w:rPr>
          <w:color w:val="000000"/>
          <w:sz w:val="24"/>
        </w:rPr>
        <w:t>年</w:t>
      </w:r>
      <w:r>
        <w:rPr>
          <w:color w:val="000000"/>
          <w:sz w:val="24"/>
        </w:rPr>
        <w:t>9</w:t>
      </w:r>
      <w:r>
        <w:rPr>
          <w:color w:val="000000"/>
          <w:sz w:val="24"/>
        </w:rPr>
        <w:t>月</w:t>
      </w:r>
      <w:r>
        <w:rPr>
          <w:color w:val="000000"/>
          <w:sz w:val="24"/>
        </w:rPr>
        <w:t>7</w:t>
      </w:r>
      <w:r>
        <w:rPr>
          <w:color w:val="000000"/>
          <w:sz w:val="24"/>
        </w:rPr>
        <w:t>日正式生效，基金合同生效日的基金份额总额为</w:t>
      </w:r>
      <w:r>
        <w:rPr>
          <w:color w:val="000000"/>
          <w:sz w:val="24"/>
        </w:rPr>
        <w:t>200,097,420.84</w:t>
      </w:r>
      <w:r>
        <w:rPr>
          <w:color w:val="000000"/>
          <w:sz w:val="24"/>
        </w:rPr>
        <w:t>份基金份额，其中认购资金利息折合</w:t>
      </w:r>
      <w:r>
        <w:rPr>
          <w:color w:val="000000"/>
          <w:sz w:val="24"/>
        </w:rPr>
        <w:t>36,010.44</w:t>
      </w:r>
      <w:r>
        <w:rPr>
          <w:color w:val="000000"/>
          <w:sz w:val="24"/>
        </w:rPr>
        <w:t>份基金份额。本基金的基金管理人为交银施罗德基金管理有限公司，基金托管人为兴业银行股份有限公司。</w:t>
      </w:r>
    </w:p>
    <w:p w:rsidR="00DF658A" w:rsidRDefault="00CD12CC">
      <w:pPr>
        <w:spacing w:before="29" w:line="288" w:lineRule="auto"/>
        <w:ind w:firstLineChars="200" w:firstLine="480"/>
        <w:rPr>
          <w:color w:val="000000"/>
          <w:sz w:val="24"/>
        </w:rPr>
      </w:pPr>
      <w:r>
        <w:rPr>
          <w:color w:val="000000"/>
          <w:sz w:val="24"/>
        </w:rPr>
        <w:t>根据《交银施罗德裕兴纯债债券型证券投资基金基金合同》和《交银施罗德裕兴纯债债券型证券投资基金招募说明书》，本基金根据认购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申购费用、赎回时不收取赎回费用，且从本类别基金资产中计提销售服务费的，称为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裕兴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w:t>
      </w:r>
      <w:r w:rsidRPr="008A1551">
        <w:rPr>
          <w:color w:val="000000"/>
          <w:sz w:val="24"/>
        </w:rPr>
        <w:lastRenderedPageBreak/>
        <w:t>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。本基金不直接在二级市场买入股票、权证等权益类资产，也不参与一级市场新股申购和新股增发。同时本基金不参与可转换债券投资</w:t>
      </w:r>
      <w:r w:rsidRPr="008A1551">
        <w:rPr>
          <w:color w:val="000000"/>
          <w:sz w:val="24"/>
        </w:rPr>
        <w:t>(</w:t>
      </w:r>
      <w:r w:rsidRPr="008A1551">
        <w:rPr>
          <w:color w:val="000000"/>
          <w:sz w:val="24"/>
        </w:rPr>
        <w:t>分离交易可转债除外</w:t>
      </w:r>
      <w:r w:rsidRPr="008A1551">
        <w:rPr>
          <w:color w:val="000000"/>
          <w:sz w:val="24"/>
        </w:rPr>
        <w:t>)</w:t>
      </w:r>
      <w:r w:rsidRPr="008A1551">
        <w:rPr>
          <w:color w:val="000000"/>
          <w:sz w:val="24"/>
        </w:rPr>
        <w:t>。本基金的投资组合比例为：债券资产的比例不低于基金资产的</w:t>
      </w:r>
      <w:r w:rsidRPr="008A1551">
        <w:rPr>
          <w:color w:val="000000"/>
          <w:sz w:val="24"/>
        </w:rPr>
        <w:t>80%</w:t>
      </w:r>
      <w:r w:rsidRPr="008A1551">
        <w:rPr>
          <w:color w:val="000000"/>
          <w:sz w:val="24"/>
        </w:rPr>
        <w:t>，现金或到期日在一年以为的政府债券的投资比例合计不低于基金资产净值的</w:t>
      </w:r>
      <w:r w:rsidRPr="008A1551">
        <w:rPr>
          <w:color w:val="000000"/>
          <w:sz w:val="24"/>
        </w:rPr>
        <w:t>5%</w:t>
      </w:r>
      <w:r w:rsidRPr="008A1551">
        <w:rPr>
          <w:color w:val="000000"/>
          <w:sz w:val="24"/>
        </w:rPr>
        <w:t>。本基金的业绩比较基准为中债综合全价指数。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颁布的《证券投资基金会计核算业务指引》、《交银施罗德裕兴纯债债券型证券投资基金基金合同》和在财务报表附注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DF658A" w:rsidRDefault="00CD12CC">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w:t>
      </w:r>
      <w:r>
        <w:rPr>
          <w:color w:val="000000"/>
          <w:sz w:val="24"/>
        </w:rPr>
        <w:lastRenderedPageBreak/>
        <w:t>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F658A" w:rsidRDefault="00CD12CC">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p>
    <w:p w:rsidR="00DF658A" w:rsidRDefault="00CD12C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(3) </w:t>
      </w:r>
      <w:r w:rsidRPr="008A1551">
        <w:rPr>
          <w:color w:val="000000"/>
          <w:sz w:val="24"/>
        </w:rPr>
        <w:t>对基金取得的企业债券利息收入，应由发行债券的企业在向基金支付利息时代扣代缴</w:t>
      </w:r>
      <w:r w:rsidRPr="008A1551">
        <w:rPr>
          <w:color w:val="000000"/>
          <w:sz w:val="24"/>
        </w:rPr>
        <w:t>20%</w:t>
      </w:r>
      <w:r w:rsidRPr="008A1551">
        <w:rPr>
          <w:color w:val="000000"/>
          <w:sz w:val="24"/>
        </w:rPr>
        <w:t>的个人所得税。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DF658A">
        <w:tc>
          <w:tcPr>
            <w:tcW w:w="5219" w:type="dxa"/>
            <w:vAlign w:val="center"/>
          </w:tcPr>
          <w:p w:rsidR="00DF658A" w:rsidRDefault="00CD12C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F658A" w:rsidRDefault="00CD12CC">
            <w:pPr>
              <w:jc w:val="left"/>
            </w:pPr>
            <w:r>
              <w:rPr>
                <w:color w:val="000000"/>
                <w:sz w:val="24"/>
              </w:rPr>
              <w:t>基金管理人、基金销售机构</w:t>
            </w:r>
          </w:p>
        </w:tc>
      </w:tr>
      <w:tr w:rsidR="00DF658A">
        <w:tc>
          <w:tcPr>
            <w:tcW w:w="5219" w:type="dxa"/>
            <w:vAlign w:val="center"/>
          </w:tcPr>
          <w:p w:rsidR="00DF658A" w:rsidRDefault="00CD12CC">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DF658A" w:rsidRDefault="00CD12CC">
            <w:pPr>
              <w:jc w:val="left"/>
            </w:pPr>
            <w:r>
              <w:rPr>
                <w:color w:val="000000"/>
                <w:sz w:val="24"/>
              </w:rPr>
              <w:t>基金托管人</w:t>
            </w:r>
          </w:p>
        </w:tc>
      </w:tr>
      <w:tr w:rsidR="00DF658A">
        <w:tc>
          <w:tcPr>
            <w:tcW w:w="5219" w:type="dxa"/>
            <w:vAlign w:val="center"/>
          </w:tcPr>
          <w:p w:rsidR="00DF658A" w:rsidRDefault="00CD12C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F658A" w:rsidRDefault="00CD12CC">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CD12CC" w:rsidRPr="008A1551" w:rsidTr="00CD12CC">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CD12CC" w:rsidRPr="008A1551" w:rsidTr="00CD12CC">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5314" w:type="dxa"/>
            <w:vAlign w:val="center"/>
          </w:tcPr>
          <w:p w:rsidR="001548F9" w:rsidRPr="008A1551" w:rsidRDefault="001548F9" w:rsidP="009E1EA4">
            <w:pPr>
              <w:spacing w:before="29" w:line="288" w:lineRule="auto"/>
              <w:jc w:val="right"/>
              <w:rPr>
                <w:sz w:val="24"/>
              </w:rPr>
            </w:pPr>
            <w:r w:rsidRPr="008A1551">
              <w:rPr>
                <w:sz w:val="24"/>
              </w:rPr>
              <w:t>1,628,408.38</w:t>
            </w:r>
          </w:p>
        </w:tc>
      </w:tr>
      <w:tr w:rsidR="00CD12CC" w:rsidRPr="008A1551" w:rsidTr="00CD12CC">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5314" w:type="dxa"/>
            <w:vAlign w:val="center"/>
          </w:tcPr>
          <w:p w:rsidR="001548F9" w:rsidRPr="008A1551" w:rsidRDefault="001548F9" w:rsidP="009E1EA4">
            <w:pPr>
              <w:spacing w:before="29" w:line="288" w:lineRule="auto"/>
              <w:jc w:val="right"/>
              <w:rPr>
                <w:sz w:val="24"/>
              </w:rPr>
            </w:pPr>
            <w:r w:rsidRPr="008A1551">
              <w:rPr>
                <w:sz w:val="24"/>
              </w:rPr>
              <w:t>39.17</w:t>
            </w:r>
          </w:p>
        </w:tc>
      </w:tr>
    </w:tbl>
    <w:p w:rsidR="00DF658A" w:rsidRDefault="00CD12C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日管理人报酬＝前一日基金资产净值</w:t>
      </w:r>
      <w:r w:rsidRPr="008A1551">
        <w:rPr>
          <w:kern w:val="0"/>
          <w:sz w:val="24"/>
        </w:rPr>
        <w:t>×0.30%÷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CD12CC" w:rsidRPr="008A1551" w:rsidTr="00CD12CC">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5314"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CD12CC" w:rsidRPr="008A1551" w:rsidTr="00CD12CC">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5314" w:type="dxa"/>
            <w:vAlign w:val="center"/>
          </w:tcPr>
          <w:p w:rsidR="001548F9" w:rsidRPr="008A1551" w:rsidRDefault="001548F9" w:rsidP="009E1EA4">
            <w:pPr>
              <w:spacing w:before="29" w:line="288" w:lineRule="auto"/>
              <w:jc w:val="right"/>
              <w:rPr>
                <w:color w:val="000000"/>
                <w:kern w:val="0"/>
                <w:sz w:val="24"/>
              </w:rPr>
            </w:pPr>
            <w:r w:rsidRPr="008A1551">
              <w:rPr>
                <w:sz w:val="24"/>
              </w:rPr>
              <w:t>542,802.69</w:t>
            </w:r>
          </w:p>
        </w:tc>
      </w:tr>
    </w:tbl>
    <w:p w:rsidR="00DF658A" w:rsidRDefault="00CD12C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×0.10%÷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交银裕兴纯债债券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交银裕兴纯债债券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DF658A">
        <w:tc>
          <w:tcPr>
            <w:tcW w:w="2000" w:type="dxa"/>
            <w:vAlign w:val="center"/>
          </w:tcPr>
          <w:p w:rsidR="00DF658A" w:rsidRDefault="00CD12CC">
            <w:pPr>
              <w:jc w:val="left"/>
            </w:pPr>
            <w:r>
              <w:rPr>
                <w:sz w:val="24"/>
              </w:rPr>
              <w:t>交银施罗德基金公司</w:t>
            </w:r>
          </w:p>
        </w:tc>
        <w:tc>
          <w:tcPr>
            <w:tcW w:w="1766" w:type="dxa"/>
            <w:vAlign w:val="center"/>
          </w:tcPr>
          <w:p w:rsidR="00DF658A" w:rsidRDefault="00CD12CC">
            <w:pPr>
              <w:jc w:val="right"/>
            </w:pPr>
            <w:r>
              <w:rPr>
                <w:sz w:val="24"/>
              </w:rPr>
              <w:t>-</w:t>
            </w:r>
          </w:p>
        </w:tc>
        <w:tc>
          <w:tcPr>
            <w:tcW w:w="2162" w:type="dxa"/>
            <w:vAlign w:val="center"/>
          </w:tcPr>
          <w:p w:rsidR="00DF658A" w:rsidRDefault="00CD12CC">
            <w:pPr>
              <w:jc w:val="right"/>
            </w:pPr>
            <w:r>
              <w:rPr>
                <w:sz w:val="24"/>
              </w:rPr>
              <w:t>0.14</w:t>
            </w:r>
          </w:p>
        </w:tc>
        <w:tc>
          <w:tcPr>
            <w:tcW w:w="3070" w:type="dxa"/>
            <w:vAlign w:val="center"/>
          </w:tcPr>
          <w:p w:rsidR="00DF658A" w:rsidRDefault="00CD12CC">
            <w:pPr>
              <w:jc w:val="right"/>
            </w:pPr>
            <w:r>
              <w:rPr>
                <w:sz w:val="24"/>
              </w:rPr>
              <w:t>0.14</w:t>
            </w:r>
          </w:p>
        </w:tc>
      </w:tr>
      <w:tr w:rsidR="00DF658A">
        <w:tc>
          <w:tcPr>
            <w:tcW w:w="2000" w:type="dxa"/>
            <w:vAlign w:val="center"/>
          </w:tcPr>
          <w:p w:rsidR="00DF658A" w:rsidRDefault="00CD12CC">
            <w:pPr>
              <w:jc w:val="left"/>
            </w:pPr>
            <w:r>
              <w:rPr>
                <w:sz w:val="24"/>
              </w:rPr>
              <w:t>交通银行</w:t>
            </w:r>
          </w:p>
        </w:tc>
        <w:tc>
          <w:tcPr>
            <w:tcW w:w="1766" w:type="dxa"/>
            <w:vAlign w:val="center"/>
          </w:tcPr>
          <w:p w:rsidR="00DF658A" w:rsidRDefault="00CD12CC">
            <w:pPr>
              <w:jc w:val="right"/>
            </w:pPr>
            <w:r>
              <w:rPr>
                <w:sz w:val="24"/>
              </w:rPr>
              <w:t>-</w:t>
            </w:r>
          </w:p>
        </w:tc>
        <w:tc>
          <w:tcPr>
            <w:tcW w:w="2162" w:type="dxa"/>
            <w:vAlign w:val="center"/>
          </w:tcPr>
          <w:p w:rsidR="00DF658A" w:rsidRDefault="00CD12CC">
            <w:pPr>
              <w:jc w:val="right"/>
            </w:pPr>
            <w:r>
              <w:rPr>
                <w:sz w:val="24"/>
              </w:rPr>
              <w:t>2.47</w:t>
            </w:r>
          </w:p>
        </w:tc>
        <w:tc>
          <w:tcPr>
            <w:tcW w:w="3070" w:type="dxa"/>
            <w:vAlign w:val="center"/>
          </w:tcPr>
          <w:p w:rsidR="00DF658A" w:rsidRDefault="00CD12CC">
            <w:pPr>
              <w:jc w:val="right"/>
            </w:pPr>
            <w:r>
              <w:rPr>
                <w:sz w:val="24"/>
              </w:rPr>
              <w:t>2.47</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2.61</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2.61</w:t>
            </w:r>
          </w:p>
        </w:tc>
      </w:tr>
    </w:tbl>
    <w:p w:rsidR="00DF658A" w:rsidRDefault="00CD12CC">
      <w:pPr>
        <w:tabs>
          <w:tab w:val="left" w:pos="426"/>
        </w:tabs>
        <w:spacing w:before="29" w:line="288" w:lineRule="auto"/>
        <w:jc w:val="left"/>
        <w:rPr>
          <w:kern w:val="0"/>
          <w:sz w:val="24"/>
        </w:rPr>
      </w:pPr>
      <w:r>
        <w:rPr>
          <w:kern w:val="0"/>
          <w:sz w:val="24"/>
        </w:rPr>
        <w:t>注：</w:t>
      </w:r>
    </w:p>
    <w:p w:rsidR="00DF658A" w:rsidRDefault="00CD12CC">
      <w:pPr>
        <w:tabs>
          <w:tab w:val="left" w:pos="426"/>
        </w:tabs>
        <w:spacing w:before="29" w:line="288"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×0.4%÷</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lastRenderedPageBreak/>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2"/>
        <w:gridCol w:w="3152"/>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6306"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3153"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DF658A">
        <w:tc>
          <w:tcPr>
            <w:tcW w:w="2694" w:type="dxa"/>
            <w:vAlign w:val="center"/>
          </w:tcPr>
          <w:p w:rsidR="00DF658A" w:rsidRDefault="00CD12CC">
            <w:pPr>
              <w:jc w:val="left"/>
            </w:pPr>
            <w:r>
              <w:rPr>
                <w:sz w:val="24"/>
              </w:rPr>
              <w:t>兴业银行</w:t>
            </w:r>
          </w:p>
        </w:tc>
        <w:tc>
          <w:tcPr>
            <w:tcW w:w="3152" w:type="dxa"/>
            <w:vAlign w:val="center"/>
          </w:tcPr>
          <w:p w:rsidR="00DF658A" w:rsidRDefault="00CD12CC">
            <w:pPr>
              <w:jc w:val="right"/>
            </w:pPr>
            <w:r>
              <w:rPr>
                <w:sz w:val="24"/>
              </w:rPr>
              <w:t>6,207,437.75</w:t>
            </w:r>
          </w:p>
        </w:tc>
        <w:tc>
          <w:tcPr>
            <w:tcW w:w="3152" w:type="dxa"/>
            <w:vAlign w:val="center"/>
          </w:tcPr>
          <w:p w:rsidR="00DF658A" w:rsidRDefault="00CD12CC">
            <w:pPr>
              <w:jc w:val="right"/>
            </w:pPr>
            <w:r>
              <w:rPr>
                <w:sz w:val="24"/>
              </w:rPr>
              <w:t>159,764.87</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注：本基金的银行存款由基金托管人保管，按银行同业利率或约定利率计息。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2" w:name="_Toc331410101"/>
      <w:bookmarkStart w:id="53" w:name="_Toc225498272"/>
      <w:r w:rsidRPr="008A1551">
        <w:rPr>
          <w:b/>
          <w:bCs/>
          <w:szCs w:val="24"/>
          <w:lang w:val="en-US"/>
        </w:rPr>
        <w:t xml:space="preserve">7  </w:t>
      </w:r>
      <w:r w:rsidRPr="008A1551">
        <w:rPr>
          <w:b/>
          <w:bCs/>
          <w:szCs w:val="24"/>
          <w:lang w:val="en-US"/>
        </w:rPr>
        <w:t>投资组合报告</w:t>
      </w:r>
      <w:bookmarkEnd w:id="52"/>
      <w:bookmarkEnd w:id="53"/>
    </w:p>
    <w:p w:rsidR="001548F9" w:rsidRPr="008A1551" w:rsidRDefault="001548F9" w:rsidP="009E1EA4">
      <w:pPr>
        <w:pStyle w:val="20"/>
        <w:spacing w:before="29" w:after="0" w:line="288" w:lineRule="auto"/>
        <w:rPr>
          <w:rFonts w:ascii="Times New Roman" w:hAnsi="Times New Roman"/>
          <w:kern w:val="0"/>
          <w:szCs w:val="24"/>
        </w:rPr>
      </w:pPr>
      <w:bookmarkStart w:id="54" w:name="_Toc331410102"/>
      <w:bookmarkStart w:id="55"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4"/>
      <w:bookmarkEnd w:id="5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1,129,401,100.00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80.04</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1,129,401,100.00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80.04</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262,069,153.10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18.57</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6,207,437.75</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0.44</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13,360,829.86</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0.95</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1,411,038,520.71</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6" w:name="_Toc331410103"/>
      <w:bookmarkStart w:id="57"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6"/>
      <w:bookmarkEnd w:id="57"/>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E7237C" w:rsidRPr="00E7237C" w:rsidRDefault="00E7237C" w:rsidP="009E1EA4">
      <w:pPr>
        <w:tabs>
          <w:tab w:val="left" w:pos="426"/>
        </w:tabs>
        <w:spacing w:before="29" w:line="288" w:lineRule="auto"/>
        <w:jc w:val="left"/>
        <w:rPr>
          <w:rFonts w:hint="eastAsia"/>
          <w:kern w:val="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8"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8"/>
    </w:p>
    <w:p w:rsidR="001548F9"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E7237C" w:rsidRPr="008A1551" w:rsidRDefault="00E7237C"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5"/>
      <w:r w:rsidRPr="008A1551">
        <w:rPr>
          <w:rFonts w:ascii="Times New Roman" w:hAnsi="Times New Roman"/>
          <w:kern w:val="0"/>
          <w:szCs w:val="24"/>
        </w:rPr>
        <w:t>7.4</w:t>
      </w:r>
      <w:bookmarkStart w:id="60" w:name="_Toc234814103"/>
      <w:r w:rsidRPr="008A1551">
        <w:rPr>
          <w:rFonts w:ascii="Times New Roman" w:hAnsi="Times New Roman"/>
          <w:kern w:val="0"/>
          <w:szCs w:val="24"/>
        </w:rPr>
        <w:t>报告期内股票投资组合的重大变动</w:t>
      </w:r>
      <w:bookmarkEnd w:id="59"/>
      <w:bookmarkEnd w:id="60"/>
    </w:p>
    <w:p w:rsidR="001548F9"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E7237C" w:rsidRPr="008A1551" w:rsidRDefault="00E7237C" w:rsidP="009E1EA4">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1" w:name="_Toc331410106"/>
      <w:bookmarkStart w:id="62"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1"/>
      <w:bookmarkEnd w:id="62"/>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129,929,000.00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9.21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129,929,000.00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9.21</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999,472,100.00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70.87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lastRenderedPageBreak/>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1,129,401,100.00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80.08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3" w:name="_Toc331410107"/>
      <w:r w:rsidRPr="008A1551">
        <w:rPr>
          <w:rFonts w:ascii="Times New Roman" w:hAnsi="Times New Roman"/>
          <w:kern w:val="0"/>
          <w:szCs w:val="24"/>
        </w:rPr>
        <w:t>7.6</w:t>
      </w:r>
      <w:bookmarkStart w:id="64"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3"/>
      <w:bookmarkEnd w:id="64"/>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DF658A">
        <w:tc>
          <w:tcPr>
            <w:tcW w:w="1320" w:type="dxa"/>
            <w:vAlign w:val="center"/>
          </w:tcPr>
          <w:p w:rsidR="00DF658A" w:rsidRDefault="00CD12CC">
            <w:pPr>
              <w:jc w:val="center"/>
            </w:pPr>
            <w:r>
              <w:rPr>
                <w:color w:val="000000"/>
                <w:sz w:val="24"/>
              </w:rPr>
              <w:t>1</w:t>
            </w:r>
          </w:p>
        </w:tc>
        <w:tc>
          <w:tcPr>
            <w:tcW w:w="1382" w:type="dxa"/>
            <w:vAlign w:val="center"/>
          </w:tcPr>
          <w:p w:rsidR="00DF658A" w:rsidRDefault="00CD12CC">
            <w:pPr>
              <w:jc w:val="center"/>
            </w:pPr>
            <w:r>
              <w:rPr>
                <w:color w:val="000000"/>
                <w:sz w:val="24"/>
              </w:rPr>
              <w:t>1480306</w:t>
            </w:r>
          </w:p>
        </w:tc>
        <w:tc>
          <w:tcPr>
            <w:tcW w:w="1353" w:type="dxa"/>
            <w:vAlign w:val="center"/>
          </w:tcPr>
          <w:p w:rsidR="00DF658A" w:rsidRDefault="00CD12CC">
            <w:pPr>
              <w:jc w:val="center"/>
            </w:pPr>
            <w:r>
              <w:rPr>
                <w:color w:val="000000"/>
                <w:sz w:val="24"/>
              </w:rPr>
              <w:t>14</w:t>
            </w:r>
            <w:r>
              <w:rPr>
                <w:color w:val="000000"/>
                <w:sz w:val="24"/>
              </w:rPr>
              <w:t>深业债</w:t>
            </w:r>
          </w:p>
        </w:tc>
        <w:tc>
          <w:tcPr>
            <w:tcW w:w="1505" w:type="dxa"/>
            <w:vAlign w:val="center"/>
          </w:tcPr>
          <w:p w:rsidR="00DF658A" w:rsidRDefault="00CD12CC">
            <w:pPr>
              <w:jc w:val="right"/>
            </w:pPr>
            <w:r>
              <w:rPr>
                <w:color w:val="000000"/>
                <w:sz w:val="24"/>
              </w:rPr>
              <w:t>1,280,000</w:t>
            </w:r>
          </w:p>
        </w:tc>
        <w:tc>
          <w:tcPr>
            <w:tcW w:w="1737" w:type="dxa"/>
            <w:vAlign w:val="center"/>
          </w:tcPr>
          <w:p w:rsidR="00DF658A" w:rsidRDefault="00CD12CC">
            <w:pPr>
              <w:jc w:val="right"/>
            </w:pPr>
            <w:r>
              <w:rPr>
                <w:color w:val="000000"/>
                <w:sz w:val="24"/>
              </w:rPr>
              <w:t>131,788,800.00</w:t>
            </w:r>
          </w:p>
        </w:tc>
        <w:tc>
          <w:tcPr>
            <w:tcW w:w="1701" w:type="dxa"/>
            <w:vAlign w:val="center"/>
          </w:tcPr>
          <w:p w:rsidR="00DF658A" w:rsidRDefault="00CD12CC">
            <w:pPr>
              <w:jc w:val="right"/>
            </w:pPr>
            <w:r>
              <w:rPr>
                <w:color w:val="000000"/>
                <w:sz w:val="24"/>
              </w:rPr>
              <w:t>9.34</w:t>
            </w:r>
          </w:p>
        </w:tc>
      </w:tr>
      <w:tr w:rsidR="00DF658A">
        <w:tc>
          <w:tcPr>
            <w:tcW w:w="1320" w:type="dxa"/>
            <w:vAlign w:val="center"/>
          </w:tcPr>
          <w:p w:rsidR="00DF658A" w:rsidRDefault="00CD12CC">
            <w:pPr>
              <w:jc w:val="center"/>
            </w:pPr>
            <w:r>
              <w:rPr>
                <w:color w:val="000000"/>
                <w:sz w:val="24"/>
              </w:rPr>
              <w:t>2</w:t>
            </w:r>
          </w:p>
        </w:tc>
        <w:tc>
          <w:tcPr>
            <w:tcW w:w="1382" w:type="dxa"/>
            <w:vAlign w:val="center"/>
          </w:tcPr>
          <w:p w:rsidR="00DF658A" w:rsidRDefault="00CD12CC">
            <w:pPr>
              <w:jc w:val="center"/>
            </w:pPr>
            <w:r>
              <w:rPr>
                <w:color w:val="000000"/>
                <w:sz w:val="24"/>
              </w:rPr>
              <w:t>1380145</w:t>
            </w:r>
          </w:p>
        </w:tc>
        <w:tc>
          <w:tcPr>
            <w:tcW w:w="1353" w:type="dxa"/>
            <w:vAlign w:val="center"/>
          </w:tcPr>
          <w:p w:rsidR="00DF658A" w:rsidRDefault="00CD12CC">
            <w:pPr>
              <w:jc w:val="center"/>
            </w:pPr>
            <w:r>
              <w:rPr>
                <w:color w:val="000000"/>
                <w:sz w:val="24"/>
              </w:rPr>
              <w:t>13</w:t>
            </w:r>
            <w:r>
              <w:rPr>
                <w:color w:val="000000"/>
                <w:sz w:val="24"/>
              </w:rPr>
              <w:t>楚雄开投债</w:t>
            </w:r>
          </w:p>
        </w:tc>
        <w:tc>
          <w:tcPr>
            <w:tcW w:w="1505" w:type="dxa"/>
            <w:vAlign w:val="center"/>
          </w:tcPr>
          <w:p w:rsidR="00DF658A" w:rsidRDefault="00CD12CC">
            <w:pPr>
              <w:jc w:val="right"/>
            </w:pPr>
            <w:r>
              <w:rPr>
                <w:color w:val="000000"/>
                <w:sz w:val="24"/>
              </w:rPr>
              <w:t>1,500,000</w:t>
            </w:r>
          </w:p>
        </w:tc>
        <w:tc>
          <w:tcPr>
            <w:tcW w:w="1737" w:type="dxa"/>
            <w:vAlign w:val="center"/>
          </w:tcPr>
          <w:p w:rsidR="00DF658A" w:rsidRDefault="00CD12CC">
            <w:pPr>
              <w:jc w:val="right"/>
            </w:pPr>
            <w:r>
              <w:rPr>
                <w:color w:val="000000"/>
                <w:sz w:val="24"/>
              </w:rPr>
              <w:t>92,400,000.00</w:t>
            </w:r>
          </w:p>
        </w:tc>
        <w:tc>
          <w:tcPr>
            <w:tcW w:w="1701" w:type="dxa"/>
            <w:vAlign w:val="center"/>
          </w:tcPr>
          <w:p w:rsidR="00DF658A" w:rsidRDefault="00CD12CC">
            <w:pPr>
              <w:jc w:val="right"/>
            </w:pPr>
            <w:r>
              <w:rPr>
                <w:color w:val="000000"/>
                <w:sz w:val="24"/>
              </w:rPr>
              <w:t>6.55</w:t>
            </w:r>
          </w:p>
        </w:tc>
      </w:tr>
      <w:tr w:rsidR="00DF658A">
        <w:tc>
          <w:tcPr>
            <w:tcW w:w="1320" w:type="dxa"/>
            <w:vAlign w:val="center"/>
          </w:tcPr>
          <w:p w:rsidR="00DF658A" w:rsidRDefault="00CD12CC">
            <w:pPr>
              <w:jc w:val="center"/>
            </w:pPr>
            <w:r>
              <w:rPr>
                <w:color w:val="000000"/>
                <w:sz w:val="24"/>
              </w:rPr>
              <w:t>3</w:t>
            </w:r>
          </w:p>
        </w:tc>
        <w:tc>
          <w:tcPr>
            <w:tcW w:w="1382" w:type="dxa"/>
            <w:vAlign w:val="center"/>
          </w:tcPr>
          <w:p w:rsidR="00DF658A" w:rsidRDefault="00CD12CC">
            <w:pPr>
              <w:jc w:val="center"/>
            </w:pPr>
            <w:r>
              <w:rPr>
                <w:color w:val="000000"/>
                <w:sz w:val="24"/>
              </w:rPr>
              <w:t>1480167</w:t>
            </w:r>
          </w:p>
        </w:tc>
        <w:tc>
          <w:tcPr>
            <w:tcW w:w="1353" w:type="dxa"/>
            <w:vAlign w:val="center"/>
          </w:tcPr>
          <w:p w:rsidR="00DF658A" w:rsidRDefault="00CD12CC">
            <w:pPr>
              <w:jc w:val="center"/>
            </w:pPr>
            <w:r>
              <w:rPr>
                <w:color w:val="000000"/>
                <w:sz w:val="24"/>
              </w:rPr>
              <w:t>14</w:t>
            </w:r>
            <w:r>
              <w:rPr>
                <w:color w:val="000000"/>
                <w:sz w:val="24"/>
              </w:rPr>
              <w:t>潭两型债</w:t>
            </w:r>
          </w:p>
        </w:tc>
        <w:tc>
          <w:tcPr>
            <w:tcW w:w="1505" w:type="dxa"/>
            <w:vAlign w:val="center"/>
          </w:tcPr>
          <w:p w:rsidR="00DF658A" w:rsidRDefault="00CD12CC">
            <w:pPr>
              <w:jc w:val="right"/>
            </w:pPr>
            <w:r>
              <w:rPr>
                <w:color w:val="000000"/>
                <w:sz w:val="24"/>
              </w:rPr>
              <w:t>1,000,000</w:t>
            </w:r>
          </w:p>
        </w:tc>
        <w:tc>
          <w:tcPr>
            <w:tcW w:w="1737" w:type="dxa"/>
            <w:vAlign w:val="center"/>
          </w:tcPr>
          <w:p w:rsidR="00DF658A" w:rsidRDefault="00CD12CC">
            <w:pPr>
              <w:jc w:val="right"/>
            </w:pPr>
            <w:r>
              <w:rPr>
                <w:color w:val="000000"/>
                <w:sz w:val="24"/>
              </w:rPr>
              <w:t>84,610,000.00</w:t>
            </w:r>
          </w:p>
        </w:tc>
        <w:tc>
          <w:tcPr>
            <w:tcW w:w="1701" w:type="dxa"/>
            <w:vAlign w:val="center"/>
          </w:tcPr>
          <w:p w:rsidR="00DF658A" w:rsidRDefault="00CD12CC">
            <w:pPr>
              <w:jc w:val="right"/>
            </w:pPr>
            <w:r>
              <w:rPr>
                <w:color w:val="000000"/>
                <w:sz w:val="24"/>
              </w:rPr>
              <w:t>6.00</w:t>
            </w:r>
          </w:p>
        </w:tc>
      </w:tr>
      <w:tr w:rsidR="00DF658A">
        <w:tc>
          <w:tcPr>
            <w:tcW w:w="1320" w:type="dxa"/>
            <w:vAlign w:val="center"/>
          </w:tcPr>
          <w:p w:rsidR="00DF658A" w:rsidRDefault="00CD12CC">
            <w:pPr>
              <w:jc w:val="center"/>
            </w:pPr>
            <w:r>
              <w:rPr>
                <w:color w:val="000000"/>
                <w:sz w:val="24"/>
              </w:rPr>
              <w:t>4</w:t>
            </w:r>
          </w:p>
        </w:tc>
        <w:tc>
          <w:tcPr>
            <w:tcW w:w="1382" w:type="dxa"/>
            <w:vAlign w:val="center"/>
          </w:tcPr>
          <w:p w:rsidR="00DF658A" w:rsidRDefault="00CD12CC">
            <w:pPr>
              <w:jc w:val="center"/>
            </w:pPr>
            <w:r>
              <w:rPr>
                <w:color w:val="000000"/>
                <w:sz w:val="24"/>
              </w:rPr>
              <w:t>1480274</w:t>
            </w:r>
          </w:p>
        </w:tc>
        <w:tc>
          <w:tcPr>
            <w:tcW w:w="1353" w:type="dxa"/>
            <w:vAlign w:val="center"/>
          </w:tcPr>
          <w:p w:rsidR="00DF658A" w:rsidRDefault="00CD12CC">
            <w:pPr>
              <w:jc w:val="center"/>
            </w:pPr>
            <w:r>
              <w:rPr>
                <w:color w:val="000000"/>
                <w:sz w:val="24"/>
              </w:rPr>
              <w:t>14</w:t>
            </w:r>
            <w:r>
              <w:rPr>
                <w:color w:val="000000"/>
                <w:sz w:val="24"/>
              </w:rPr>
              <w:t>西塞山债</w:t>
            </w:r>
          </w:p>
        </w:tc>
        <w:tc>
          <w:tcPr>
            <w:tcW w:w="1505" w:type="dxa"/>
            <w:vAlign w:val="center"/>
          </w:tcPr>
          <w:p w:rsidR="00DF658A" w:rsidRDefault="00CD12CC">
            <w:pPr>
              <w:jc w:val="right"/>
            </w:pPr>
            <w:r>
              <w:rPr>
                <w:color w:val="000000"/>
                <w:sz w:val="24"/>
              </w:rPr>
              <w:t>1,000,000</w:t>
            </w:r>
          </w:p>
        </w:tc>
        <w:tc>
          <w:tcPr>
            <w:tcW w:w="1737" w:type="dxa"/>
            <w:vAlign w:val="center"/>
          </w:tcPr>
          <w:p w:rsidR="00DF658A" w:rsidRDefault="00CD12CC">
            <w:pPr>
              <w:jc w:val="right"/>
            </w:pPr>
            <w:r>
              <w:rPr>
                <w:color w:val="000000"/>
                <w:sz w:val="24"/>
              </w:rPr>
              <w:t>84,180,000.00</w:t>
            </w:r>
          </w:p>
        </w:tc>
        <w:tc>
          <w:tcPr>
            <w:tcW w:w="1701" w:type="dxa"/>
            <w:vAlign w:val="center"/>
          </w:tcPr>
          <w:p w:rsidR="00DF658A" w:rsidRDefault="00CD12CC">
            <w:pPr>
              <w:jc w:val="right"/>
            </w:pPr>
            <w:r>
              <w:rPr>
                <w:color w:val="000000"/>
                <w:sz w:val="24"/>
              </w:rPr>
              <w:t>5.97</w:t>
            </w:r>
          </w:p>
        </w:tc>
      </w:tr>
      <w:tr w:rsidR="00DF658A">
        <w:tc>
          <w:tcPr>
            <w:tcW w:w="1320" w:type="dxa"/>
            <w:vAlign w:val="center"/>
          </w:tcPr>
          <w:p w:rsidR="00DF658A" w:rsidRDefault="00CD12CC">
            <w:pPr>
              <w:jc w:val="center"/>
            </w:pPr>
            <w:r>
              <w:rPr>
                <w:color w:val="000000"/>
                <w:sz w:val="24"/>
              </w:rPr>
              <w:t>5</w:t>
            </w:r>
          </w:p>
        </w:tc>
        <w:tc>
          <w:tcPr>
            <w:tcW w:w="1382" w:type="dxa"/>
            <w:vAlign w:val="center"/>
          </w:tcPr>
          <w:p w:rsidR="00DF658A" w:rsidRDefault="00CD12CC">
            <w:pPr>
              <w:jc w:val="center"/>
            </w:pPr>
            <w:r>
              <w:rPr>
                <w:color w:val="000000"/>
                <w:sz w:val="24"/>
              </w:rPr>
              <w:t>1480240</w:t>
            </w:r>
          </w:p>
        </w:tc>
        <w:tc>
          <w:tcPr>
            <w:tcW w:w="1353" w:type="dxa"/>
            <w:vAlign w:val="center"/>
          </w:tcPr>
          <w:p w:rsidR="00DF658A" w:rsidRDefault="00CD12CC">
            <w:pPr>
              <w:jc w:val="center"/>
            </w:pPr>
            <w:r>
              <w:rPr>
                <w:color w:val="000000"/>
                <w:sz w:val="24"/>
              </w:rPr>
              <w:t>14</w:t>
            </w:r>
            <w:r>
              <w:rPr>
                <w:color w:val="000000"/>
                <w:sz w:val="24"/>
              </w:rPr>
              <w:t>东台债</w:t>
            </w:r>
            <w:r>
              <w:rPr>
                <w:color w:val="000000"/>
                <w:sz w:val="24"/>
              </w:rPr>
              <w:t>02</w:t>
            </w:r>
          </w:p>
        </w:tc>
        <w:tc>
          <w:tcPr>
            <w:tcW w:w="1505" w:type="dxa"/>
            <w:vAlign w:val="center"/>
          </w:tcPr>
          <w:p w:rsidR="00DF658A" w:rsidRDefault="00CD12CC">
            <w:pPr>
              <w:jc w:val="right"/>
            </w:pPr>
            <w:r>
              <w:rPr>
                <w:color w:val="000000"/>
                <w:sz w:val="24"/>
              </w:rPr>
              <w:t>1,000,000</w:t>
            </w:r>
          </w:p>
        </w:tc>
        <w:tc>
          <w:tcPr>
            <w:tcW w:w="1737" w:type="dxa"/>
            <w:vAlign w:val="center"/>
          </w:tcPr>
          <w:p w:rsidR="00DF658A" w:rsidRDefault="00CD12CC">
            <w:pPr>
              <w:jc w:val="right"/>
            </w:pPr>
            <w:r>
              <w:rPr>
                <w:color w:val="000000"/>
                <w:sz w:val="24"/>
              </w:rPr>
              <w:t>84,170,000.00</w:t>
            </w:r>
          </w:p>
        </w:tc>
        <w:tc>
          <w:tcPr>
            <w:tcW w:w="1701" w:type="dxa"/>
            <w:vAlign w:val="center"/>
          </w:tcPr>
          <w:p w:rsidR="00DF658A" w:rsidRDefault="00CD12CC">
            <w:pPr>
              <w:jc w:val="right"/>
            </w:pPr>
            <w:r>
              <w:rPr>
                <w:color w:val="000000"/>
                <w:sz w:val="24"/>
              </w:rPr>
              <w:t>5.97</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5"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5"/>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6"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6"/>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E7237C" w:rsidRPr="008A1551" w:rsidRDefault="00E7237C" w:rsidP="003F4AC3">
      <w:pPr>
        <w:tabs>
          <w:tab w:val="left" w:pos="426"/>
        </w:tabs>
        <w:spacing w:before="29" w:line="288" w:lineRule="auto"/>
        <w:jc w:val="left"/>
        <w:rPr>
          <w:rFonts w:hint="eastAsia"/>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7"/>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8"/>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lastRenderedPageBreak/>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13,360,829.86</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13,360,829.86</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E7237C" w:rsidRPr="008A1551" w:rsidRDefault="00E7237C" w:rsidP="009E1EA4">
      <w:pPr>
        <w:tabs>
          <w:tab w:val="left" w:pos="426"/>
        </w:tabs>
        <w:spacing w:before="29" w:line="288" w:lineRule="auto"/>
        <w:jc w:val="left"/>
        <w:rPr>
          <w:rFonts w:hint="eastAsia"/>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r w:rsidRPr="008A1551">
        <w:rPr>
          <w:b/>
          <w:bCs/>
          <w:szCs w:val="24"/>
          <w:lang w:val="en-US"/>
        </w:rPr>
        <w:t xml:space="preserve">8  </w:t>
      </w:r>
      <w:r w:rsidRPr="008A1551">
        <w:rPr>
          <w:b/>
          <w:bCs/>
          <w:szCs w:val="24"/>
          <w:lang w:val="en-US"/>
        </w:rPr>
        <w:t>基金份额持有人信息</w:t>
      </w:r>
      <w:bookmarkEnd w:id="69"/>
      <w:bookmarkEnd w:id="70"/>
    </w:p>
    <w:p w:rsidR="001548F9" w:rsidRPr="008A1551" w:rsidRDefault="001548F9" w:rsidP="009E1EA4">
      <w:pPr>
        <w:pStyle w:val="20"/>
        <w:spacing w:before="29" w:after="0" w:line="288" w:lineRule="auto"/>
        <w:rPr>
          <w:rFonts w:ascii="Times New Roman" w:hAnsi="Times New Roman"/>
          <w:kern w:val="0"/>
          <w:szCs w:val="24"/>
        </w:rPr>
      </w:pPr>
      <w:bookmarkStart w:id="71" w:name="_Toc331410112"/>
      <w:bookmarkStart w:id="72"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1"/>
      <w:bookmarkEnd w:id="72"/>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交银裕兴</w:t>
            </w:r>
            <w:r w:rsidRPr="008A1551">
              <w:rPr>
                <w:bCs/>
                <w:sz w:val="24"/>
              </w:rPr>
              <w:lastRenderedPageBreak/>
              <w:t>纯债债券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164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8,568,272.9</w:t>
            </w:r>
            <w:r w:rsidRPr="008A1551">
              <w:rPr>
                <w:bCs/>
                <w:sz w:val="24"/>
              </w:rPr>
              <w:lastRenderedPageBreak/>
              <w:t>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1,405,134,17</w:t>
            </w:r>
            <w:r w:rsidRPr="008A1551">
              <w:rPr>
                <w:bCs/>
                <w:sz w:val="24"/>
              </w:rPr>
              <w:lastRenderedPageBreak/>
              <w:t>6.00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100.00</w:t>
            </w:r>
            <w:r w:rsidRPr="008A1551">
              <w:rPr>
                <w:bCs/>
                <w:sz w:val="24"/>
              </w:rPr>
              <w:lastRenderedPageBreak/>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62,583.49</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0.00%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交银裕兴纯债债券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30</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19.00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570.03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7,243,285.20</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1,405,134,176.00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63,153.52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0.00%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3"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3"/>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交银裕兴纯债债券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200.75</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交银裕兴纯债债券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260.02</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45.62%</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460.77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交银裕兴纯债债券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交银裕兴纯债债券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交银裕兴纯债债券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交银裕兴纯债债券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4" w:name="_Toc331410115"/>
      <w:bookmarkStart w:id="75" w:name="_Toc225500053"/>
      <w:r w:rsidRPr="008A1551">
        <w:rPr>
          <w:b/>
          <w:bCs/>
          <w:szCs w:val="24"/>
          <w:lang w:val="en-US"/>
        </w:rPr>
        <w:t>9</w:t>
      </w:r>
      <w:r w:rsidRPr="008A1551">
        <w:rPr>
          <w:b/>
          <w:bCs/>
          <w:szCs w:val="24"/>
          <w:lang w:val="en-US"/>
        </w:rPr>
        <w:t>开放式基金份额变动</w:t>
      </w:r>
      <w:bookmarkEnd w:id="74"/>
      <w:bookmarkEnd w:id="75"/>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交银裕兴纯债债券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交银裕兴纯债债券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2016</w:t>
            </w:r>
            <w:r w:rsidRPr="008A1551">
              <w:rPr>
                <w:sz w:val="24"/>
              </w:rPr>
              <w:t>年</w:t>
            </w:r>
            <w:r w:rsidRPr="008A1551">
              <w:rPr>
                <w:sz w:val="24"/>
              </w:rPr>
              <w:t>9</w:t>
            </w:r>
            <w:r w:rsidRPr="008A1551">
              <w:rPr>
                <w:sz w:val="24"/>
              </w:rPr>
              <w:t>月</w:t>
            </w:r>
            <w:r w:rsidRPr="008A1551">
              <w:rPr>
                <w:sz w:val="24"/>
              </w:rPr>
              <w:t>7</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200,094,920.52</w:t>
            </w:r>
          </w:p>
        </w:tc>
        <w:tc>
          <w:tcPr>
            <w:tcW w:w="1615" w:type="pct"/>
            <w:vAlign w:val="center"/>
          </w:tcPr>
          <w:p w:rsidR="001548F9" w:rsidRPr="008A1551" w:rsidRDefault="001548F9" w:rsidP="009E1EA4">
            <w:pPr>
              <w:spacing w:before="29" w:line="288" w:lineRule="auto"/>
              <w:jc w:val="right"/>
              <w:rPr>
                <w:sz w:val="24"/>
              </w:rPr>
            </w:pPr>
            <w:r w:rsidRPr="008A1551">
              <w:rPr>
                <w:sz w:val="24"/>
              </w:rPr>
              <w:t>2,500.32</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599,309,651.25</w:t>
            </w:r>
          </w:p>
        </w:tc>
        <w:tc>
          <w:tcPr>
            <w:tcW w:w="1615" w:type="pct"/>
            <w:vAlign w:val="center"/>
          </w:tcPr>
          <w:p w:rsidR="001548F9" w:rsidRPr="008A1551" w:rsidRDefault="001548F9" w:rsidP="009E1EA4">
            <w:pPr>
              <w:spacing w:before="29" w:line="288" w:lineRule="auto"/>
              <w:jc w:val="right"/>
              <w:rPr>
                <w:sz w:val="24"/>
              </w:rPr>
            </w:pPr>
            <w:r w:rsidRPr="008A1551">
              <w:rPr>
                <w:sz w:val="24"/>
              </w:rPr>
              <w:t>1,760.22</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lastRenderedPageBreak/>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1,210,905,934.74</w:t>
            </w:r>
          </w:p>
        </w:tc>
        <w:tc>
          <w:tcPr>
            <w:tcW w:w="1615" w:type="pct"/>
            <w:vAlign w:val="center"/>
          </w:tcPr>
          <w:p w:rsidR="001548F9" w:rsidRPr="008A1551" w:rsidRDefault="001548F9" w:rsidP="009E1EA4">
            <w:pPr>
              <w:spacing w:before="29" w:line="288" w:lineRule="auto"/>
              <w:jc w:val="right"/>
              <w:rPr>
                <w:sz w:val="24"/>
              </w:rPr>
            </w:pPr>
            <w:r w:rsidRPr="008A1551">
              <w:rPr>
                <w:sz w:val="24"/>
              </w:rPr>
              <w:t>1,117.37</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405,018,826.50</w:t>
            </w:r>
          </w:p>
        </w:tc>
        <w:tc>
          <w:tcPr>
            <w:tcW w:w="1615" w:type="pct"/>
            <w:vAlign w:val="center"/>
          </w:tcPr>
          <w:p w:rsidR="001548F9" w:rsidRPr="008A1551" w:rsidRDefault="001548F9" w:rsidP="009E1EA4">
            <w:pPr>
              <w:spacing w:before="29" w:line="288" w:lineRule="auto"/>
              <w:jc w:val="right"/>
              <w:rPr>
                <w:sz w:val="24"/>
              </w:rPr>
            </w:pPr>
            <w:r w:rsidRPr="008A1551">
              <w:rPr>
                <w:sz w:val="24"/>
              </w:rPr>
              <w:t>2,307.56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1,405,196,759.49</w:t>
            </w:r>
          </w:p>
        </w:tc>
        <w:tc>
          <w:tcPr>
            <w:tcW w:w="1615" w:type="pct"/>
            <w:vAlign w:val="center"/>
          </w:tcPr>
          <w:p w:rsidR="001548F9" w:rsidRPr="008A1551" w:rsidRDefault="001548F9" w:rsidP="009E1EA4">
            <w:pPr>
              <w:spacing w:before="29" w:line="288" w:lineRule="auto"/>
              <w:jc w:val="right"/>
              <w:rPr>
                <w:sz w:val="24"/>
              </w:rPr>
            </w:pPr>
            <w:r w:rsidRPr="008A1551">
              <w:rPr>
                <w:sz w:val="24"/>
              </w:rPr>
              <w:t>570.03</w:t>
            </w:r>
          </w:p>
        </w:tc>
      </w:tr>
    </w:tbl>
    <w:p w:rsidR="00DF658A" w:rsidRDefault="00CD12C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6" w:name="_Toc331410116"/>
      <w:bookmarkStart w:id="77" w:name="_Toc225500054"/>
      <w:r w:rsidRPr="008A1551">
        <w:rPr>
          <w:b/>
          <w:bCs/>
          <w:szCs w:val="24"/>
          <w:lang w:val="en-US"/>
        </w:rPr>
        <w:t xml:space="preserve">10  </w:t>
      </w:r>
      <w:r w:rsidRPr="008A1551">
        <w:rPr>
          <w:b/>
          <w:bCs/>
          <w:szCs w:val="24"/>
          <w:lang w:val="en-US"/>
        </w:rPr>
        <w:t>重大事件揭示</w:t>
      </w:r>
      <w:bookmarkEnd w:id="76"/>
      <w:bookmarkEnd w:id="77"/>
    </w:p>
    <w:p w:rsidR="001548F9" w:rsidRPr="008A1551" w:rsidRDefault="001548F9" w:rsidP="009E1EA4">
      <w:pPr>
        <w:pStyle w:val="20"/>
        <w:spacing w:before="29" w:after="0" w:line="288" w:lineRule="auto"/>
        <w:rPr>
          <w:rFonts w:ascii="Times New Roman" w:hAnsi="Times New Roman"/>
          <w:kern w:val="0"/>
          <w:szCs w:val="24"/>
        </w:rPr>
      </w:pPr>
      <w:bookmarkStart w:id="78"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8"/>
    </w:p>
    <w:p w:rsidR="001548F9" w:rsidRPr="008A1551" w:rsidRDefault="001548F9" w:rsidP="009E1EA4">
      <w:pPr>
        <w:spacing w:before="29" w:line="288" w:lineRule="auto"/>
        <w:ind w:firstLineChars="200" w:firstLine="480"/>
        <w:rPr>
          <w:color w:val="000000"/>
          <w:sz w:val="24"/>
        </w:rPr>
      </w:pPr>
      <w:bookmarkStart w:id="79"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79"/>
    </w:p>
    <w:p w:rsidR="00DF658A" w:rsidRDefault="00CD12C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0"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0"/>
    </w:p>
    <w:p w:rsidR="001548F9" w:rsidRPr="008A1551" w:rsidRDefault="001548F9" w:rsidP="009E1EA4">
      <w:pPr>
        <w:spacing w:before="29" w:line="288" w:lineRule="auto"/>
        <w:ind w:firstLineChars="200" w:firstLine="480"/>
        <w:rPr>
          <w:color w:val="000000"/>
          <w:sz w:val="24"/>
        </w:rPr>
      </w:pPr>
      <w:bookmarkStart w:id="81"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1"/>
    </w:p>
    <w:p w:rsidR="001548F9" w:rsidRPr="008A1551" w:rsidRDefault="001548F9" w:rsidP="009E1EA4">
      <w:pPr>
        <w:spacing w:before="29" w:line="288" w:lineRule="auto"/>
        <w:ind w:firstLineChars="200" w:firstLine="480"/>
        <w:rPr>
          <w:color w:val="000000"/>
          <w:sz w:val="24"/>
        </w:rPr>
      </w:pPr>
      <w:bookmarkStart w:id="82"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2"/>
    </w:p>
    <w:p w:rsidR="001548F9" w:rsidRPr="008A1551" w:rsidRDefault="001548F9" w:rsidP="009E1EA4">
      <w:pPr>
        <w:spacing w:before="29" w:line="288" w:lineRule="auto"/>
        <w:ind w:firstLineChars="200" w:firstLine="480"/>
        <w:rPr>
          <w:color w:val="000000"/>
          <w:sz w:val="24"/>
        </w:rPr>
      </w:pPr>
      <w:bookmarkStart w:id="83" w:name="OLE_LINK3"/>
      <w:bookmarkStart w:id="84" w:name="_Toc331410122"/>
      <w:r w:rsidRPr="008A1551">
        <w:rPr>
          <w:color w:val="000000"/>
          <w:sz w:val="24"/>
        </w:rPr>
        <w:t>本基金自基金合同生效日起聘请普华永道中天会计师事务所</w:t>
      </w:r>
      <w:r w:rsidRPr="008A1551">
        <w:rPr>
          <w:color w:val="000000"/>
          <w:sz w:val="24"/>
        </w:rPr>
        <w:t>(</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3"/>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4"/>
      <w:r w:rsidR="001E4C17" w:rsidRPr="008A1551">
        <w:rPr>
          <w:rFonts w:ascii="Times New Roman" w:hAnsi="Times New Roman"/>
          <w:szCs w:val="24"/>
        </w:rPr>
        <w:t>管理人、托管人及其高级管理人员受稽查或处罚等情况</w:t>
      </w:r>
    </w:p>
    <w:p w:rsidR="00DF658A" w:rsidRDefault="00CD12CC">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F658A" w:rsidRDefault="00CD12CC">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F658A" w:rsidRDefault="00CD12CC">
      <w:pPr>
        <w:spacing w:before="29" w:line="288" w:lineRule="auto"/>
        <w:ind w:firstLineChars="200" w:firstLine="480"/>
        <w:rPr>
          <w:color w:val="000000"/>
          <w:sz w:val="24"/>
        </w:rPr>
      </w:pPr>
      <w:r>
        <w:rPr>
          <w:color w:val="000000"/>
          <w:sz w:val="24"/>
        </w:rPr>
        <w:lastRenderedPageBreak/>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5"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5"/>
    </w:p>
    <w:p w:rsidR="001548F9" w:rsidRPr="008A1551" w:rsidRDefault="001548F9" w:rsidP="009E1EA4">
      <w:pPr>
        <w:spacing w:before="29" w:line="288" w:lineRule="auto"/>
        <w:rPr>
          <w:b/>
          <w:sz w:val="24"/>
        </w:rPr>
      </w:pPr>
      <w:bookmarkStart w:id="86" w:name="_Toc249760070"/>
      <w:r w:rsidRPr="008A1551">
        <w:rPr>
          <w:b/>
          <w:sz w:val="24"/>
        </w:rPr>
        <w:t xml:space="preserve">10.7.1 </w:t>
      </w:r>
      <w:r w:rsidRPr="008A1551">
        <w:rPr>
          <w:b/>
          <w:sz w:val="24"/>
        </w:rPr>
        <w:t>基金租用证券公司交易单元进行股票投资及佣金支付情况</w:t>
      </w:r>
      <w:bookmarkEnd w:id="86"/>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7"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DF658A">
        <w:tc>
          <w:tcPr>
            <w:tcW w:w="1559" w:type="dxa"/>
            <w:vAlign w:val="center"/>
          </w:tcPr>
          <w:p w:rsidR="00DF658A" w:rsidRDefault="00CD12CC">
            <w:pPr>
              <w:jc w:val="center"/>
            </w:pPr>
            <w:r>
              <w:rPr>
                <w:color w:val="000000"/>
                <w:sz w:val="24"/>
              </w:rPr>
              <w:t>长江证券股份有限公司</w:t>
            </w:r>
          </w:p>
        </w:tc>
        <w:tc>
          <w:tcPr>
            <w:tcW w:w="779" w:type="dxa"/>
            <w:vAlign w:val="center"/>
          </w:tcPr>
          <w:p w:rsidR="00DF658A" w:rsidRDefault="00CD12CC">
            <w:pPr>
              <w:jc w:val="center"/>
            </w:pPr>
            <w:r>
              <w:rPr>
                <w:color w:val="000000"/>
                <w:sz w:val="24"/>
              </w:rPr>
              <w:t>2</w:t>
            </w:r>
          </w:p>
        </w:tc>
        <w:tc>
          <w:tcPr>
            <w:tcW w:w="1800" w:type="dxa"/>
            <w:vAlign w:val="center"/>
          </w:tcPr>
          <w:p w:rsidR="00DF658A" w:rsidRDefault="00CD12CC">
            <w:pPr>
              <w:jc w:val="right"/>
            </w:pPr>
            <w:r>
              <w:rPr>
                <w:color w:val="000000"/>
                <w:sz w:val="24"/>
              </w:rPr>
              <w:t>-</w:t>
            </w:r>
          </w:p>
        </w:tc>
        <w:tc>
          <w:tcPr>
            <w:tcW w:w="1080" w:type="dxa"/>
            <w:vAlign w:val="center"/>
          </w:tcPr>
          <w:p w:rsidR="00DF658A" w:rsidRDefault="00CD12CC">
            <w:pPr>
              <w:jc w:val="right"/>
            </w:pPr>
            <w:r>
              <w:rPr>
                <w:color w:val="000000"/>
                <w:sz w:val="24"/>
              </w:rPr>
              <w:t>-</w:t>
            </w:r>
          </w:p>
        </w:tc>
        <w:tc>
          <w:tcPr>
            <w:tcW w:w="1620" w:type="dxa"/>
            <w:vAlign w:val="center"/>
          </w:tcPr>
          <w:p w:rsidR="00DF658A" w:rsidRDefault="00CD12CC">
            <w:pPr>
              <w:jc w:val="right"/>
            </w:pPr>
            <w:r>
              <w:rPr>
                <w:color w:val="000000"/>
                <w:sz w:val="24"/>
              </w:rPr>
              <w:t>-</w:t>
            </w:r>
          </w:p>
        </w:tc>
        <w:tc>
          <w:tcPr>
            <w:tcW w:w="1080" w:type="dxa"/>
            <w:vAlign w:val="center"/>
          </w:tcPr>
          <w:p w:rsidR="00DF658A" w:rsidRDefault="00CD12CC">
            <w:pPr>
              <w:jc w:val="right"/>
            </w:pPr>
            <w:r>
              <w:rPr>
                <w:color w:val="000000"/>
                <w:sz w:val="24"/>
              </w:rPr>
              <w:t>-</w:t>
            </w:r>
          </w:p>
        </w:tc>
        <w:tc>
          <w:tcPr>
            <w:tcW w:w="1080" w:type="dxa"/>
            <w:vAlign w:val="center"/>
          </w:tcPr>
          <w:p w:rsidR="00DF658A" w:rsidRDefault="00CD12CC">
            <w:pPr>
              <w:jc w:val="left"/>
            </w:pPr>
            <w:r>
              <w:rPr>
                <w:color w:val="000000"/>
                <w:sz w:val="24"/>
              </w:rPr>
              <w:t>-</w:t>
            </w:r>
          </w:p>
        </w:tc>
      </w:tr>
    </w:tbl>
    <w:p w:rsidR="00DF658A" w:rsidRDefault="00CD12C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F658A" w:rsidRDefault="00CD12CC" w:rsidP="00E7237C">
      <w:pPr>
        <w:tabs>
          <w:tab w:val="left" w:pos="426"/>
        </w:tabs>
        <w:spacing w:before="29" w:line="288" w:lineRule="auto"/>
        <w:ind w:firstLineChars="200" w:firstLine="480"/>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E7237C">
      <w:pPr>
        <w:tabs>
          <w:tab w:val="left" w:pos="426"/>
        </w:tabs>
        <w:spacing w:before="29" w:line="288" w:lineRule="auto"/>
        <w:ind w:firstLineChars="200" w:firstLine="480"/>
        <w:jc w:val="left"/>
        <w:rPr>
          <w:kern w:val="0"/>
          <w:sz w:val="24"/>
        </w:rPr>
      </w:pPr>
      <w:r w:rsidRPr="008A1551">
        <w:rPr>
          <w:kern w:val="0"/>
          <w:sz w:val="24"/>
        </w:rPr>
        <w:t>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7"/>
    </w:p>
    <w:p w:rsidR="001548F9" w:rsidRPr="008A1551" w:rsidRDefault="001548F9" w:rsidP="009E1EA4">
      <w:pPr>
        <w:tabs>
          <w:tab w:val="left" w:pos="426"/>
        </w:tabs>
        <w:spacing w:before="29" w:line="288" w:lineRule="auto"/>
        <w:jc w:val="left"/>
        <w:rPr>
          <w:kern w:val="0"/>
          <w:sz w:val="24"/>
        </w:rPr>
      </w:pPr>
      <w:r w:rsidRPr="008A1551">
        <w:rPr>
          <w:kern w:val="0"/>
          <w:sz w:val="24"/>
        </w:rPr>
        <w:t>无。</w:t>
      </w:r>
    </w:p>
    <w:p w:rsidR="00DA3AB8" w:rsidRPr="00E7237C" w:rsidRDefault="00DA3AB8" w:rsidP="00ED740D">
      <w:pPr>
        <w:pStyle w:val="1"/>
        <w:keepNext/>
        <w:keepLines/>
        <w:widowControl w:val="0"/>
        <w:spacing w:beforeLines="100" w:before="312" w:afterLines="100" w:after="312" w:line="360" w:lineRule="auto"/>
        <w:jc w:val="center"/>
        <w:rPr>
          <w:rFonts w:eastAsiaTheme="minorEastAsia"/>
          <w:b/>
          <w:bCs/>
          <w:szCs w:val="24"/>
          <w:lang w:val="en-US"/>
        </w:rPr>
      </w:pPr>
      <w:bookmarkStart w:id="88" w:name="_Toc361324902"/>
      <w:bookmarkStart w:id="89" w:name="_GoBack"/>
      <w:r w:rsidRPr="00E7237C">
        <w:rPr>
          <w:rFonts w:eastAsiaTheme="minorEastAsia"/>
          <w:b/>
          <w:bCs/>
          <w:szCs w:val="24"/>
          <w:lang w:val="en-US"/>
        </w:rPr>
        <w:t xml:space="preserve">11  </w:t>
      </w:r>
      <w:r w:rsidRPr="00E7237C">
        <w:rPr>
          <w:rFonts w:eastAsiaTheme="minorEastAsia"/>
          <w:b/>
          <w:bCs/>
          <w:szCs w:val="24"/>
          <w:lang w:val="en-US"/>
        </w:rPr>
        <w:t>影响投资者决策的其他重要信息</w:t>
      </w:r>
      <w:bookmarkEnd w:id="88"/>
    </w:p>
    <w:p w:rsidR="00DA3AB8" w:rsidRPr="00E7237C" w:rsidRDefault="00DA3AB8" w:rsidP="00DA3AB8">
      <w:pPr>
        <w:autoSpaceDE w:val="0"/>
        <w:autoSpaceDN w:val="0"/>
        <w:adjustRightInd w:val="0"/>
        <w:spacing w:line="360" w:lineRule="auto"/>
        <w:jc w:val="left"/>
        <w:rPr>
          <w:b/>
          <w:bCs/>
          <w:color w:val="000000"/>
          <w:kern w:val="0"/>
          <w:sz w:val="24"/>
        </w:rPr>
      </w:pPr>
      <w:r w:rsidRPr="00E7237C">
        <w:rPr>
          <w:b/>
          <w:bCs/>
          <w:color w:val="000000"/>
          <w:kern w:val="0"/>
          <w:sz w:val="24"/>
        </w:rPr>
        <w:t xml:space="preserve">11.1 </w:t>
      </w:r>
      <w:r w:rsidRPr="00E7237C">
        <w:rPr>
          <w:b/>
          <w:bCs/>
          <w:color w:val="000000"/>
          <w:kern w:val="0"/>
          <w:sz w:val="24"/>
        </w:rPr>
        <w:t>报告期内单一投资者持有基金份额比例达到或超过</w:t>
      </w:r>
      <w:r w:rsidRPr="00E7237C">
        <w:rPr>
          <w:b/>
          <w:bCs/>
          <w:color w:val="000000"/>
          <w:kern w:val="0"/>
          <w:sz w:val="24"/>
        </w:rPr>
        <w:t>20%</w:t>
      </w:r>
      <w:r w:rsidRPr="00E7237C">
        <w:rPr>
          <w:b/>
          <w:bCs/>
          <w:color w:val="000000"/>
          <w:kern w:val="0"/>
          <w:sz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E7237C" w:rsidTr="002F6177">
        <w:tc>
          <w:tcPr>
            <w:tcW w:w="993" w:type="dxa"/>
            <w:vMerge w:val="restart"/>
            <w:vAlign w:val="center"/>
          </w:tcPr>
          <w:p w:rsidR="00DA3AB8" w:rsidRPr="00E7237C" w:rsidRDefault="00DA3AB8" w:rsidP="002F6177">
            <w:pPr>
              <w:autoSpaceDE w:val="0"/>
              <w:autoSpaceDN w:val="0"/>
              <w:adjustRightInd w:val="0"/>
              <w:jc w:val="center"/>
              <w:rPr>
                <w:b/>
                <w:bCs/>
                <w:color w:val="000000"/>
                <w:kern w:val="0"/>
                <w:sz w:val="24"/>
              </w:rPr>
            </w:pPr>
            <w:r w:rsidRPr="00E7237C">
              <w:rPr>
                <w:color w:val="000000"/>
                <w:kern w:val="0"/>
                <w:sz w:val="24"/>
              </w:rPr>
              <w:t>投资者类别</w:t>
            </w:r>
            <w:r w:rsidRPr="00E7237C">
              <w:rPr>
                <w:color w:val="000000"/>
                <w:kern w:val="0"/>
                <w:sz w:val="24"/>
              </w:rPr>
              <w:t xml:space="preserve">  </w:t>
            </w:r>
          </w:p>
        </w:tc>
        <w:tc>
          <w:tcPr>
            <w:tcW w:w="5670" w:type="dxa"/>
            <w:gridSpan w:val="5"/>
            <w:vAlign w:val="center"/>
          </w:tcPr>
          <w:p w:rsidR="00DA3AB8" w:rsidRPr="00E7237C" w:rsidRDefault="00DA3AB8" w:rsidP="002F6177">
            <w:pPr>
              <w:autoSpaceDE w:val="0"/>
              <w:autoSpaceDN w:val="0"/>
              <w:adjustRightInd w:val="0"/>
              <w:jc w:val="center"/>
              <w:rPr>
                <w:b/>
                <w:bCs/>
                <w:color w:val="000000"/>
                <w:kern w:val="0"/>
                <w:sz w:val="24"/>
              </w:rPr>
            </w:pPr>
            <w:r w:rsidRPr="00E7237C">
              <w:rPr>
                <w:color w:val="000000"/>
                <w:kern w:val="0"/>
                <w:sz w:val="24"/>
              </w:rPr>
              <w:t>报告期内持有基金份额变化情况</w:t>
            </w:r>
          </w:p>
        </w:tc>
        <w:tc>
          <w:tcPr>
            <w:tcW w:w="2549" w:type="dxa"/>
            <w:gridSpan w:val="2"/>
            <w:vAlign w:val="center"/>
          </w:tcPr>
          <w:p w:rsidR="00DA3AB8" w:rsidRPr="00E7237C" w:rsidRDefault="00DA3AB8" w:rsidP="002F6177">
            <w:pPr>
              <w:autoSpaceDE w:val="0"/>
              <w:autoSpaceDN w:val="0"/>
              <w:adjustRightInd w:val="0"/>
              <w:jc w:val="center"/>
              <w:rPr>
                <w:b/>
                <w:bCs/>
                <w:color w:val="000000"/>
                <w:kern w:val="0"/>
                <w:sz w:val="24"/>
              </w:rPr>
            </w:pPr>
            <w:r w:rsidRPr="00E7237C">
              <w:rPr>
                <w:color w:val="000000"/>
                <w:kern w:val="0"/>
                <w:sz w:val="24"/>
              </w:rPr>
              <w:t>报告期末持有基金情况</w:t>
            </w:r>
          </w:p>
        </w:tc>
      </w:tr>
      <w:tr w:rsidR="00DA3AB8" w:rsidRPr="00E7237C" w:rsidTr="002F6177">
        <w:tc>
          <w:tcPr>
            <w:tcW w:w="993" w:type="dxa"/>
            <w:vMerge/>
            <w:vAlign w:val="center"/>
          </w:tcPr>
          <w:p w:rsidR="00DA3AB8" w:rsidRPr="00E7237C" w:rsidRDefault="00DA3AB8" w:rsidP="002F6177">
            <w:pPr>
              <w:autoSpaceDE w:val="0"/>
              <w:autoSpaceDN w:val="0"/>
              <w:adjustRightInd w:val="0"/>
              <w:jc w:val="center"/>
              <w:rPr>
                <w:b/>
                <w:bCs/>
                <w:color w:val="000000"/>
                <w:kern w:val="0"/>
                <w:sz w:val="24"/>
              </w:rPr>
            </w:pPr>
          </w:p>
        </w:tc>
        <w:tc>
          <w:tcPr>
            <w:tcW w:w="992" w:type="dxa"/>
            <w:vAlign w:val="center"/>
          </w:tcPr>
          <w:p w:rsidR="00DA3AB8" w:rsidRPr="00E7237C" w:rsidRDefault="00DA3AB8" w:rsidP="002F6177">
            <w:pPr>
              <w:autoSpaceDE w:val="0"/>
              <w:autoSpaceDN w:val="0"/>
              <w:adjustRightInd w:val="0"/>
              <w:jc w:val="center"/>
              <w:rPr>
                <w:b/>
                <w:bCs/>
                <w:color w:val="000000"/>
                <w:kern w:val="0"/>
                <w:sz w:val="24"/>
              </w:rPr>
            </w:pPr>
            <w:r w:rsidRPr="00E7237C">
              <w:rPr>
                <w:color w:val="000000"/>
                <w:kern w:val="0"/>
                <w:sz w:val="24"/>
              </w:rPr>
              <w:t>序号</w:t>
            </w:r>
          </w:p>
        </w:tc>
        <w:tc>
          <w:tcPr>
            <w:tcW w:w="1843" w:type="dxa"/>
            <w:vAlign w:val="center"/>
          </w:tcPr>
          <w:p w:rsidR="00DA3AB8" w:rsidRPr="00E7237C" w:rsidRDefault="00DA3AB8" w:rsidP="002F6177">
            <w:pPr>
              <w:autoSpaceDE w:val="0"/>
              <w:autoSpaceDN w:val="0"/>
              <w:adjustRightInd w:val="0"/>
              <w:jc w:val="center"/>
              <w:rPr>
                <w:b/>
                <w:bCs/>
                <w:color w:val="000000"/>
                <w:kern w:val="0"/>
                <w:sz w:val="24"/>
              </w:rPr>
            </w:pPr>
            <w:r w:rsidRPr="00E7237C">
              <w:rPr>
                <w:color w:val="000000"/>
                <w:kern w:val="0"/>
                <w:sz w:val="24"/>
              </w:rPr>
              <w:t>持有基金份额比例达到或者超过</w:t>
            </w:r>
            <w:r w:rsidRPr="00E7237C">
              <w:rPr>
                <w:color w:val="000000"/>
                <w:kern w:val="0"/>
                <w:sz w:val="24"/>
              </w:rPr>
              <w:t>20%</w:t>
            </w:r>
            <w:r w:rsidRPr="00E7237C">
              <w:rPr>
                <w:color w:val="000000"/>
                <w:kern w:val="0"/>
                <w:sz w:val="24"/>
              </w:rPr>
              <w:t>的时间区间</w:t>
            </w:r>
          </w:p>
        </w:tc>
        <w:tc>
          <w:tcPr>
            <w:tcW w:w="851" w:type="dxa"/>
            <w:vAlign w:val="center"/>
          </w:tcPr>
          <w:p w:rsidR="00DA3AB8" w:rsidRPr="00E7237C" w:rsidRDefault="00DA3AB8" w:rsidP="002F6177">
            <w:pPr>
              <w:widowControl/>
              <w:jc w:val="center"/>
              <w:rPr>
                <w:b/>
                <w:bCs/>
                <w:color w:val="000000"/>
                <w:kern w:val="0"/>
                <w:sz w:val="24"/>
              </w:rPr>
            </w:pPr>
            <w:r w:rsidRPr="00E7237C">
              <w:rPr>
                <w:color w:val="000000"/>
                <w:kern w:val="0"/>
                <w:sz w:val="24"/>
              </w:rPr>
              <w:t>期初份额</w:t>
            </w:r>
          </w:p>
        </w:tc>
        <w:tc>
          <w:tcPr>
            <w:tcW w:w="850" w:type="dxa"/>
            <w:vAlign w:val="center"/>
          </w:tcPr>
          <w:p w:rsidR="00DA3AB8" w:rsidRPr="00E7237C" w:rsidRDefault="00DA3AB8" w:rsidP="002F6177">
            <w:pPr>
              <w:widowControl/>
              <w:jc w:val="center"/>
              <w:rPr>
                <w:b/>
                <w:bCs/>
                <w:color w:val="000000"/>
                <w:kern w:val="0"/>
                <w:sz w:val="24"/>
              </w:rPr>
            </w:pPr>
            <w:r w:rsidRPr="00E7237C">
              <w:rPr>
                <w:color w:val="000000"/>
                <w:kern w:val="0"/>
                <w:sz w:val="24"/>
              </w:rPr>
              <w:t>申购份额</w:t>
            </w:r>
          </w:p>
        </w:tc>
        <w:tc>
          <w:tcPr>
            <w:tcW w:w="1134" w:type="dxa"/>
            <w:vAlign w:val="center"/>
          </w:tcPr>
          <w:p w:rsidR="00DA3AB8" w:rsidRPr="00E7237C" w:rsidRDefault="00DA3AB8" w:rsidP="002F6177">
            <w:pPr>
              <w:widowControl/>
              <w:jc w:val="center"/>
              <w:rPr>
                <w:b/>
                <w:bCs/>
                <w:color w:val="000000"/>
                <w:kern w:val="0"/>
                <w:sz w:val="24"/>
              </w:rPr>
            </w:pPr>
            <w:r w:rsidRPr="00E7237C">
              <w:rPr>
                <w:color w:val="000000"/>
                <w:kern w:val="0"/>
                <w:sz w:val="24"/>
              </w:rPr>
              <w:t>赎回份额</w:t>
            </w:r>
          </w:p>
        </w:tc>
        <w:tc>
          <w:tcPr>
            <w:tcW w:w="1419" w:type="dxa"/>
            <w:vAlign w:val="center"/>
          </w:tcPr>
          <w:p w:rsidR="00DA3AB8" w:rsidRPr="00E7237C" w:rsidRDefault="00DA3AB8" w:rsidP="002F6177">
            <w:pPr>
              <w:autoSpaceDE w:val="0"/>
              <w:autoSpaceDN w:val="0"/>
              <w:adjustRightInd w:val="0"/>
              <w:jc w:val="center"/>
              <w:rPr>
                <w:b/>
                <w:bCs/>
                <w:color w:val="000000"/>
                <w:kern w:val="0"/>
                <w:sz w:val="24"/>
              </w:rPr>
            </w:pPr>
            <w:r w:rsidRPr="00E7237C">
              <w:rPr>
                <w:color w:val="000000"/>
                <w:kern w:val="0"/>
                <w:sz w:val="24"/>
              </w:rPr>
              <w:t>持有份额</w:t>
            </w:r>
          </w:p>
        </w:tc>
        <w:tc>
          <w:tcPr>
            <w:tcW w:w="1130" w:type="dxa"/>
            <w:vAlign w:val="center"/>
          </w:tcPr>
          <w:p w:rsidR="00DA3AB8" w:rsidRPr="00E7237C" w:rsidRDefault="00DA3AB8" w:rsidP="002F6177">
            <w:pPr>
              <w:autoSpaceDE w:val="0"/>
              <w:autoSpaceDN w:val="0"/>
              <w:adjustRightInd w:val="0"/>
              <w:jc w:val="center"/>
              <w:rPr>
                <w:b/>
                <w:bCs/>
                <w:color w:val="000000"/>
                <w:kern w:val="0"/>
                <w:sz w:val="24"/>
              </w:rPr>
            </w:pPr>
            <w:r w:rsidRPr="00E7237C">
              <w:rPr>
                <w:color w:val="000000"/>
                <w:kern w:val="0"/>
                <w:sz w:val="24"/>
              </w:rPr>
              <w:t>份额占比</w:t>
            </w:r>
          </w:p>
        </w:tc>
      </w:tr>
      <w:tr w:rsidR="00DF658A" w:rsidRPr="00E7237C">
        <w:tc>
          <w:tcPr>
            <w:tcW w:w="993" w:type="dxa"/>
            <w:vMerge w:val="restart"/>
          </w:tcPr>
          <w:p w:rsidR="00DF658A" w:rsidRPr="00E7237C" w:rsidRDefault="00DF658A">
            <w:pPr>
              <w:rPr>
                <w:sz w:val="24"/>
              </w:rPr>
            </w:pPr>
          </w:p>
          <w:p w:rsidR="00DF658A" w:rsidRPr="00E7237C" w:rsidRDefault="00CD12CC">
            <w:pPr>
              <w:rPr>
                <w:sz w:val="24"/>
              </w:rPr>
            </w:pPr>
            <w:r w:rsidRPr="00E7237C">
              <w:rPr>
                <w:bCs/>
                <w:color w:val="000000"/>
                <w:kern w:val="0"/>
                <w:sz w:val="24"/>
              </w:rPr>
              <w:t>机构</w:t>
            </w:r>
          </w:p>
        </w:tc>
        <w:tc>
          <w:tcPr>
            <w:tcW w:w="992" w:type="dxa"/>
            <w:vAlign w:val="center"/>
          </w:tcPr>
          <w:p w:rsidR="00DF658A" w:rsidRPr="00E7237C" w:rsidRDefault="00CD12CC">
            <w:pPr>
              <w:jc w:val="center"/>
              <w:rPr>
                <w:sz w:val="24"/>
              </w:rPr>
            </w:pPr>
            <w:r w:rsidRPr="00E7237C">
              <w:rPr>
                <w:color w:val="000000"/>
                <w:kern w:val="0"/>
                <w:sz w:val="24"/>
              </w:rPr>
              <w:t>1</w:t>
            </w:r>
          </w:p>
        </w:tc>
        <w:tc>
          <w:tcPr>
            <w:tcW w:w="1843" w:type="dxa"/>
            <w:vAlign w:val="center"/>
          </w:tcPr>
          <w:p w:rsidR="00DF658A" w:rsidRPr="00E7237C" w:rsidRDefault="00CD12CC">
            <w:pPr>
              <w:jc w:val="center"/>
              <w:rPr>
                <w:sz w:val="24"/>
              </w:rPr>
            </w:pPr>
            <w:r w:rsidRPr="00E7237C">
              <w:rPr>
                <w:color w:val="000000"/>
                <w:kern w:val="0"/>
                <w:sz w:val="24"/>
              </w:rPr>
              <w:t>2017/1/1-2017/6/30</w:t>
            </w:r>
          </w:p>
        </w:tc>
        <w:tc>
          <w:tcPr>
            <w:tcW w:w="851" w:type="dxa"/>
            <w:vAlign w:val="center"/>
          </w:tcPr>
          <w:p w:rsidR="00DF658A" w:rsidRPr="00E7237C" w:rsidRDefault="00CD12CC">
            <w:pPr>
              <w:jc w:val="center"/>
              <w:rPr>
                <w:sz w:val="24"/>
              </w:rPr>
            </w:pPr>
            <w:r w:rsidRPr="00E7237C">
              <w:rPr>
                <w:color w:val="000000"/>
                <w:kern w:val="0"/>
                <w:sz w:val="24"/>
              </w:rPr>
              <w:t>599,236,597.80</w:t>
            </w:r>
          </w:p>
        </w:tc>
        <w:tc>
          <w:tcPr>
            <w:tcW w:w="850" w:type="dxa"/>
            <w:vAlign w:val="center"/>
          </w:tcPr>
          <w:p w:rsidR="00DF658A" w:rsidRPr="00E7237C" w:rsidRDefault="00CD12CC">
            <w:pPr>
              <w:jc w:val="center"/>
              <w:rPr>
                <w:sz w:val="24"/>
              </w:rPr>
            </w:pPr>
            <w:r w:rsidRPr="00E7237C">
              <w:rPr>
                <w:color w:val="000000"/>
                <w:kern w:val="0"/>
                <w:sz w:val="24"/>
              </w:rPr>
              <w:t>1,210,897,578.20</w:t>
            </w:r>
          </w:p>
        </w:tc>
        <w:tc>
          <w:tcPr>
            <w:tcW w:w="1134" w:type="dxa"/>
            <w:vAlign w:val="center"/>
          </w:tcPr>
          <w:p w:rsidR="00DF658A" w:rsidRPr="00E7237C" w:rsidRDefault="00CD12CC">
            <w:pPr>
              <w:jc w:val="center"/>
              <w:rPr>
                <w:sz w:val="24"/>
              </w:rPr>
            </w:pPr>
            <w:r w:rsidRPr="00E7237C">
              <w:rPr>
                <w:color w:val="000000"/>
                <w:kern w:val="0"/>
                <w:sz w:val="24"/>
              </w:rPr>
              <w:t>405,000,000.00</w:t>
            </w:r>
          </w:p>
        </w:tc>
        <w:tc>
          <w:tcPr>
            <w:tcW w:w="1419" w:type="dxa"/>
            <w:vAlign w:val="center"/>
          </w:tcPr>
          <w:p w:rsidR="00DF658A" w:rsidRPr="00E7237C" w:rsidRDefault="00CD12CC">
            <w:pPr>
              <w:jc w:val="center"/>
              <w:rPr>
                <w:sz w:val="24"/>
              </w:rPr>
            </w:pPr>
            <w:r w:rsidRPr="00E7237C">
              <w:rPr>
                <w:color w:val="000000"/>
                <w:kern w:val="0"/>
                <w:sz w:val="24"/>
              </w:rPr>
              <w:t>1,405,134,176.00</w:t>
            </w:r>
          </w:p>
        </w:tc>
        <w:tc>
          <w:tcPr>
            <w:tcW w:w="1130" w:type="dxa"/>
            <w:vAlign w:val="center"/>
          </w:tcPr>
          <w:p w:rsidR="00DF658A" w:rsidRPr="00E7237C" w:rsidRDefault="00CD12CC">
            <w:pPr>
              <w:jc w:val="center"/>
              <w:rPr>
                <w:sz w:val="24"/>
              </w:rPr>
            </w:pPr>
            <w:r w:rsidRPr="00E7237C">
              <w:rPr>
                <w:color w:val="000000"/>
                <w:kern w:val="0"/>
                <w:sz w:val="24"/>
              </w:rPr>
              <w:t>100.00%</w:t>
            </w:r>
          </w:p>
        </w:tc>
      </w:tr>
      <w:tr w:rsidR="00DA3AB8" w:rsidRPr="00E7237C" w:rsidTr="002F6177">
        <w:tc>
          <w:tcPr>
            <w:tcW w:w="9212" w:type="dxa"/>
            <w:gridSpan w:val="8"/>
            <w:vAlign w:val="center"/>
          </w:tcPr>
          <w:p w:rsidR="00DA3AB8" w:rsidRPr="00E7237C" w:rsidRDefault="00DA3AB8" w:rsidP="002F6177">
            <w:pPr>
              <w:autoSpaceDE w:val="0"/>
              <w:autoSpaceDN w:val="0"/>
              <w:adjustRightInd w:val="0"/>
              <w:jc w:val="center"/>
              <w:rPr>
                <w:kern w:val="0"/>
                <w:sz w:val="24"/>
              </w:rPr>
            </w:pPr>
            <w:r w:rsidRPr="00E7237C">
              <w:rPr>
                <w:color w:val="000000"/>
                <w:kern w:val="0"/>
                <w:sz w:val="24"/>
              </w:rPr>
              <w:t>产品特有风险</w:t>
            </w:r>
          </w:p>
        </w:tc>
      </w:tr>
      <w:tr w:rsidR="00DA3AB8" w:rsidRPr="00E7237C" w:rsidTr="002F6177">
        <w:tc>
          <w:tcPr>
            <w:tcW w:w="9212" w:type="dxa"/>
            <w:gridSpan w:val="8"/>
            <w:vAlign w:val="center"/>
          </w:tcPr>
          <w:p w:rsidR="00DA3AB8" w:rsidRPr="00E7237C" w:rsidRDefault="00DA3AB8" w:rsidP="002F6177">
            <w:pPr>
              <w:autoSpaceDE w:val="0"/>
              <w:autoSpaceDN w:val="0"/>
              <w:adjustRightInd w:val="0"/>
              <w:jc w:val="left"/>
              <w:rPr>
                <w:kern w:val="0"/>
                <w:sz w:val="24"/>
              </w:rPr>
            </w:pPr>
            <w:r w:rsidRPr="00E7237C">
              <w:rPr>
                <w:kern w:val="0"/>
                <w:sz w:val="24"/>
              </w:rPr>
              <w:t>本基金本报告期内出现单一投资者持有基金份额比例超过基金总份额</w:t>
            </w:r>
            <w:r w:rsidRPr="00E7237C">
              <w:rPr>
                <w:kern w:val="0"/>
                <w:sz w:val="24"/>
              </w:rPr>
              <w:t>20%</w:t>
            </w:r>
            <w:r w:rsidRPr="00E7237C">
              <w:rPr>
                <w:kern w:val="0"/>
                <w:sz w:val="24"/>
              </w:rPr>
              <w:t>的情况。如该类投资者集中赎回，可能会对本基金带来流动性冲击，从而影响基金的投资运作和收</w:t>
            </w:r>
            <w:r w:rsidRPr="00E7237C">
              <w:rPr>
                <w:kern w:val="0"/>
                <w:sz w:val="24"/>
              </w:rPr>
              <w:lastRenderedPageBreak/>
              <w:t>益水平。基金管理人将加强流动性管理，防范相关风险，保护持有人利益。</w:t>
            </w:r>
          </w:p>
        </w:tc>
      </w:tr>
      <w:bookmarkEnd w:id="89"/>
    </w:tbl>
    <w:p w:rsidR="00A078FA" w:rsidRPr="00E7237C" w:rsidRDefault="00A078FA">
      <w:pPr>
        <w:rPr>
          <w:sz w:val="24"/>
        </w:rPr>
      </w:pPr>
    </w:p>
    <w:sectPr w:rsidR="00A078FA" w:rsidRPr="00E7237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22" w:rsidRDefault="004B0622">
      <w:r>
        <w:separator/>
      </w:r>
    </w:p>
  </w:endnote>
  <w:endnote w:type="continuationSeparator" w:id="0">
    <w:p w:rsidR="004B0622" w:rsidRDefault="004B0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E7237C">
      <w:rPr>
        <w:noProof/>
        <w:kern w:val="0"/>
        <w:szCs w:val="21"/>
      </w:rPr>
      <w:t>25</w:t>
    </w:r>
    <w:r w:rsidR="00A212FB">
      <w:rPr>
        <w:kern w:val="0"/>
        <w:szCs w:val="21"/>
      </w:rPr>
      <w:fldChar w:fldCharType="end"/>
    </w:r>
    <w:proofErr w:type="gramStart"/>
    <w:r>
      <w:rPr>
        <w:rFonts w:hint="eastAsia"/>
        <w:kern w:val="0"/>
        <w:szCs w:val="21"/>
      </w:rPr>
      <w:t>页共</w:t>
    </w:r>
    <w:proofErr w:type="gramEnd"/>
    <w:r w:rsidR="00A212FB">
      <w:rPr>
        <w:kern w:val="0"/>
        <w:szCs w:val="21"/>
      </w:rPr>
      <w:fldChar w:fldCharType="begin"/>
    </w:r>
    <w:r>
      <w:rPr>
        <w:kern w:val="0"/>
        <w:szCs w:val="21"/>
      </w:rPr>
      <w:instrText xml:space="preserve"> NUMPAGES </w:instrText>
    </w:r>
    <w:r w:rsidR="00A212FB">
      <w:rPr>
        <w:kern w:val="0"/>
        <w:szCs w:val="21"/>
      </w:rPr>
      <w:fldChar w:fldCharType="separate"/>
    </w:r>
    <w:r w:rsidR="00E7237C">
      <w:rPr>
        <w:noProof/>
        <w:kern w:val="0"/>
        <w:szCs w:val="21"/>
      </w:rPr>
      <w:t>27</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22" w:rsidRDefault="004B0622">
      <w:r>
        <w:separator/>
      </w:r>
    </w:p>
  </w:footnote>
  <w:footnote w:type="continuationSeparator" w:id="0">
    <w:p w:rsidR="004B0622" w:rsidRDefault="004B0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交银施罗德裕</w:t>
    </w:r>
    <w:proofErr w:type="gramStart"/>
    <w:r w:rsidRPr="003B6CAA">
      <w:t>兴纯债</w:t>
    </w:r>
    <w:proofErr w:type="gramEnd"/>
    <w:r w:rsidRPr="003B6CAA">
      <w:t>债券型证券投资基金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62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078FA"/>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12CC"/>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58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37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6533400-8838-499C-8A85-CA1D4C4CE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354</TotalTime>
  <Pages>27</Pages>
  <Words>2710</Words>
  <Characters>15452</Characters>
  <Application>Microsoft Office Word</Application>
  <DocSecurity>0</DocSecurity>
  <Lines>128</Lines>
  <Paragraphs>36</Paragraphs>
  <ScaleCrop>false</ScaleCrop>
  <Company/>
  <LinksUpToDate>false</LinksUpToDate>
  <CharactersWithSpaces>18126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656</cp:revision>
  <cp:lastPrinted>2007-07-19T00:46:00Z</cp:lastPrinted>
  <dcterms:created xsi:type="dcterms:W3CDTF">2013-08-19T07:43:00Z</dcterms:created>
  <dcterms:modified xsi:type="dcterms:W3CDTF">2017-08-23T10:46:00Z</dcterms:modified>
</cp:coreProperties>
</file>