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交银施罗德活期通货币市场基金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基金托管人：中信建投证券股份有限公司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基金托管人中信建投证券股份有限公司根据本基金合同规定，于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5D3C9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交银活期通货币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中信建投证券股份有限公司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4,905,464,221.18</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交银活期通货币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003043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3,584,171,965.42</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1,321,292,255.76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中信建投证券股份有限公司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朱志明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4008-888-108</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service@csc.com.cn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95587</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010-85130975</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626ADF">
            <w:pPr>
              <w:tabs>
                <w:tab w:val="left" w:pos="1740"/>
              </w:tabs>
              <w:spacing w:before="29" w:line="288" w:lineRule="auto"/>
              <w:jc w:val="left"/>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626ADF">
            <w:pPr>
              <w:spacing w:before="29" w:line="288" w:lineRule="auto"/>
              <w:ind w:leftChars="-51" w:left="-107" w:rightChars="-51" w:right="-107"/>
              <w:rPr>
                <w:b/>
                <w:sz w:val="24"/>
              </w:rPr>
            </w:pPr>
            <w:r w:rsidRPr="0061644B">
              <w:rPr>
                <w:b/>
                <w:sz w:val="24"/>
              </w:rPr>
              <w:t>3.1.1</w:t>
            </w:r>
            <w:r w:rsidRPr="0061644B">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41,397,642.03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13,947,259.20</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41,397,642.03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13,947,259.20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6A5368">
            <w:pPr>
              <w:spacing w:before="29" w:line="288" w:lineRule="auto"/>
              <w:ind w:leftChars="-51" w:left="-107" w:rightChars="-51" w:right="-107"/>
              <w:rPr>
                <w:b/>
                <w:sz w:val="24"/>
              </w:rPr>
            </w:pPr>
            <w:r w:rsidRPr="0061644B">
              <w:rPr>
                <w:b/>
                <w:sz w:val="24"/>
              </w:rPr>
              <w:t>3.1.2</w:t>
            </w:r>
            <w:r w:rsidRPr="0061644B">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交银活期通货币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3,584,171,965.42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1,321,292,255.76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A70D34" w:rsidRDefault="00620E8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70D34" w:rsidRDefault="00620E8B">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A70D34" w:rsidRDefault="00620E8B">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．交银活期通货币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70D34">
        <w:tc>
          <w:tcPr>
            <w:tcW w:w="1600" w:type="dxa"/>
            <w:vAlign w:val="center"/>
          </w:tcPr>
          <w:p w:rsidR="00A70D34" w:rsidRDefault="00620E8B">
            <w:pPr>
              <w:jc w:val="left"/>
            </w:pPr>
            <w:r>
              <w:rPr>
                <w:sz w:val="24"/>
              </w:rPr>
              <w:t>过去一个月</w:t>
            </w:r>
          </w:p>
        </w:tc>
        <w:tc>
          <w:tcPr>
            <w:tcW w:w="1233" w:type="dxa"/>
            <w:vAlign w:val="center"/>
          </w:tcPr>
          <w:p w:rsidR="00A70D34" w:rsidRDefault="00620E8B">
            <w:pPr>
              <w:jc w:val="center"/>
            </w:pPr>
            <w:r>
              <w:rPr>
                <w:sz w:val="24"/>
              </w:rPr>
              <w:t>0.3155%</w:t>
            </w:r>
          </w:p>
        </w:tc>
        <w:tc>
          <w:tcPr>
            <w:tcW w:w="1233" w:type="dxa"/>
            <w:vAlign w:val="center"/>
          </w:tcPr>
          <w:p w:rsidR="00A70D34" w:rsidRDefault="00620E8B">
            <w:pPr>
              <w:jc w:val="center"/>
            </w:pPr>
            <w:r>
              <w:rPr>
                <w:sz w:val="24"/>
              </w:rPr>
              <w:t>0.0004%</w:t>
            </w:r>
          </w:p>
        </w:tc>
        <w:tc>
          <w:tcPr>
            <w:tcW w:w="1233" w:type="dxa"/>
            <w:vAlign w:val="center"/>
          </w:tcPr>
          <w:p w:rsidR="00A70D34" w:rsidRDefault="00620E8B">
            <w:pPr>
              <w:jc w:val="center"/>
            </w:pPr>
            <w:r>
              <w:rPr>
                <w:sz w:val="24"/>
              </w:rPr>
              <w:t>0.0288%</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0.2867%</w:t>
            </w:r>
          </w:p>
        </w:tc>
        <w:tc>
          <w:tcPr>
            <w:tcW w:w="1233" w:type="dxa"/>
            <w:vAlign w:val="center"/>
          </w:tcPr>
          <w:p w:rsidR="00A70D34" w:rsidRDefault="00620E8B">
            <w:pPr>
              <w:jc w:val="center"/>
            </w:pPr>
            <w:r>
              <w:rPr>
                <w:sz w:val="24"/>
              </w:rPr>
              <w:t>0.0004%</w:t>
            </w:r>
          </w:p>
        </w:tc>
      </w:tr>
      <w:tr w:rsidR="00A70D34">
        <w:tc>
          <w:tcPr>
            <w:tcW w:w="1600" w:type="dxa"/>
            <w:vAlign w:val="center"/>
          </w:tcPr>
          <w:p w:rsidR="00A70D34" w:rsidRDefault="00620E8B">
            <w:pPr>
              <w:jc w:val="left"/>
            </w:pPr>
            <w:r>
              <w:rPr>
                <w:sz w:val="24"/>
              </w:rPr>
              <w:t>过去三个月</w:t>
            </w:r>
          </w:p>
        </w:tc>
        <w:tc>
          <w:tcPr>
            <w:tcW w:w="1233" w:type="dxa"/>
            <w:vAlign w:val="center"/>
          </w:tcPr>
          <w:p w:rsidR="00A70D34" w:rsidRDefault="00620E8B">
            <w:pPr>
              <w:jc w:val="center"/>
            </w:pPr>
            <w:r>
              <w:rPr>
                <w:sz w:val="24"/>
              </w:rPr>
              <w:t>0.9373%</w:t>
            </w:r>
          </w:p>
        </w:tc>
        <w:tc>
          <w:tcPr>
            <w:tcW w:w="1233" w:type="dxa"/>
            <w:vAlign w:val="center"/>
          </w:tcPr>
          <w:p w:rsidR="00A70D34" w:rsidRDefault="00620E8B">
            <w:pPr>
              <w:jc w:val="center"/>
            </w:pPr>
            <w:r>
              <w:rPr>
                <w:sz w:val="24"/>
              </w:rPr>
              <w:t>0.0004%</w:t>
            </w:r>
          </w:p>
        </w:tc>
        <w:tc>
          <w:tcPr>
            <w:tcW w:w="1233" w:type="dxa"/>
            <w:vAlign w:val="center"/>
          </w:tcPr>
          <w:p w:rsidR="00A70D34" w:rsidRDefault="00620E8B">
            <w:pPr>
              <w:jc w:val="center"/>
            </w:pPr>
            <w:r>
              <w:rPr>
                <w:sz w:val="24"/>
              </w:rPr>
              <w:t>0.0873%</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0.8500%</w:t>
            </w:r>
          </w:p>
        </w:tc>
        <w:tc>
          <w:tcPr>
            <w:tcW w:w="1233" w:type="dxa"/>
            <w:vAlign w:val="center"/>
          </w:tcPr>
          <w:p w:rsidR="00A70D34" w:rsidRDefault="00620E8B">
            <w:pPr>
              <w:jc w:val="center"/>
            </w:pPr>
            <w:r>
              <w:rPr>
                <w:sz w:val="24"/>
              </w:rPr>
              <w:t>0.0004%</w:t>
            </w:r>
          </w:p>
        </w:tc>
      </w:tr>
      <w:tr w:rsidR="00A70D34">
        <w:tc>
          <w:tcPr>
            <w:tcW w:w="1600" w:type="dxa"/>
            <w:vAlign w:val="center"/>
          </w:tcPr>
          <w:p w:rsidR="00A70D34" w:rsidRDefault="00620E8B">
            <w:pPr>
              <w:jc w:val="left"/>
            </w:pPr>
            <w:r>
              <w:rPr>
                <w:sz w:val="24"/>
              </w:rPr>
              <w:t>过去六个月</w:t>
            </w:r>
          </w:p>
        </w:tc>
        <w:tc>
          <w:tcPr>
            <w:tcW w:w="1233" w:type="dxa"/>
            <w:vAlign w:val="center"/>
          </w:tcPr>
          <w:p w:rsidR="00A70D34" w:rsidRDefault="00620E8B">
            <w:pPr>
              <w:jc w:val="center"/>
            </w:pPr>
            <w:r>
              <w:rPr>
                <w:sz w:val="24"/>
              </w:rPr>
              <w:t>1.7436%</w:t>
            </w:r>
          </w:p>
        </w:tc>
        <w:tc>
          <w:tcPr>
            <w:tcW w:w="1233" w:type="dxa"/>
            <w:vAlign w:val="center"/>
          </w:tcPr>
          <w:p w:rsidR="00A70D34" w:rsidRDefault="00620E8B">
            <w:pPr>
              <w:jc w:val="center"/>
            </w:pPr>
            <w:r>
              <w:rPr>
                <w:sz w:val="24"/>
              </w:rPr>
              <w:t>0.0009%</w:t>
            </w:r>
          </w:p>
        </w:tc>
        <w:tc>
          <w:tcPr>
            <w:tcW w:w="1233" w:type="dxa"/>
            <w:vAlign w:val="center"/>
          </w:tcPr>
          <w:p w:rsidR="00A70D34" w:rsidRDefault="00620E8B">
            <w:pPr>
              <w:jc w:val="center"/>
            </w:pPr>
            <w:r>
              <w:rPr>
                <w:sz w:val="24"/>
              </w:rPr>
              <w:t>0.1736%</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1.5700%</w:t>
            </w:r>
          </w:p>
        </w:tc>
        <w:tc>
          <w:tcPr>
            <w:tcW w:w="1233" w:type="dxa"/>
            <w:vAlign w:val="center"/>
          </w:tcPr>
          <w:p w:rsidR="00A70D34" w:rsidRDefault="00620E8B">
            <w:pPr>
              <w:jc w:val="center"/>
            </w:pPr>
            <w:r>
              <w:rPr>
                <w:sz w:val="24"/>
              </w:rPr>
              <w:t>0.0009%</w:t>
            </w:r>
          </w:p>
        </w:tc>
      </w:tr>
      <w:tr w:rsidR="00A70D34">
        <w:tc>
          <w:tcPr>
            <w:tcW w:w="1600" w:type="dxa"/>
            <w:vAlign w:val="center"/>
          </w:tcPr>
          <w:p w:rsidR="00A70D34" w:rsidRDefault="00620E8B">
            <w:pPr>
              <w:jc w:val="left"/>
            </w:pPr>
            <w:r>
              <w:rPr>
                <w:sz w:val="24"/>
              </w:rPr>
              <w:t>自基金合同生效起至今</w:t>
            </w:r>
          </w:p>
        </w:tc>
        <w:tc>
          <w:tcPr>
            <w:tcW w:w="1233" w:type="dxa"/>
            <w:vAlign w:val="center"/>
          </w:tcPr>
          <w:p w:rsidR="00A70D34" w:rsidRDefault="00620E8B">
            <w:pPr>
              <w:jc w:val="center"/>
            </w:pPr>
            <w:r>
              <w:rPr>
                <w:sz w:val="24"/>
              </w:rPr>
              <w:t>2.8112%</w:t>
            </w:r>
          </w:p>
        </w:tc>
        <w:tc>
          <w:tcPr>
            <w:tcW w:w="1233" w:type="dxa"/>
            <w:vAlign w:val="center"/>
          </w:tcPr>
          <w:p w:rsidR="00A70D34" w:rsidRDefault="00620E8B">
            <w:pPr>
              <w:jc w:val="center"/>
            </w:pPr>
            <w:r>
              <w:rPr>
                <w:sz w:val="24"/>
              </w:rPr>
              <w:t>0.0019%</w:t>
            </w:r>
          </w:p>
        </w:tc>
        <w:tc>
          <w:tcPr>
            <w:tcW w:w="1233" w:type="dxa"/>
            <w:vAlign w:val="center"/>
          </w:tcPr>
          <w:p w:rsidR="00A70D34" w:rsidRDefault="00620E8B">
            <w:pPr>
              <w:jc w:val="center"/>
            </w:pPr>
            <w:r>
              <w:rPr>
                <w:sz w:val="24"/>
              </w:rPr>
              <w:t>0.3251%</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2.4861%</w:t>
            </w:r>
          </w:p>
        </w:tc>
        <w:tc>
          <w:tcPr>
            <w:tcW w:w="1233" w:type="dxa"/>
            <w:vAlign w:val="center"/>
          </w:tcPr>
          <w:p w:rsidR="00A70D34" w:rsidRDefault="00620E8B">
            <w:pPr>
              <w:jc w:val="center"/>
            </w:pPr>
            <w:r>
              <w:rPr>
                <w:sz w:val="24"/>
              </w:rPr>
              <w:t>0.0019%</w:t>
            </w:r>
          </w:p>
        </w:tc>
      </w:tr>
    </w:tbl>
    <w:p w:rsidR="00223DF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6D4639" w:rsidRPr="0061644B" w:rsidRDefault="006D4639" w:rsidP="00792A69">
      <w:pPr>
        <w:tabs>
          <w:tab w:val="left" w:pos="426"/>
        </w:tabs>
        <w:spacing w:before="29" w:line="288" w:lineRule="auto"/>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．交银活期通货币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70D34">
        <w:tc>
          <w:tcPr>
            <w:tcW w:w="1600" w:type="dxa"/>
            <w:vAlign w:val="center"/>
          </w:tcPr>
          <w:p w:rsidR="00A70D34" w:rsidRDefault="00620E8B">
            <w:pPr>
              <w:jc w:val="left"/>
            </w:pPr>
            <w:r>
              <w:rPr>
                <w:sz w:val="24"/>
              </w:rPr>
              <w:t>过去一个月</w:t>
            </w:r>
          </w:p>
        </w:tc>
        <w:tc>
          <w:tcPr>
            <w:tcW w:w="1233" w:type="dxa"/>
            <w:vAlign w:val="center"/>
          </w:tcPr>
          <w:p w:rsidR="00A70D34" w:rsidRDefault="00620E8B">
            <w:pPr>
              <w:jc w:val="center"/>
            </w:pPr>
            <w:r>
              <w:rPr>
                <w:sz w:val="24"/>
              </w:rPr>
              <w:t>0.3352%</w:t>
            </w:r>
          </w:p>
        </w:tc>
        <w:tc>
          <w:tcPr>
            <w:tcW w:w="1233" w:type="dxa"/>
            <w:vAlign w:val="center"/>
          </w:tcPr>
          <w:p w:rsidR="00A70D34" w:rsidRDefault="00620E8B">
            <w:pPr>
              <w:jc w:val="center"/>
            </w:pPr>
            <w:r>
              <w:rPr>
                <w:sz w:val="24"/>
              </w:rPr>
              <w:t>0.0004%</w:t>
            </w:r>
          </w:p>
        </w:tc>
        <w:tc>
          <w:tcPr>
            <w:tcW w:w="1233" w:type="dxa"/>
            <w:vAlign w:val="center"/>
          </w:tcPr>
          <w:p w:rsidR="00A70D34" w:rsidRDefault="00620E8B">
            <w:pPr>
              <w:jc w:val="center"/>
            </w:pPr>
            <w:r>
              <w:rPr>
                <w:sz w:val="24"/>
              </w:rPr>
              <w:t>0.0288%</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0.3064%</w:t>
            </w:r>
          </w:p>
        </w:tc>
        <w:tc>
          <w:tcPr>
            <w:tcW w:w="1233" w:type="dxa"/>
            <w:vAlign w:val="center"/>
          </w:tcPr>
          <w:p w:rsidR="00A70D34" w:rsidRDefault="00620E8B">
            <w:pPr>
              <w:jc w:val="center"/>
            </w:pPr>
            <w:r>
              <w:rPr>
                <w:sz w:val="24"/>
              </w:rPr>
              <w:t>0.0004%</w:t>
            </w:r>
          </w:p>
        </w:tc>
      </w:tr>
      <w:tr w:rsidR="00A70D34">
        <w:tc>
          <w:tcPr>
            <w:tcW w:w="1600" w:type="dxa"/>
            <w:vAlign w:val="center"/>
          </w:tcPr>
          <w:p w:rsidR="00A70D34" w:rsidRDefault="00620E8B">
            <w:pPr>
              <w:jc w:val="left"/>
            </w:pPr>
            <w:r>
              <w:rPr>
                <w:sz w:val="24"/>
              </w:rPr>
              <w:t>过去三个月</w:t>
            </w:r>
          </w:p>
        </w:tc>
        <w:tc>
          <w:tcPr>
            <w:tcW w:w="1233" w:type="dxa"/>
            <w:vAlign w:val="center"/>
          </w:tcPr>
          <w:p w:rsidR="00A70D34" w:rsidRDefault="00620E8B">
            <w:pPr>
              <w:jc w:val="center"/>
            </w:pPr>
            <w:r>
              <w:rPr>
                <w:sz w:val="24"/>
              </w:rPr>
              <w:t>0.9975%</w:t>
            </w:r>
          </w:p>
        </w:tc>
        <w:tc>
          <w:tcPr>
            <w:tcW w:w="1233" w:type="dxa"/>
            <w:vAlign w:val="center"/>
          </w:tcPr>
          <w:p w:rsidR="00A70D34" w:rsidRDefault="00620E8B">
            <w:pPr>
              <w:jc w:val="center"/>
            </w:pPr>
            <w:r>
              <w:rPr>
                <w:sz w:val="24"/>
              </w:rPr>
              <w:t>0.0004%</w:t>
            </w:r>
          </w:p>
        </w:tc>
        <w:tc>
          <w:tcPr>
            <w:tcW w:w="1233" w:type="dxa"/>
            <w:vAlign w:val="center"/>
          </w:tcPr>
          <w:p w:rsidR="00A70D34" w:rsidRDefault="00620E8B">
            <w:pPr>
              <w:jc w:val="center"/>
            </w:pPr>
            <w:r>
              <w:rPr>
                <w:sz w:val="24"/>
              </w:rPr>
              <w:t>0.0873%</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0.9102%</w:t>
            </w:r>
          </w:p>
        </w:tc>
        <w:tc>
          <w:tcPr>
            <w:tcW w:w="1233" w:type="dxa"/>
            <w:vAlign w:val="center"/>
          </w:tcPr>
          <w:p w:rsidR="00A70D34" w:rsidRDefault="00620E8B">
            <w:pPr>
              <w:jc w:val="center"/>
            </w:pPr>
            <w:r>
              <w:rPr>
                <w:sz w:val="24"/>
              </w:rPr>
              <w:t>0.0004%</w:t>
            </w:r>
          </w:p>
        </w:tc>
      </w:tr>
      <w:tr w:rsidR="00A70D34">
        <w:tc>
          <w:tcPr>
            <w:tcW w:w="1600" w:type="dxa"/>
            <w:vAlign w:val="center"/>
          </w:tcPr>
          <w:p w:rsidR="00A70D34" w:rsidRDefault="00620E8B">
            <w:pPr>
              <w:jc w:val="left"/>
            </w:pPr>
            <w:r>
              <w:rPr>
                <w:sz w:val="24"/>
              </w:rPr>
              <w:t>过去六个月</w:t>
            </w:r>
          </w:p>
        </w:tc>
        <w:tc>
          <w:tcPr>
            <w:tcW w:w="1233" w:type="dxa"/>
            <w:vAlign w:val="center"/>
          </w:tcPr>
          <w:p w:rsidR="00A70D34" w:rsidRDefault="00620E8B">
            <w:pPr>
              <w:jc w:val="center"/>
            </w:pPr>
            <w:r>
              <w:rPr>
                <w:sz w:val="24"/>
              </w:rPr>
              <w:t>1.8639%</w:t>
            </w:r>
          </w:p>
        </w:tc>
        <w:tc>
          <w:tcPr>
            <w:tcW w:w="1233" w:type="dxa"/>
            <w:vAlign w:val="center"/>
          </w:tcPr>
          <w:p w:rsidR="00A70D34" w:rsidRDefault="00620E8B">
            <w:pPr>
              <w:jc w:val="center"/>
            </w:pPr>
            <w:r>
              <w:rPr>
                <w:sz w:val="24"/>
              </w:rPr>
              <w:t>0.0009%</w:t>
            </w:r>
          </w:p>
        </w:tc>
        <w:tc>
          <w:tcPr>
            <w:tcW w:w="1233" w:type="dxa"/>
            <w:vAlign w:val="center"/>
          </w:tcPr>
          <w:p w:rsidR="00A70D34" w:rsidRDefault="00620E8B">
            <w:pPr>
              <w:jc w:val="center"/>
            </w:pPr>
            <w:r>
              <w:rPr>
                <w:sz w:val="24"/>
              </w:rPr>
              <w:t>0.1736%</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1.6903%</w:t>
            </w:r>
          </w:p>
        </w:tc>
        <w:tc>
          <w:tcPr>
            <w:tcW w:w="1233" w:type="dxa"/>
            <w:vAlign w:val="center"/>
          </w:tcPr>
          <w:p w:rsidR="00A70D34" w:rsidRDefault="00620E8B">
            <w:pPr>
              <w:jc w:val="center"/>
            </w:pPr>
            <w:r>
              <w:rPr>
                <w:sz w:val="24"/>
              </w:rPr>
              <w:t>0.0009%</w:t>
            </w:r>
          </w:p>
        </w:tc>
      </w:tr>
      <w:tr w:rsidR="00A70D34">
        <w:tc>
          <w:tcPr>
            <w:tcW w:w="1600" w:type="dxa"/>
            <w:vAlign w:val="center"/>
          </w:tcPr>
          <w:p w:rsidR="00A70D34" w:rsidRDefault="00620E8B">
            <w:pPr>
              <w:jc w:val="left"/>
            </w:pPr>
            <w:r>
              <w:rPr>
                <w:sz w:val="24"/>
              </w:rPr>
              <w:t>自基金合同生效起至今</w:t>
            </w:r>
          </w:p>
        </w:tc>
        <w:tc>
          <w:tcPr>
            <w:tcW w:w="1233" w:type="dxa"/>
            <w:vAlign w:val="center"/>
          </w:tcPr>
          <w:p w:rsidR="00A70D34" w:rsidRDefault="00620E8B">
            <w:pPr>
              <w:jc w:val="center"/>
            </w:pPr>
            <w:r>
              <w:rPr>
                <w:sz w:val="24"/>
              </w:rPr>
              <w:t>3.0337%</w:t>
            </w:r>
          </w:p>
        </w:tc>
        <w:tc>
          <w:tcPr>
            <w:tcW w:w="1233" w:type="dxa"/>
            <w:vAlign w:val="center"/>
          </w:tcPr>
          <w:p w:rsidR="00A70D34" w:rsidRDefault="00620E8B">
            <w:pPr>
              <w:jc w:val="center"/>
            </w:pPr>
            <w:r>
              <w:rPr>
                <w:sz w:val="24"/>
              </w:rPr>
              <w:t>0.0019%</w:t>
            </w:r>
          </w:p>
        </w:tc>
        <w:tc>
          <w:tcPr>
            <w:tcW w:w="1233" w:type="dxa"/>
            <w:vAlign w:val="center"/>
          </w:tcPr>
          <w:p w:rsidR="00A70D34" w:rsidRDefault="00620E8B">
            <w:pPr>
              <w:jc w:val="center"/>
            </w:pPr>
            <w:r>
              <w:rPr>
                <w:sz w:val="24"/>
              </w:rPr>
              <w:t>0.3251%</w:t>
            </w:r>
          </w:p>
        </w:tc>
        <w:tc>
          <w:tcPr>
            <w:tcW w:w="1233" w:type="dxa"/>
            <w:vAlign w:val="center"/>
          </w:tcPr>
          <w:p w:rsidR="00A70D34" w:rsidRDefault="00620E8B">
            <w:pPr>
              <w:jc w:val="center"/>
            </w:pPr>
            <w:r>
              <w:rPr>
                <w:sz w:val="24"/>
              </w:rPr>
              <w:t>0.0000%</w:t>
            </w:r>
          </w:p>
        </w:tc>
        <w:tc>
          <w:tcPr>
            <w:tcW w:w="1233" w:type="dxa"/>
            <w:vAlign w:val="center"/>
          </w:tcPr>
          <w:p w:rsidR="00A70D34" w:rsidRDefault="00620E8B">
            <w:pPr>
              <w:jc w:val="center"/>
            </w:pPr>
            <w:r>
              <w:rPr>
                <w:sz w:val="24"/>
              </w:rPr>
              <w:t>2.7086%</w:t>
            </w:r>
          </w:p>
        </w:tc>
        <w:tc>
          <w:tcPr>
            <w:tcW w:w="1233" w:type="dxa"/>
            <w:vAlign w:val="center"/>
          </w:tcPr>
          <w:p w:rsidR="00A70D34" w:rsidRDefault="00620E8B">
            <w:pPr>
              <w:jc w:val="center"/>
            </w:pPr>
            <w:r>
              <w:rPr>
                <w:sz w:val="24"/>
              </w:rPr>
              <w:t>0.0019%</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交银施罗德活期通货币市场基金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7</w:t>
      </w:r>
      <w:r w:rsidR="00223DFB" w:rsidRPr="0061644B">
        <w:rPr>
          <w:sz w:val="24"/>
        </w:rPr>
        <w:t>月</w:t>
      </w:r>
      <w:r w:rsidR="00223DFB" w:rsidRPr="0061644B">
        <w:rPr>
          <w:sz w:val="24"/>
        </w:rPr>
        <w:t>27</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交银活期通货币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92A69">
      <w:pPr>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7</w:t>
      </w:r>
      <w:r w:rsidRPr="0061644B">
        <w:rPr>
          <w:kern w:val="0"/>
          <w:sz w:val="24"/>
        </w:rPr>
        <w:t>月</w:t>
      </w:r>
      <w:r w:rsidRPr="0061644B">
        <w:rPr>
          <w:kern w:val="0"/>
          <w:sz w:val="24"/>
        </w:rPr>
        <w:t>27</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6D4639" w:rsidRPr="0061644B" w:rsidRDefault="006D4639"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交银活期通货币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注：本基金基金合同生效日为</w:t>
      </w:r>
      <w:r w:rsidRPr="0061644B">
        <w:rPr>
          <w:kern w:val="0"/>
          <w:sz w:val="24"/>
        </w:rPr>
        <w:t>2016</w:t>
      </w:r>
      <w:r w:rsidRPr="0061644B">
        <w:rPr>
          <w:kern w:val="0"/>
          <w:sz w:val="24"/>
        </w:rPr>
        <w:t>年</w:t>
      </w:r>
      <w:r w:rsidRPr="0061644B">
        <w:rPr>
          <w:kern w:val="0"/>
          <w:sz w:val="24"/>
        </w:rPr>
        <w:t>7</w:t>
      </w:r>
      <w:r w:rsidRPr="0061644B">
        <w:rPr>
          <w:kern w:val="0"/>
          <w:sz w:val="24"/>
        </w:rPr>
        <w:t>月</w:t>
      </w:r>
      <w:r w:rsidRPr="0061644B">
        <w:rPr>
          <w:kern w:val="0"/>
          <w:sz w:val="24"/>
        </w:rPr>
        <w:t>27</w:t>
      </w:r>
      <w:r w:rsidRPr="0061644B">
        <w:rPr>
          <w:kern w:val="0"/>
          <w:sz w:val="24"/>
        </w:rPr>
        <w:t>日，基金合同生效日至报告期期末，本基金运作时间未满一年。本基金建仓期为自基金合同生效日起的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rPr>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A70D34" w:rsidRDefault="00620E8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A70D34">
        <w:tc>
          <w:tcPr>
            <w:tcW w:w="1032" w:type="dxa"/>
            <w:vAlign w:val="center"/>
          </w:tcPr>
          <w:p w:rsidR="00A70D34" w:rsidRDefault="00620E8B">
            <w:pPr>
              <w:jc w:val="center"/>
            </w:pPr>
            <w:r>
              <w:rPr>
                <w:sz w:val="24"/>
              </w:rPr>
              <w:t>连端清</w:t>
            </w:r>
          </w:p>
        </w:tc>
        <w:tc>
          <w:tcPr>
            <w:tcW w:w="1019" w:type="dxa"/>
            <w:vAlign w:val="center"/>
          </w:tcPr>
          <w:p w:rsidR="00A70D34" w:rsidRDefault="00620E8B">
            <w:pPr>
              <w:jc w:val="center"/>
            </w:pPr>
            <w:r>
              <w:rPr>
                <w:sz w:val="24"/>
              </w:rPr>
              <w:t>交银货币、交银理财</w:t>
            </w:r>
            <w:r>
              <w:rPr>
                <w:sz w:val="24"/>
              </w:rPr>
              <w:t>60</w:t>
            </w:r>
            <w:r>
              <w:rPr>
                <w:sz w:val="24"/>
              </w:rPr>
              <w:t>天债券、交银丰盈收益债券、交银现金宝货币、交银丰润收益债券、交银活期通货币、交银天利宝货币、交银裕兴</w:t>
            </w:r>
            <w:r>
              <w:rPr>
                <w:sz w:val="24"/>
              </w:rPr>
              <w:lastRenderedPageBreak/>
              <w:t>纯债债券、交银裕盈纯债债券、交银裕利纯债债券、交银裕隆纯债债券、交银天鑫宝货币、交银天益宝货币、交银境尚收益债券的基金经理</w:t>
            </w:r>
          </w:p>
        </w:tc>
        <w:tc>
          <w:tcPr>
            <w:tcW w:w="1523" w:type="dxa"/>
            <w:vAlign w:val="center"/>
          </w:tcPr>
          <w:p w:rsidR="00A70D34" w:rsidRDefault="00620E8B">
            <w:pPr>
              <w:jc w:val="center"/>
            </w:pPr>
            <w:r>
              <w:rPr>
                <w:sz w:val="24"/>
              </w:rPr>
              <w:lastRenderedPageBreak/>
              <w:t>2016-07-27</w:t>
            </w:r>
          </w:p>
        </w:tc>
        <w:tc>
          <w:tcPr>
            <w:tcW w:w="1192" w:type="dxa"/>
            <w:vAlign w:val="center"/>
          </w:tcPr>
          <w:p w:rsidR="00A70D34" w:rsidRDefault="00620E8B">
            <w:pPr>
              <w:jc w:val="center"/>
            </w:pPr>
            <w:r>
              <w:rPr>
                <w:sz w:val="24"/>
              </w:rPr>
              <w:t>-</w:t>
            </w:r>
          </w:p>
        </w:tc>
        <w:tc>
          <w:tcPr>
            <w:tcW w:w="1192" w:type="dxa"/>
            <w:vAlign w:val="center"/>
          </w:tcPr>
          <w:p w:rsidR="00A70D34" w:rsidRDefault="00620E8B">
            <w:pPr>
              <w:jc w:val="center"/>
            </w:pPr>
            <w:r>
              <w:rPr>
                <w:sz w:val="24"/>
              </w:rPr>
              <w:t>4</w:t>
            </w:r>
            <w:r>
              <w:rPr>
                <w:sz w:val="24"/>
              </w:rPr>
              <w:t>年</w:t>
            </w:r>
          </w:p>
        </w:tc>
        <w:tc>
          <w:tcPr>
            <w:tcW w:w="3040" w:type="dxa"/>
            <w:vAlign w:val="center"/>
          </w:tcPr>
          <w:p w:rsidR="00A70D34" w:rsidRDefault="00620E8B">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A70D34">
        <w:tc>
          <w:tcPr>
            <w:tcW w:w="1032" w:type="dxa"/>
            <w:vAlign w:val="center"/>
          </w:tcPr>
          <w:p w:rsidR="00A70D34" w:rsidRDefault="00620E8B">
            <w:pPr>
              <w:jc w:val="center"/>
            </w:pPr>
            <w:r>
              <w:rPr>
                <w:sz w:val="24"/>
              </w:rPr>
              <w:t>黄莹洁</w:t>
            </w:r>
          </w:p>
        </w:tc>
        <w:tc>
          <w:tcPr>
            <w:tcW w:w="1019" w:type="dxa"/>
            <w:vAlign w:val="center"/>
          </w:tcPr>
          <w:p w:rsidR="00A70D34" w:rsidRDefault="00620E8B">
            <w:pPr>
              <w:jc w:val="center"/>
            </w:pPr>
            <w:r>
              <w:rPr>
                <w:sz w:val="24"/>
              </w:rPr>
              <w:t>交银货币、交银理财</w:t>
            </w:r>
            <w:r>
              <w:rPr>
                <w:sz w:val="24"/>
              </w:rPr>
              <w:t>21</w:t>
            </w:r>
            <w:r>
              <w:rPr>
                <w:sz w:val="24"/>
              </w:rPr>
              <w:t>天债券、交银现金宝货币、交银丰享收益债券、交银丰泽收益债券、交银裕通纯债债券、交银活期通货币、交银天利宝货币、交银裕隆</w:t>
            </w:r>
            <w:r>
              <w:rPr>
                <w:sz w:val="24"/>
              </w:rPr>
              <w:lastRenderedPageBreak/>
              <w:t>纯债债券、交银天鑫宝货币、交银天益宝货币、交银境尚收益债券的基金经理</w:t>
            </w:r>
          </w:p>
        </w:tc>
        <w:tc>
          <w:tcPr>
            <w:tcW w:w="1523" w:type="dxa"/>
            <w:vAlign w:val="center"/>
          </w:tcPr>
          <w:p w:rsidR="00A70D34" w:rsidRDefault="00620E8B">
            <w:pPr>
              <w:jc w:val="center"/>
            </w:pPr>
            <w:r>
              <w:rPr>
                <w:sz w:val="24"/>
              </w:rPr>
              <w:lastRenderedPageBreak/>
              <w:t>2016-07-27</w:t>
            </w:r>
          </w:p>
        </w:tc>
        <w:tc>
          <w:tcPr>
            <w:tcW w:w="1192" w:type="dxa"/>
            <w:vAlign w:val="center"/>
          </w:tcPr>
          <w:p w:rsidR="00A70D34" w:rsidRDefault="00620E8B">
            <w:pPr>
              <w:jc w:val="center"/>
            </w:pPr>
            <w:r>
              <w:rPr>
                <w:sz w:val="24"/>
              </w:rPr>
              <w:t>-</w:t>
            </w:r>
          </w:p>
        </w:tc>
        <w:tc>
          <w:tcPr>
            <w:tcW w:w="1192" w:type="dxa"/>
            <w:vAlign w:val="center"/>
          </w:tcPr>
          <w:p w:rsidR="00A70D34" w:rsidRDefault="00620E8B">
            <w:pPr>
              <w:jc w:val="center"/>
            </w:pPr>
            <w:r>
              <w:rPr>
                <w:sz w:val="24"/>
              </w:rPr>
              <w:t>9</w:t>
            </w:r>
            <w:r>
              <w:rPr>
                <w:sz w:val="24"/>
              </w:rPr>
              <w:t>年</w:t>
            </w:r>
          </w:p>
        </w:tc>
        <w:tc>
          <w:tcPr>
            <w:tcW w:w="3040" w:type="dxa"/>
            <w:vAlign w:val="center"/>
          </w:tcPr>
          <w:p w:rsidR="00A70D34" w:rsidRDefault="00620E8B">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bl>
    <w:p w:rsidR="00A70D34" w:rsidRDefault="00620E8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70D34" w:rsidRDefault="00620E8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A70D34" w:rsidRDefault="00620E8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A70D34" w:rsidRDefault="00620E8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0D34" w:rsidRDefault="00620E8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0D34" w:rsidRDefault="00620E8B">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A70D34" w:rsidRDefault="00620E8B">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A70D34" w:rsidRDefault="00620E8B">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基金操作方面，报告期内本基金提升流动性满足投资人赎回需求，管控信用风险，择机调整组合久期与杠杆。在资产类别配置上，择机加大存款存单配置力度，灵活调整</w:t>
      </w:r>
      <w:r w:rsidRPr="0061644B">
        <w:rPr>
          <w:color w:val="000000"/>
          <w:sz w:val="24"/>
        </w:rPr>
        <w:lastRenderedPageBreak/>
        <w:t>存款、存单及债券配置比例，努力为持有人创造稳健的回报。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本报告期内，交银活期通货币</w:t>
      </w:r>
      <w:r w:rsidRPr="0061644B">
        <w:rPr>
          <w:color w:val="000000"/>
          <w:sz w:val="24"/>
        </w:rPr>
        <w:t>A</w:t>
      </w:r>
      <w:r w:rsidRPr="0061644B">
        <w:rPr>
          <w:color w:val="000000"/>
          <w:sz w:val="24"/>
        </w:rPr>
        <w:t>净值收益率为</w:t>
      </w:r>
      <w:r w:rsidRPr="0061644B">
        <w:rPr>
          <w:color w:val="000000"/>
          <w:sz w:val="24"/>
        </w:rPr>
        <w:t>1.7436%</w:t>
      </w:r>
      <w:r w:rsidRPr="0061644B">
        <w:rPr>
          <w:color w:val="000000"/>
          <w:sz w:val="24"/>
        </w:rPr>
        <w:t>，交银活期通货币</w:t>
      </w:r>
      <w:r w:rsidRPr="0061644B">
        <w:rPr>
          <w:color w:val="000000"/>
          <w:sz w:val="24"/>
        </w:rPr>
        <w:t>E</w:t>
      </w:r>
      <w:r w:rsidRPr="0061644B">
        <w:rPr>
          <w:color w:val="000000"/>
          <w:sz w:val="24"/>
        </w:rPr>
        <w:t>净值收益率</w:t>
      </w:r>
      <w:r w:rsidRPr="0061644B">
        <w:rPr>
          <w:color w:val="000000"/>
          <w:sz w:val="24"/>
        </w:rPr>
        <w:t>1.8639%</w:t>
      </w:r>
      <w:r w:rsidRPr="0061644B">
        <w:rPr>
          <w:color w:val="000000"/>
          <w:sz w:val="24"/>
        </w:rPr>
        <w:t>，同期业绩比较基准收益率为</w:t>
      </w:r>
      <w:r w:rsidRPr="0061644B">
        <w:rPr>
          <w:color w:val="000000"/>
          <w:sz w:val="24"/>
        </w:rPr>
        <w:t>0.1736%</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61644B">
        <w:rPr>
          <w:color w:val="000000"/>
          <w:sz w:val="24"/>
        </w:rPr>
        <w:t>“</w:t>
      </w:r>
      <w:r w:rsidRPr="0061644B">
        <w:rPr>
          <w:color w:val="000000"/>
          <w:sz w:val="24"/>
        </w:rPr>
        <w:t>不松不紧</w:t>
      </w:r>
      <w:r w:rsidRPr="0061644B">
        <w:rPr>
          <w:color w:val="000000"/>
          <w:sz w:val="24"/>
        </w:rPr>
        <w:t>”</w:t>
      </w:r>
      <w:r w:rsidRPr="0061644B">
        <w:rPr>
          <w:color w:val="000000"/>
          <w:sz w:val="24"/>
        </w:rPr>
        <w:t>的货币政策为主，既抑制资产价格泡沫再度膨胀，又配合三会继续深化金融监管，着力维稳金融市场。组合管理方面，本基金将积极研判宏观经济走势，密切跟踪央行货币政策操作动态，尽力保持产品较好的流动性，努力把握市场机会，严格控制信用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A70D34" w:rsidRDefault="00620E8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70D34" w:rsidRDefault="00620E8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D61B17">
        <w:rPr>
          <w:rFonts w:hint="eastAsia"/>
          <w:color w:val="000000"/>
          <w:sz w:val="24"/>
        </w:rPr>
        <w:t>半</w:t>
      </w:r>
      <w:r w:rsidR="00D61B17" w:rsidRPr="00D61B17">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lastRenderedPageBreak/>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本报告中财务指标、净值收益表现、收益分配情况、财务会计报告、投资组合报告的数据真实、准确和完整（注：财务会计报告中的</w:t>
      </w:r>
      <w:r w:rsidRPr="0061644B">
        <w:rPr>
          <w:color w:val="000000"/>
          <w:sz w:val="24"/>
        </w:rPr>
        <w:t>“</w:t>
      </w:r>
      <w:r w:rsidRPr="0061644B">
        <w:rPr>
          <w:color w:val="000000"/>
          <w:sz w:val="24"/>
        </w:rPr>
        <w:t>金融工具风险及管理</w:t>
      </w:r>
      <w:r w:rsidRPr="0061644B">
        <w:rPr>
          <w:color w:val="000000"/>
          <w:sz w:val="24"/>
        </w:rPr>
        <w:t>”</w:t>
      </w:r>
      <w:r w:rsidRPr="0061644B">
        <w:rPr>
          <w:color w:val="000000"/>
          <w:sz w:val="24"/>
        </w:rPr>
        <w:t>部分，以及涉及关联方和基金份额持有人信息等相关数据未在托管人复核范围内）。</w:t>
      </w:r>
    </w:p>
    <w:p w:rsidR="009064D7" w:rsidRPr="0061644B" w:rsidRDefault="009064D7" w:rsidP="00792A69">
      <w:pPr>
        <w:spacing w:before="29" w:line="288" w:lineRule="auto"/>
        <w:ind w:firstLineChars="200" w:firstLine="480"/>
        <w:rPr>
          <w:color w:val="000000"/>
          <w:sz w:val="24"/>
        </w:rPr>
      </w:pPr>
    </w:p>
    <w:p w:rsidR="00223DFB" w:rsidRPr="0061644B" w:rsidRDefault="005A4B4C"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会计主体：交银施罗德活期通货币市场基金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2,548,727,952.27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1,173,103,110.97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2,066,327,030.85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259,226,839.74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lastRenderedPageBreak/>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2,066,327,030.85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259,226,839.74</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459,194,000.00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316,051,665.73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20,319,177.33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8,440,261.80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10,268,461.51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37,162.00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5,104,836,621.96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1,756,859,040.24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196,372,173.22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1,289,557.12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314,325.66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214,926.16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52,387.61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722,559.01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208,427.32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25,445.69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9,717.28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19,104.05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550,241.40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171,699.30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178,394.13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199,372,400.78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865,857.17</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4,905,464,221.18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1,755,993,183.07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4,905,464,221.18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1,755,993,183.07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5,104,836,621.96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1,756,859,040.24</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4,905,464,221.18</w:t>
      </w:r>
      <w:r w:rsidRPr="0061644B">
        <w:rPr>
          <w:kern w:val="0"/>
          <w:sz w:val="24"/>
        </w:rPr>
        <w:t>份，其中</w:t>
      </w:r>
      <w:r w:rsidRPr="0061644B">
        <w:rPr>
          <w:kern w:val="0"/>
          <w:sz w:val="24"/>
        </w:rPr>
        <w:t>A</w:t>
      </w:r>
      <w:r w:rsidRPr="0061644B">
        <w:rPr>
          <w:kern w:val="0"/>
          <w:sz w:val="24"/>
        </w:rPr>
        <w:t>类基金份额总额</w:t>
      </w:r>
      <w:r w:rsidRPr="0061644B">
        <w:rPr>
          <w:kern w:val="0"/>
          <w:sz w:val="24"/>
        </w:rPr>
        <w:t>3,584,171,965.42</w:t>
      </w:r>
      <w:r w:rsidRPr="0061644B">
        <w:rPr>
          <w:kern w:val="0"/>
          <w:sz w:val="24"/>
        </w:rPr>
        <w:t>份，</w:t>
      </w:r>
      <w:r w:rsidRPr="0061644B">
        <w:rPr>
          <w:kern w:val="0"/>
          <w:sz w:val="24"/>
        </w:rPr>
        <w:t>E</w:t>
      </w:r>
      <w:r w:rsidRPr="0061644B">
        <w:rPr>
          <w:kern w:val="0"/>
          <w:sz w:val="24"/>
        </w:rPr>
        <w:t>类基金份额总额</w:t>
      </w:r>
      <w:r w:rsidRPr="0061644B">
        <w:rPr>
          <w:kern w:val="0"/>
          <w:sz w:val="24"/>
        </w:rPr>
        <w:t>1,321,292,255.76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交银施罗德活期通货币市场基金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4322"/>
      </w:tblGrid>
      <w:tr w:rsidR="00D61B17" w:rsidRPr="0061644B" w:rsidTr="00D61B17">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322"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r>
      <w:tr w:rsidR="00D61B17" w:rsidRPr="0061644B" w:rsidTr="00D61B1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65,031,330.63</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64,868,888.63</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42,165,596.14</w:t>
            </w:r>
          </w:p>
        </w:tc>
      </w:tr>
      <w:tr w:rsidR="00D61B17" w:rsidRPr="0061644B" w:rsidTr="00D61B1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16,992,320.32</w:t>
            </w:r>
          </w:p>
        </w:tc>
      </w:tr>
      <w:tr w:rsidR="00D61B17" w:rsidRPr="0061644B" w:rsidTr="00D61B1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5,710,972.17</w:t>
            </w:r>
          </w:p>
        </w:tc>
      </w:tr>
      <w:tr w:rsidR="00D61B17" w:rsidRPr="0061644B" w:rsidTr="00D61B17">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162,442.00</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162,442.00</w:t>
            </w:r>
          </w:p>
        </w:tc>
      </w:tr>
      <w:tr w:rsidR="00D61B17" w:rsidRPr="0061644B" w:rsidTr="00D61B1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5E1AD8" w:rsidTr="00D61B17">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9,686,429.40</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4,528,594.99</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754,765.75</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2,918,122.26</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1,334,460.10</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1,334,460.10</w:t>
            </w:r>
          </w:p>
        </w:tc>
      </w:tr>
      <w:tr w:rsidR="00D61B17" w:rsidRPr="0061644B" w:rsidTr="00D61B17">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150,486.30</w:t>
            </w:r>
          </w:p>
        </w:tc>
      </w:tr>
      <w:tr w:rsidR="00D61B17" w:rsidRPr="0061644B" w:rsidTr="00D61B1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55,344,901.23</w:t>
            </w:r>
          </w:p>
        </w:tc>
      </w:tr>
      <w:tr w:rsidR="00D61B17" w:rsidRPr="0061644B" w:rsidTr="00D61B17">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61B17" w:rsidRPr="0061644B" w:rsidTr="00D61B17">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4322"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55,344,901.23</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交银施罗德活期通货币市场基金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1,755,993,183.07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3,149,471,038.11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3,149,471,038.11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15,499,141,711.86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15,499,141,711.86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-12,349,670,673.75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-12,349,670,673.75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lastRenderedPageBreak/>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-55,344,901.23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4,905,464,221.18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4,905,464,221.18</w:t>
            </w:r>
          </w:p>
        </w:tc>
      </w:tr>
    </w:tbl>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A70D34" w:rsidRDefault="00620E8B">
      <w:pPr>
        <w:spacing w:before="29" w:line="288" w:lineRule="auto"/>
        <w:ind w:firstLineChars="200" w:firstLine="480"/>
        <w:rPr>
          <w:color w:val="000000"/>
          <w:sz w:val="24"/>
        </w:rPr>
      </w:pPr>
      <w:r>
        <w:rPr>
          <w:color w:val="000000"/>
          <w:sz w:val="24"/>
        </w:rPr>
        <w:t>交银施罗德活期通货币市场基金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[2016]1570</w:t>
      </w:r>
      <w:r>
        <w:rPr>
          <w:color w:val="00000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color w:val="000000"/>
          <w:sz w:val="24"/>
        </w:rPr>
        <w:t>210,070,922.49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996</w:t>
      </w:r>
      <w:r>
        <w:rPr>
          <w:color w:val="000000"/>
          <w:sz w:val="24"/>
        </w:rPr>
        <w:t>号验资报告予以验证。经向中国证监会备案，《交银施罗德活期通货币市场基金基金合同》于</w:t>
      </w:r>
      <w:r>
        <w:rPr>
          <w:color w:val="000000"/>
          <w:sz w:val="24"/>
        </w:rPr>
        <w:t>2016</w:t>
      </w:r>
      <w:r>
        <w:rPr>
          <w:color w:val="000000"/>
          <w:sz w:val="24"/>
        </w:rPr>
        <w:t>年</w:t>
      </w:r>
      <w:r>
        <w:rPr>
          <w:color w:val="000000"/>
          <w:sz w:val="24"/>
        </w:rPr>
        <w:t>7</w:t>
      </w:r>
      <w:r>
        <w:rPr>
          <w:color w:val="000000"/>
          <w:sz w:val="24"/>
        </w:rPr>
        <w:t>月</w:t>
      </w:r>
      <w:r>
        <w:rPr>
          <w:color w:val="000000"/>
          <w:sz w:val="24"/>
        </w:rPr>
        <w:t>27</w:t>
      </w:r>
      <w:r>
        <w:rPr>
          <w:color w:val="000000"/>
          <w:sz w:val="24"/>
        </w:rPr>
        <w:t>日正式生效，基金合同生效日的基金份额总额为</w:t>
      </w:r>
      <w:r>
        <w:rPr>
          <w:color w:val="000000"/>
          <w:sz w:val="24"/>
        </w:rPr>
        <w:t>210,080,375.35</w:t>
      </w:r>
      <w:r>
        <w:rPr>
          <w:color w:val="000000"/>
          <w:sz w:val="24"/>
        </w:rPr>
        <w:t>份基金份额，其中认购资金利息折合</w:t>
      </w:r>
      <w:r>
        <w:rPr>
          <w:color w:val="000000"/>
          <w:sz w:val="24"/>
        </w:rPr>
        <w:t>9,452.86</w:t>
      </w:r>
      <w:r>
        <w:rPr>
          <w:color w:val="000000"/>
          <w:sz w:val="24"/>
        </w:rPr>
        <w:t>份基金份额。本基金的基金管理人为交银施罗德基金管理有限公司，基金托管人为中信建投证券股份有限公司。</w:t>
      </w:r>
    </w:p>
    <w:p w:rsidR="00A70D34" w:rsidRDefault="00620E8B">
      <w:pPr>
        <w:spacing w:before="29" w:line="288" w:lineRule="auto"/>
        <w:ind w:firstLineChars="200" w:firstLine="480"/>
        <w:rPr>
          <w:color w:val="000000"/>
          <w:sz w:val="24"/>
        </w:rPr>
      </w:pPr>
      <w:r>
        <w:rPr>
          <w:color w:val="000000"/>
          <w:sz w:val="24"/>
        </w:rPr>
        <w:t>根据《交银施罗德活期通货币市场基金基金合同》和《交银施罗德活期通货币市场基金招募说明书》的相关规定，本基金根据销售服务费收取方式的不同，将基金份额分为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根据《中华人民共和国证券投资基金法》和《交银施罗德活期通货币市场基金基金合同》的有关规定，本基金的投资范围为法律法规及监管机构允许投资的金融工具，包括现金，期限在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的银行存款、债券回购、中央银行票据、同业存单，剩余期限在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lastRenderedPageBreak/>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颁布的《证券投资基金会计核算业务指引》、《交银施罗德活期通货币市场基金基金合同》和在财务报表附注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A70D34" w:rsidRDefault="00620E8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w:t>
      </w:r>
      <w:r>
        <w:rPr>
          <w:color w:val="000000"/>
          <w:sz w:val="24"/>
        </w:rPr>
        <w:t xml:space="preserve"> </w:t>
      </w:r>
      <w:r>
        <w:rPr>
          <w:color w:val="000000"/>
          <w:sz w:val="24"/>
        </w:rPr>
        <w:t>、财税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70D34" w:rsidRDefault="00620E8B">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w:t>
      </w:r>
      <w:r>
        <w:rPr>
          <w:color w:val="000000"/>
          <w:sz w:val="24"/>
        </w:rPr>
        <w:lastRenderedPageBreak/>
        <w:t>征增值税</w:t>
      </w:r>
      <w:r>
        <w:rPr>
          <w:color w:val="000000"/>
          <w:sz w:val="24"/>
        </w:rPr>
        <w:t xml:space="preserve"> </w:t>
      </w:r>
      <w:r>
        <w:rPr>
          <w:color w:val="000000"/>
          <w:sz w:val="24"/>
        </w:rPr>
        <w:t>。</w:t>
      </w:r>
    </w:p>
    <w:p w:rsidR="00A70D34" w:rsidRDefault="00620E8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A70D34">
        <w:tc>
          <w:tcPr>
            <w:tcW w:w="5219" w:type="dxa"/>
            <w:vAlign w:val="center"/>
          </w:tcPr>
          <w:p w:rsidR="00A70D34" w:rsidRDefault="00620E8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70D34" w:rsidRDefault="00620E8B">
            <w:pPr>
              <w:jc w:val="left"/>
            </w:pPr>
            <w:r>
              <w:rPr>
                <w:color w:val="000000"/>
                <w:sz w:val="24"/>
              </w:rPr>
              <w:t>基金管理人、基金注册登记机构、基金销售机构</w:t>
            </w:r>
          </w:p>
        </w:tc>
      </w:tr>
      <w:tr w:rsidR="00A70D34">
        <w:tc>
          <w:tcPr>
            <w:tcW w:w="5219" w:type="dxa"/>
            <w:vAlign w:val="center"/>
          </w:tcPr>
          <w:p w:rsidR="00A70D34" w:rsidRDefault="00620E8B">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79" w:type="dxa"/>
            <w:vAlign w:val="center"/>
          </w:tcPr>
          <w:p w:rsidR="00A70D34" w:rsidRDefault="00620E8B">
            <w:pPr>
              <w:jc w:val="left"/>
            </w:pPr>
            <w:r>
              <w:rPr>
                <w:color w:val="000000"/>
                <w:sz w:val="24"/>
              </w:rPr>
              <w:t>基金托管人</w:t>
            </w:r>
          </w:p>
        </w:tc>
      </w:tr>
      <w:tr w:rsidR="00A70D34">
        <w:tc>
          <w:tcPr>
            <w:tcW w:w="5219" w:type="dxa"/>
            <w:vAlign w:val="center"/>
          </w:tcPr>
          <w:p w:rsidR="00A70D34" w:rsidRDefault="00620E8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70D34" w:rsidRDefault="00620E8B">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注：下述关联方交易均在正常业务范围内按一般商业条款订立。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D61B17" w:rsidRPr="0061644B" w:rsidTr="00D61B1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D61B17" w:rsidRPr="0061644B" w:rsidTr="00D61B1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4,528,594.99</w:t>
            </w:r>
          </w:p>
        </w:tc>
      </w:tr>
      <w:tr w:rsidR="00D61B17" w:rsidRPr="0061644B" w:rsidTr="00D61B1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17,760.19</w:t>
            </w:r>
          </w:p>
        </w:tc>
      </w:tr>
    </w:tbl>
    <w:p w:rsidR="00A70D34" w:rsidRDefault="00620E8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 xml:space="preserve"> × 0.30%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D61B17" w:rsidRPr="0061644B" w:rsidTr="00D61B1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D61B17" w:rsidRPr="0061644B" w:rsidTr="00D61B17">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754,765.75</w:t>
            </w:r>
          </w:p>
        </w:tc>
      </w:tr>
    </w:tbl>
    <w:p w:rsidR="00A70D34" w:rsidRDefault="00620E8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 xml:space="preserve"> × 0.05%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57"/>
        <w:gridCol w:w="2349"/>
        <w:gridCol w:w="2349"/>
      </w:tblGrid>
      <w:tr w:rsidR="003B16F8" w:rsidRPr="005E1AD8" w:rsidTr="00EE76B8">
        <w:trPr>
          <w:trHeight w:val="465"/>
        </w:trPr>
        <w:tc>
          <w:tcPr>
            <w:tcW w:w="1843"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155"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EE76B8">
        <w:trPr>
          <w:trHeight w:val="465"/>
        </w:trPr>
        <w:tc>
          <w:tcPr>
            <w:tcW w:w="1843"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155"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EE76B8">
        <w:trPr>
          <w:trHeight w:val="465"/>
        </w:trPr>
        <w:tc>
          <w:tcPr>
            <w:tcW w:w="1843"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A</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交银活期通货币</w:t>
            </w:r>
            <w:r w:rsidRPr="005E1AD8">
              <w:rPr>
                <w:sz w:val="24"/>
              </w:rPr>
              <w:t>E</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A70D34" w:rsidTr="00EE76B8">
        <w:tc>
          <w:tcPr>
            <w:tcW w:w="1843" w:type="dxa"/>
            <w:vAlign w:val="center"/>
          </w:tcPr>
          <w:p w:rsidR="00A70D34" w:rsidRDefault="00620E8B">
            <w:pPr>
              <w:jc w:val="center"/>
            </w:pPr>
            <w:r>
              <w:rPr>
                <w:sz w:val="24"/>
              </w:rPr>
              <w:t>交银施罗德基金公司</w:t>
            </w:r>
          </w:p>
        </w:tc>
        <w:tc>
          <w:tcPr>
            <w:tcW w:w="2457" w:type="dxa"/>
            <w:vAlign w:val="center"/>
          </w:tcPr>
          <w:p w:rsidR="00A70D34" w:rsidRDefault="00620E8B">
            <w:pPr>
              <w:jc w:val="center"/>
            </w:pPr>
            <w:r>
              <w:rPr>
                <w:sz w:val="24"/>
              </w:rPr>
              <w:t>2,845,225.49</w:t>
            </w:r>
          </w:p>
        </w:tc>
        <w:tc>
          <w:tcPr>
            <w:tcW w:w="2349" w:type="dxa"/>
            <w:vAlign w:val="center"/>
          </w:tcPr>
          <w:p w:rsidR="00A70D34" w:rsidRDefault="00620E8B">
            <w:pPr>
              <w:jc w:val="center"/>
            </w:pPr>
            <w:r>
              <w:rPr>
                <w:sz w:val="24"/>
              </w:rPr>
              <w:t>35,650.55</w:t>
            </w:r>
          </w:p>
        </w:tc>
        <w:tc>
          <w:tcPr>
            <w:tcW w:w="2349" w:type="dxa"/>
            <w:vAlign w:val="center"/>
          </w:tcPr>
          <w:p w:rsidR="00A70D34" w:rsidRDefault="00620E8B">
            <w:pPr>
              <w:jc w:val="center"/>
            </w:pPr>
            <w:r>
              <w:rPr>
                <w:sz w:val="24"/>
              </w:rPr>
              <w:t>2,880,876.04</w:t>
            </w:r>
          </w:p>
        </w:tc>
      </w:tr>
      <w:tr w:rsidR="00A70D34" w:rsidTr="00EE76B8">
        <w:tc>
          <w:tcPr>
            <w:tcW w:w="1843" w:type="dxa"/>
            <w:vAlign w:val="center"/>
          </w:tcPr>
          <w:p w:rsidR="00A70D34" w:rsidRDefault="00620E8B">
            <w:pPr>
              <w:jc w:val="center"/>
            </w:pPr>
            <w:r>
              <w:rPr>
                <w:sz w:val="24"/>
              </w:rPr>
              <w:t>交通银行</w:t>
            </w:r>
          </w:p>
        </w:tc>
        <w:tc>
          <w:tcPr>
            <w:tcW w:w="2457" w:type="dxa"/>
            <w:vAlign w:val="center"/>
          </w:tcPr>
          <w:p w:rsidR="00A70D34" w:rsidRDefault="00620E8B">
            <w:pPr>
              <w:jc w:val="center"/>
            </w:pPr>
            <w:r>
              <w:rPr>
                <w:sz w:val="24"/>
              </w:rPr>
              <w:t>36,999.97</w:t>
            </w:r>
          </w:p>
        </w:tc>
        <w:tc>
          <w:tcPr>
            <w:tcW w:w="2349" w:type="dxa"/>
            <w:vAlign w:val="center"/>
          </w:tcPr>
          <w:p w:rsidR="00A70D34" w:rsidRDefault="00620E8B">
            <w:pPr>
              <w:jc w:val="center"/>
            </w:pPr>
            <w:r>
              <w:rPr>
                <w:sz w:val="24"/>
              </w:rPr>
              <w:t>-</w:t>
            </w:r>
          </w:p>
        </w:tc>
        <w:tc>
          <w:tcPr>
            <w:tcW w:w="2349" w:type="dxa"/>
            <w:vAlign w:val="center"/>
          </w:tcPr>
          <w:p w:rsidR="00A70D34" w:rsidRDefault="00620E8B">
            <w:pPr>
              <w:jc w:val="center"/>
            </w:pPr>
            <w:r>
              <w:rPr>
                <w:sz w:val="24"/>
              </w:rPr>
              <w:t>36,999.97</w:t>
            </w:r>
          </w:p>
        </w:tc>
      </w:tr>
      <w:tr w:rsidR="003B16F8" w:rsidRPr="005E1AD8" w:rsidTr="00EE76B8">
        <w:trPr>
          <w:trHeight w:val="465"/>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457"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2,882,225.46</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35,650.55</w:t>
            </w:r>
          </w:p>
        </w:tc>
        <w:tc>
          <w:tcPr>
            <w:tcW w:w="2349"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2,917,876.01</w:t>
            </w:r>
          </w:p>
        </w:tc>
      </w:tr>
    </w:tbl>
    <w:p w:rsidR="00A70D34" w:rsidRDefault="00620E8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04467" w:rsidRPr="0061644B" w:rsidRDefault="00604467"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DD4E3C" w:rsidRDefault="00DD4E3C" w:rsidP="00792A69">
      <w:pPr>
        <w:autoSpaceDE w:val="0"/>
        <w:autoSpaceDN w:val="0"/>
        <w:adjustRightInd w:val="0"/>
        <w:spacing w:before="29" w:line="288" w:lineRule="auto"/>
        <w:ind w:left="15" w:right="90"/>
        <w:jc w:val="right"/>
        <w:rPr>
          <w:sz w:val="24"/>
        </w:rPr>
      </w:pP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D61B17" w:rsidRPr="0061644B" w:rsidTr="00D61B17">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D61B17" w:rsidRPr="0061644B" w:rsidTr="00D61B17">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交银活期通货</w:t>
            </w:r>
            <w:r w:rsidRPr="0061644B">
              <w:rPr>
                <w:sz w:val="24"/>
              </w:rPr>
              <w:lastRenderedPageBreak/>
              <w:t>币</w:t>
            </w:r>
            <w:r w:rsidRPr="0061644B">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lastRenderedPageBreak/>
              <w:t>交银活期通货币</w:t>
            </w:r>
            <w:r w:rsidRPr="0061644B">
              <w:rPr>
                <w:sz w:val="24"/>
              </w:rPr>
              <w:t>E</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231,334,975.21</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2,566,361.64</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100,000,000.00</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133,901,336.85</w:t>
            </w:r>
          </w:p>
        </w:tc>
      </w:tr>
      <w:tr w:rsidR="00D61B17" w:rsidRPr="0061644B" w:rsidTr="00D61B1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10.13%</w:t>
            </w:r>
          </w:p>
        </w:tc>
      </w:tr>
    </w:tbl>
    <w:p w:rsidR="00A70D34" w:rsidRDefault="00620E8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70D34" w:rsidRDefault="00620E8B">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本期</w:t>
            </w:r>
          </w:p>
          <w:p w:rsidR="00E8377C" w:rsidRPr="0061644B" w:rsidRDefault="00E8377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E8377C" w:rsidRPr="0061644B" w:rsidTr="00524C6D">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61644B" w:rsidRDefault="00E8377C" w:rsidP="00792A69">
            <w:pPr>
              <w:spacing w:before="29" w:line="288" w:lineRule="auto"/>
              <w:jc w:val="center"/>
              <w:rPr>
                <w:sz w:val="24"/>
              </w:rPr>
            </w:pPr>
            <w:r w:rsidRPr="0061644B">
              <w:rPr>
                <w:sz w:val="24"/>
              </w:rPr>
              <w:t>当期利息收入</w:t>
            </w:r>
          </w:p>
        </w:tc>
      </w:tr>
      <w:tr w:rsidR="00A70D34">
        <w:tc>
          <w:tcPr>
            <w:tcW w:w="1796" w:type="dxa"/>
            <w:vAlign w:val="center"/>
          </w:tcPr>
          <w:p w:rsidR="00A70D34" w:rsidRDefault="00620E8B">
            <w:pPr>
              <w:jc w:val="center"/>
            </w:pPr>
            <w:r>
              <w:rPr>
                <w:sz w:val="24"/>
              </w:rPr>
              <w:t>交通银行股份有限公司</w:t>
            </w:r>
          </w:p>
        </w:tc>
        <w:tc>
          <w:tcPr>
            <w:tcW w:w="3014" w:type="dxa"/>
            <w:vAlign w:val="center"/>
          </w:tcPr>
          <w:p w:rsidR="00A70D34" w:rsidRDefault="00620E8B">
            <w:pPr>
              <w:jc w:val="center"/>
            </w:pPr>
            <w:r>
              <w:rPr>
                <w:sz w:val="24"/>
              </w:rPr>
              <w:t>6,727,952.27</w:t>
            </w:r>
          </w:p>
        </w:tc>
        <w:tc>
          <w:tcPr>
            <w:tcW w:w="4188" w:type="dxa"/>
            <w:vAlign w:val="center"/>
          </w:tcPr>
          <w:p w:rsidR="00A70D34" w:rsidRDefault="00620E8B">
            <w:pPr>
              <w:jc w:val="center"/>
            </w:pPr>
            <w:r>
              <w:rPr>
                <w:sz w:val="24"/>
              </w:rPr>
              <w:t>91,986.90</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注：本基金的银行存款账户开立在交通银行，按银行同业利率计息。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626ADF">
      <w:pPr>
        <w:spacing w:before="29" w:line="288" w:lineRule="auto"/>
        <w:rPr>
          <w:color w:val="000000"/>
          <w:sz w:val="24"/>
        </w:rPr>
      </w:pPr>
      <w:r w:rsidRPr="0061644B">
        <w:rPr>
          <w:color w:val="000000"/>
          <w:sz w:val="24"/>
        </w:rPr>
        <w:t>本基金本报告期内无其他关联交易事项。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lastRenderedPageBreak/>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本基金本报告期末无从事债券正回购交易形成的卖出回购证券款余额。</w:t>
      </w:r>
    </w:p>
    <w:p w:rsidR="006D141C" w:rsidRPr="0061644B" w:rsidRDefault="006D141C" w:rsidP="00792A69">
      <w:pPr>
        <w:spacing w:before="29" w:line="288" w:lineRule="auto"/>
        <w:rPr>
          <w:sz w:val="24"/>
        </w:rPr>
      </w:pPr>
    </w:p>
    <w:p w:rsidR="006D141C" w:rsidRPr="0061644B" w:rsidRDefault="002620BD" w:rsidP="005D3C9D">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2,066,327,030.85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40.48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2,066,327,030.85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40.48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459,194,000.00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9.00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2,548,727,952.27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49.93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30,587,638.84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0.60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5,104,836,621.96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2.34</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0.03</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196,372,173.22</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4.00</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105</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111</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52</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15.07</w:t>
            </w:r>
          </w:p>
        </w:tc>
        <w:tc>
          <w:tcPr>
            <w:tcW w:w="2550" w:type="dxa"/>
            <w:vAlign w:val="center"/>
          </w:tcPr>
          <w:p w:rsidR="004339AD" w:rsidRPr="0061644B" w:rsidRDefault="004339AD" w:rsidP="00792A69">
            <w:pPr>
              <w:spacing w:before="29" w:line="288" w:lineRule="auto"/>
              <w:jc w:val="right"/>
              <w:rPr>
                <w:sz w:val="24"/>
              </w:rPr>
            </w:pPr>
            <w:r w:rsidRPr="0061644B">
              <w:rPr>
                <w:sz w:val="24"/>
              </w:rPr>
              <w:t>4.00</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12.44</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37.08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8.64</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30.21</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lastRenderedPageBreak/>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103.44</w:t>
            </w:r>
          </w:p>
        </w:tc>
        <w:tc>
          <w:tcPr>
            <w:tcW w:w="2550" w:type="dxa"/>
            <w:vAlign w:val="center"/>
          </w:tcPr>
          <w:p w:rsidR="001E0231" w:rsidRPr="0061644B" w:rsidRDefault="001E0231" w:rsidP="00792A69">
            <w:pPr>
              <w:spacing w:before="29" w:line="288" w:lineRule="auto"/>
              <w:jc w:val="right"/>
              <w:rPr>
                <w:sz w:val="24"/>
              </w:rPr>
            </w:pPr>
            <w:r w:rsidRPr="0061644B">
              <w:rPr>
                <w:sz w:val="24"/>
              </w:rPr>
              <w:t>4.00</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626ADF">
      <w:pPr>
        <w:spacing w:line="360" w:lineRule="auto"/>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99,208,160.49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2.02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174,626,950.57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3.56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174,626,950.57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3.56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370,103,629.98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7.54</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1,422,388,289.81</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29.00</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2,066,327,030.85</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42.12</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7.6</w:t>
      </w:r>
      <w:bookmarkEnd w:id="25"/>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A70D34">
        <w:tc>
          <w:tcPr>
            <w:tcW w:w="778" w:type="dxa"/>
            <w:vAlign w:val="center"/>
          </w:tcPr>
          <w:p w:rsidR="00A70D34" w:rsidRDefault="00620E8B">
            <w:pPr>
              <w:jc w:val="center"/>
            </w:pPr>
            <w:r>
              <w:rPr>
                <w:sz w:val="24"/>
              </w:rPr>
              <w:t>1</w:t>
            </w:r>
          </w:p>
        </w:tc>
        <w:tc>
          <w:tcPr>
            <w:tcW w:w="1348" w:type="dxa"/>
            <w:vAlign w:val="center"/>
          </w:tcPr>
          <w:p w:rsidR="00A70D34" w:rsidRDefault="00620E8B">
            <w:pPr>
              <w:jc w:val="center"/>
            </w:pPr>
            <w:r>
              <w:rPr>
                <w:sz w:val="24"/>
              </w:rPr>
              <w:t>111799948</w:t>
            </w:r>
          </w:p>
        </w:tc>
        <w:tc>
          <w:tcPr>
            <w:tcW w:w="1787" w:type="dxa"/>
            <w:vAlign w:val="center"/>
          </w:tcPr>
          <w:p w:rsidR="00A70D34" w:rsidRDefault="00620E8B">
            <w:pPr>
              <w:jc w:val="center"/>
            </w:pPr>
            <w:r>
              <w:rPr>
                <w:sz w:val="24"/>
              </w:rPr>
              <w:t>17</w:t>
            </w:r>
            <w:r>
              <w:rPr>
                <w:sz w:val="24"/>
              </w:rPr>
              <w:t>长沙银行</w:t>
            </w:r>
            <w:r>
              <w:rPr>
                <w:sz w:val="24"/>
              </w:rPr>
              <w:t>CD058</w:t>
            </w:r>
          </w:p>
        </w:tc>
        <w:tc>
          <w:tcPr>
            <w:tcW w:w="1756" w:type="dxa"/>
            <w:vAlign w:val="center"/>
          </w:tcPr>
          <w:p w:rsidR="00A70D34" w:rsidRDefault="00620E8B">
            <w:pPr>
              <w:jc w:val="center"/>
            </w:pPr>
            <w:r>
              <w:rPr>
                <w:sz w:val="24"/>
              </w:rPr>
              <w:t>1,500,000</w:t>
            </w:r>
          </w:p>
        </w:tc>
        <w:tc>
          <w:tcPr>
            <w:tcW w:w="2008" w:type="dxa"/>
            <w:vAlign w:val="center"/>
          </w:tcPr>
          <w:p w:rsidR="00A70D34" w:rsidRDefault="00620E8B">
            <w:pPr>
              <w:jc w:val="center"/>
            </w:pPr>
            <w:r>
              <w:rPr>
                <w:sz w:val="24"/>
              </w:rPr>
              <w:t>148,387,623.84</w:t>
            </w:r>
          </w:p>
        </w:tc>
        <w:tc>
          <w:tcPr>
            <w:tcW w:w="1542" w:type="dxa"/>
            <w:vAlign w:val="center"/>
          </w:tcPr>
          <w:p w:rsidR="00A70D34" w:rsidRDefault="00620E8B">
            <w:pPr>
              <w:jc w:val="center"/>
            </w:pPr>
            <w:r>
              <w:rPr>
                <w:sz w:val="24"/>
              </w:rPr>
              <w:t>3.02</w:t>
            </w:r>
          </w:p>
        </w:tc>
      </w:tr>
      <w:tr w:rsidR="00A70D34">
        <w:tc>
          <w:tcPr>
            <w:tcW w:w="778" w:type="dxa"/>
            <w:vAlign w:val="center"/>
          </w:tcPr>
          <w:p w:rsidR="00A70D34" w:rsidRDefault="00620E8B">
            <w:pPr>
              <w:jc w:val="center"/>
            </w:pPr>
            <w:r>
              <w:rPr>
                <w:sz w:val="24"/>
              </w:rPr>
              <w:t>2</w:t>
            </w:r>
          </w:p>
        </w:tc>
        <w:tc>
          <w:tcPr>
            <w:tcW w:w="1348" w:type="dxa"/>
            <w:vAlign w:val="center"/>
          </w:tcPr>
          <w:p w:rsidR="00A70D34" w:rsidRDefault="00620E8B">
            <w:pPr>
              <w:jc w:val="center"/>
            </w:pPr>
            <w:r>
              <w:rPr>
                <w:sz w:val="24"/>
              </w:rPr>
              <w:t>111713048</w:t>
            </w:r>
          </w:p>
        </w:tc>
        <w:tc>
          <w:tcPr>
            <w:tcW w:w="1787" w:type="dxa"/>
            <w:vAlign w:val="center"/>
          </w:tcPr>
          <w:p w:rsidR="00A70D34" w:rsidRDefault="00620E8B">
            <w:pPr>
              <w:jc w:val="center"/>
            </w:pPr>
            <w:r>
              <w:rPr>
                <w:sz w:val="24"/>
              </w:rPr>
              <w:t>17</w:t>
            </w:r>
            <w:r>
              <w:rPr>
                <w:sz w:val="24"/>
              </w:rPr>
              <w:t>浙商银行</w:t>
            </w:r>
            <w:r>
              <w:rPr>
                <w:sz w:val="24"/>
              </w:rPr>
              <w:t>CD048</w:t>
            </w:r>
          </w:p>
        </w:tc>
        <w:tc>
          <w:tcPr>
            <w:tcW w:w="1756" w:type="dxa"/>
            <w:vAlign w:val="center"/>
          </w:tcPr>
          <w:p w:rsidR="00A70D34" w:rsidRDefault="00620E8B">
            <w:pPr>
              <w:jc w:val="center"/>
            </w:pPr>
            <w:r>
              <w:rPr>
                <w:sz w:val="24"/>
              </w:rPr>
              <w:t>1,500,000</w:t>
            </w:r>
          </w:p>
        </w:tc>
        <w:tc>
          <w:tcPr>
            <w:tcW w:w="2008" w:type="dxa"/>
            <w:vAlign w:val="center"/>
          </w:tcPr>
          <w:p w:rsidR="00A70D34" w:rsidRDefault="00620E8B">
            <w:pPr>
              <w:jc w:val="center"/>
            </w:pPr>
            <w:r>
              <w:rPr>
                <w:sz w:val="24"/>
              </w:rPr>
              <w:t>146,684,525.58</w:t>
            </w:r>
          </w:p>
        </w:tc>
        <w:tc>
          <w:tcPr>
            <w:tcW w:w="1542" w:type="dxa"/>
            <w:vAlign w:val="center"/>
          </w:tcPr>
          <w:p w:rsidR="00A70D34" w:rsidRDefault="00620E8B">
            <w:pPr>
              <w:jc w:val="center"/>
            </w:pPr>
            <w:r>
              <w:rPr>
                <w:sz w:val="24"/>
              </w:rPr>
              <w:t>2.99</w:t>
            </w:r>
          </w:p>
        </w:tc>
      </w:tr>
      <w:tr w:rsidR="00A70D34">
        <w:tc>
          <w:tcPr>
            <w:tcW w:w="778" w:type="dxa"/>
            <w:vAlign w:val="center"/>
          </w:tcPr>
          <w:p w:rsidR="00A70D34" w:rsidRDefault="00620E8B">
            <w:pPr>
              <w:jc w:val="center"/>
            </w:pPr>
            <w:r>
              <w:rPr>
                <w:sz w:val="24"/>
              </w:rPr>
              <w:t>3</w:t>
            </w:r>
          </w:p>
        </w:tc>
        <w:tc>
          <w:tcPr>
            <w:tcW w:w="1348" w:type="dxa"/>
            <w:vAlign w:val="center"/>
          </w:tcPr>
          <w:p w:rsidR="00A70D34" w:rsidRDefault="00620E8B">
            <w:pPr>
              <w:jc w:val="center"/>
            </w:pPr>
            <w:r>
              <w:rPr>
                <w:sz w:val="24"/>
              </w:rPr>
              <w:t>111780064</w:t>
            </w:r>
          </w:p>
        </w:tc>
        <w:tc>
          <w:tcPr>
            <w:tcW w:w="1787" w:type="dxa"/>
            <w:vAlign w:val="center"/>
          </w:tcPr>
          <w:p w:rsidR="00A70D34" w:rsidRDefault="00620E8B">
            <w:pPr>
              <w:jc w:val="center"/>
            </w:pPr>
            <w:r>
              <w:rPr>
                <w:sz w:val="24"/>
              </w:rPr>
              <w:t>17</w:t>
            </w:r>
            <w:r>
              <w:rPr>
                <w:sz w:val="24"/>
              </w:rPr>
              <w:t>中原银行</w:t>
            </w:r>
            <w:r>
              <w:rPr>
                <w:sz w:val="24"/>
              </w:rPr>
              <w:t>CD135</w:t>
            </w:r>
          </w:p>
        </w:tc>
        <w:tc>
          <w:tcPr>
            <w:tcW w:w="1756" w:type="dxa"/>
            <w:vAlign w:val="center"/>
          </w:tcPr>
          <w:p w:rsidR="00A70D34" w:rsidRDefault="00620E8B">
            <w:pPr>
              <w:jc w:val="center"/>
            </w:pPr>
            <w:r>
              <w:rPr>
                <w:sz w:val="24"/>
              </w:rPr>
              <w:t>1,500,000</w:t>
            </w:r>
          </w:p>
        </w:tc>
        <w:tc>
          <w:tcPr>
            <w:tcW w:w="2008" w:type="dxa"/>
            <w:vAlign w:val="center"/>
          </w:tcPr>
          <w:p w:rsidR="00A70D34" w:rsidRDefault="00620E8B">
            <w:pPr>
              <w:jc w:val="center"/>
            </w:pPr>
            <w:r>
              <w:rPr>
                <w:sz w:val="24"/>
              </w:rPr>
              <w:t>146,665,465.42</w:t>
            </w:r>
          </w:p>
        </w:tc>
        <w:tc>
          <w:tcPr>
            <w:tcW w:w="1542" w:type="dxa"/>
            <w:vAlign w:val="center"/>
          </w:tcPr>
          <w:p w:rsidR="00A70D34" w:rsidRDefault="00620E8B">
            <w:pPr>
              <w:jc w:val="center"/>
            </w:pPr>
            <w:r>
              <w:rPr>
                <w:sz w:val="24"/>
              </w:rPr>
              <w:t>2.99</w:t>
            </w:r>
          </w:p>
        </w:tc>
      </w:tr>
      <w:tr w:rsidR="00A70D34">
        <w:tc>
          <w:tcPr>
            <w:tcW w:w="778" w:type="dxa"/>
            <w:vAlign w:val="center"/>
          </w:tcPr>
          <w:p w:rsidR="00A70D34" w:rsidRDefault="00620E8B">
            <w:pPr>
              <w:jc w:val="center"/>
            </w:pPr>
            <w:r>
              <w:rPr>
                <w:sz w:val="24"/>
              </w:rPr>
              <w:t>4</w:t>
            </w:r>
          </w:p>
        </w:tc>
        <w:tc>
          <w:tcPr>
            <w:tcW w:w="1348" w:type="dxa"/>
            <w:vAlign w:val="center"/>
          </w:tcPr>
          <w:p w:rsidR="00A70D34" w:rsidRDefault="00620E8B">
            <w:pPr>
              <w:jc w:val="center"/>
            </w:pPr>
            <w:r>
              <w:rPr>
                <w:sz w:val="24"/>
              </w:rPr>
              <w:t>111780057</w:t>
            </w:r>
          </w:p>
        </w:tc>
        <w:tc>
          <w:tcPr>
            <w:tcW w:w="1787" w:type="dxa"/>
            <w:vAlign w:val="center"/>
          </w:tcPr>
          <w:p w:rsidR="00A70D34" w:rsidRDefault="00620E8B">
            <w:pPr>
              <w:jc w:val="center"/>
            </w:pPr>
            <w:r>
              <w:rPr>
                <w:sz w:val="24"/>
              </w:rPr>
              <w:t>17</w:t>
            </w:r>
            <w:r>
              <w:rPr>
                <w:sz w:val="24"/>
              </w:rPr>
              <w:t>华融湘江银行</w:t>
            </w:r>
            <w:r>
              <w:rPr>
                <w:sz w:val="24"/>
              </w:rPr>
              <w:t>CD065</w:t>
            </w:r>
          </w:p>
        </w:tc>
        <w:tc>
          <w:tcPr>
            <w:tcW w:w="1756" w:type="dxa"/>
            <w:vAlign w:val="center"/>
          </w:tcPr>
          <w:p w:rsidR="00A70D34" w:rsidRDefault="00620E8B">
            <w:pPr>
              <w:jc w:val="center"/>
            </w:pPr>
            <w:r>
              <w:rPr>
                <w:sz w:val="24"/>
              </w:rPr>
              <w:t>1,500,000</w:t>
            </w:r>
          </w:p>
        </w:tc>
        <w:tc>
          <w:tcPr>
            <w:tcW w:w="2008" w:type="dxa"/>
            <w:vAlign w:val="center"/>
          </w:tcPr>
          <w:p w:rsidR="00A70D34" w:rsidRDefault="00620E8B">
            <w:pPr>
              <w:jc w:val="center"/>
            </w:pPr>
            <w:r>
              <w:rPr>
                <w:sz w:val="24"/>
              </w:rPr>
              <w:t>144,907,916.28</w:t>
            </w:r>
          </w:p>
        </w:tc>
        <w:tc>
          <w:tcPr>
            <w:tcW w:w="1542" w:type="dxa"/>
            <w:vAlign w:val="center"/>
          </w:tcPr>
          <w:p w:rsidR="00A70D34" w:rsidRDefault="00620E8B">
            <w:pPr>
              <w:jc w:val="center"/>
            </w:pPr>
            <w:r>
              <w:rPr>
                <w:sz w:val="24"/>
              </w:rPr>
              <w:t>2.95</w:t>
            </w:r>
          </w:p>
        </w:tc>
      </w:tr>
      <w:tr w:rsidR="00A70D34">
        <w:tc>
          <w:tcPr>
            <w:tcW w:w="778" w:type="dxa"/>
            <w:vAlign w:val="center"/>
          </w:tcPr>
          <w:p w:rsidR="00A70D34" w:rsidRDefault="00620E8B">
            <w:pPr>
              <w:jc w:val="center"/>
            </w:pPr>
            <w:r>
              <w:rPr>
                <w:sz w:val="24"/>
              </w:rPr>
              <w:t>5</w:t>
            </w:r>
          </w:p>
        </w:tc>
        <w:tc>
          <w:tcPr>
            <w:tcW w:w="1348" w:type="dxa"/>
            <w:vAlign w:val="center"/>
          </w:tcPr>
          <w:p w:rsidR="00A70D34" w:rsidRDefault="00620E8B">
            <w:pPr>
              <w:jc w:val="center"/>
            </w:pPr>
            <w:r>
              <w:rPr>
                <w:sz w:val="24"/>
              </w:rPr>
              <w:t>011758060</w:t>
            </w:r>
          </w:p>
        </w:tc>
        <w:tc>
          <w:tcPr>
            <w:tcW w:w="1787" w:type="dxa"/>
            <w:vAlign w:val="center"/>
          </w:tcPr>
          <w:p w:rsidR="00A70D34" w:rsidRDefault="00620E8B">
            <w:pPr>
              <w:jc w:val="center"/>
            </w:pPr>
            <w:r>
              <w:rPr>
                <w:sz w:val="24"/>
              </w:rPr>
              <w:t>17</w:t>
            </w:r>
            <w:r>
              <w:rPr>
                <w:sz w:val="24"/>
              </w:rPr>
              <w:t>中航资本</w:t>
            </w:r>
            <w:r>
              <w:rPr>
                <w:sz w:val="24"/>
              </w:rPr>
              <w:t>SCP001</w:t>
            </w:r>
          </w:p>
        </w:tc>
        <w:tc>
          <w:tcPr>
            <w:tcW w:w="1756" w:type="dxa"/>
            <w:vAlign w:val="center"/>
          </w:tcPr>
          <w:p w:rsidR="00A70D34" w:rsidRDefault="00620E8B">
            <w:pPr>
              <w:jc w:val="center"/>
            </w:pPr>
            <w:r>
              <w:rPr>
                <w:sz w:val="24"/>
              </w:rPr>
              <w:t>1,000,000</w:t>
            </w:r>
          </w:p>
        </w:tc>
        <w:tc>
          <w:tcPr>
            <w:tcW w:w="2008" w:type="dxa"/>
            <w:vAlign w:val="center"/>
          </w:tcPr>
          <w:p w:rsidR="00A70D34" w:rsidRDefault="00620E8B">
            <w:pPr>
              <w:jc w:val="center"/>
            </w:pPr>
            <w:r>
              <w:rPr>
                <w:sz w:val="24"/>
              </w:rPr>
              <w:t>100,088,165.82</w:t>
            </w:r>
          </w:p>
        </w:tc>
        <w:tc>
          <w:tcPr>
            <w:tcW w:w="1542" w:type="dxa"/>
            <w:vAlign w:val="center"/>
          </w:tcPr>
          <w:p w:rsidR="00A70D34" w:rsidRDefault="00620E8B">
            <w:pPr>
              <w:jc w:val="center"/>
            </w:pPr>
            <w:r>
              <w:rPr>
                <w:sz w:val="24"/>
              </w:rPr>
              <w:t>2.04</w:t>
            </w:r>
          </w:p>
        </w:tc>
      </w:tr>
      <w:tr w:rsidR="00A70D34">
        <w:tc>
          <w:tcPr>
            <w:tcW w:w="778" w:type="dxa"/>
            <w:vAlign w:val="center"/>
          </w:tcPr>
          <w:p w:rsidR="00A70D34" w:rsidRDefault="00620E8B">
            <w:pPr>
              <w:jc w:val="center"/>
            </w:pPr>
            <w:r>
              <w:rPr>
                <w:sz w:val="24"/>
              </w:rPr>
              <w:lastRenderedPageBreak/>
              <w:t>6</w:t>
            </w:r>
          </w:p>
        </w:tc>
        <w:tc>
          <w:tcPr>
            <w:tcW w:w="1348" w:type="dxa"/>
            <w:vAlign w:val="center"/>
          </w:tcPr>
          <w:p w:rsidR="00A70D34" w:rsidRDefault="00620E8B">
            <w:pPr>
              <w:jc w:val="center"/>
            </w:pPr>
            <w:r>
              <w:rPr>
                <w:sz w:val="24"/>
              </w:rPr>
              <w:t>179930</w:t>
            </w:r>
          </w:p>
        </w:tc>
        <w:tc>
          <w:tcPr>
            <w:tcW w:w="1787" w:type="dxa"/>
            <w:vAlign w:val="center"/>
          </w:tcPr>
          <w:p w:rsidR="00A70D34" w:rsidRDefault="00620E8B">
            <w:pPr>
              <w:jc w:val="center"/>
            </w:pPr>
            <w:r>
              <w:rPr>
                <w:sz w:val="24"/>
              </w:rPr>
              <w:t>17</w:t>
            </w:r>
            <w:r>
              <w:rPr>
                <w:sz w:val="24"/>
              </w:rPr>
              <w:t>贴现国债</w:t>
            </w:r>
            <w:r>
              <w:rPr>
                <w:sz w:val="24"/>
              </w:rPr>
              <w:t>30</w:t>
            </w:r>
          </w:p>
        </w:tc>
        <w:tc>
          <w:tcPr>
            <w:tcW w:w="1756" w:type="dxa"/>
            <w:vAlign w:val="center"/>
          </w:tcPr>
          <w:p w:rsidR="00A70D34" w:rsidRDefault="00620E8B">
            <w:pPr>
              <w:jc w:val="center"/>
            </w:pPr>
            <w:r>
              <w:rPr>
                <w:sz w:val="24"/>
              </w:rPr>
              <w:t>1,000,000</w:t>
            </w:r>
          </w:p>
        </w:tc>
        <w:tc>
          <w:tcPr>
            <w:tcW w:w="2008" w:type="dxa"/>
            <w:vAlign w:val="center"/>
          </w:tcPr>
          <w:p w:rsidR="00A70D34" w:rsidRDefault="00620E8B">
            <w:pPr>
              <w:jc w:val="center"/>
            </w:pPr>
            <w:r>
              <w:rPr>
                <w:sz w:val="24"/>
              </w:rPr>
              <w:t>99,208,160.49</w:t>
            </w:r>
          </w:p>
        </w:tc>
        <w:tc>
          <w:tcPr>
            <w:tcW w:w="1542" w:type="dxa"/>
            <w:vAlign w:val="center"/>
          </w:tcPr>
          <w:p w:rsidR="00A70D34" w:rsidRDefault="00620E8B">
            <w:pPr>
              <w:jc w:val="center"/>
            </w:pPr>
            <w:r>
              <w:rPr>
                <w:sz w:val="24"/>
              </w:rPr>
              <w:t>2.02</w:t>
            </w:r>
          </w:p>
        </w:tc>
      </w:tr>
      <w:tr w:rsidR="00A70D34">
        <w:tc>
          <w:tcPr>
            <w:tcW w:w="778" w:type="dxa"/>
            <w:vAlign w:val="center"/>
          </w:tcPr>
          <w:p w:rsidR="00A70D34" w:rsidRDefault="00620E8B">
            <w:pPr>
              <w:jc w:val="center"/>
            </w:pPr>
            <w:r>
              <w:rPr>
                <w:sz w:val="24"/>
              </w:rPr>
              <w:t>7</w:t>
            </w:r>
          </w:p>
        </w:tc>
        <w:tc>
          <w:tcPr>
            <w:tcW w:w="1348" w:type="dxa"/>
            <w:vAlign w:val="center"/>
          </w:tcPr>
          <w:p w:rsidR="00A70D34" w:rsidRDefault="00620E8B">
            <w:pPr>
              <w:jc w:val="center"/>
            </w:pPr>
            <w:r>
              <w:rPr>
                <w:sz w:val="24"/>
              </w:rPr>
              <w:t>111714189</w:t>
            </w:r>
          </w:p>
        </w:tc>
        <w:tc>
          <w:tcPr>
            <w:tcW w:w="1787" w:type="dxa"/>
            <w:vAlign w:val="center"/>
          </w:tcPr>
          <w:p w:rsidR="00A70D34" w:rsidRDefault="00620E8B">
            <w:pPr>
              <w:jc w:val="center"/>
            </w:pPr>
            <w:r>
              <w:rPr>
                <w:sz w:val="24"/>
              </w:rPr>
              <w:t>17</w:t>
            </w:r>
            <w:r>
              <w:rPr>
                <w:sz w:val="24"/>
              </w:rPr>
              <w:t>江苏银行</w:t>
            </w:r>
            <w:r>
              <w:rPr>
                <w:sz w:val="24"/>
              </w:rPr>
              <w:t>CD189</w:t>
            </w:r>
          </w:p>
        </w:tc>
        <w:tc>
          <w:tcPr>
            <w:tcW w:w="1756" w:type="dxa"/>
            <w:vAlign w:val="center"/>
          </w:tcPr>
          <w:p w:rsidR="00A70D34" w:rsidRDefault="00620E8B">
            <w:pPr>
              <w:jc w:val="center"/>
            </w:pPr>
            <w:r>
              <w:rPr>
                <w:sz w:val="24"/>
              </w:rPr>
              <w:t>1,000,000</w:t>
            </w:r>
          </w:p>
        </w:tc>
        <w:tc>
          <w:tcPr>
            <w:tcW w:w="2008" w:type="dxa"/>
            <w:vAlign w:val="center"/>
          </w:tcPr>
          <w:p w:rsidR="00A70D34" w:rsidRDefault="00620E8B">
            <w:pPr>
              <w:jc w:val="center"/>
            </w:pPr>
            <w:r>
              <w:rPr>
                <w:sz w:val="24"/>
              </w:rPr>
              <w:t>96,692,672.00</w:t>
            </w:r>
          </w:p>
        </w:tc>
        <w:tc>
          <w:tcPr>
            <w:tcW w:w="1542" w:type="dxa"/>
            <w:vAlign w:val="center"/>
          </w:tcPr>
          <w:p w:rsidR="00A70D34" w:rsidRDefault="00620E8B">
            <w:pPr>
              <w:jc w:val="center"/>
            </w:pPr>
            <w:r>
              <w:rPr>
                <w:sz w:val="24"/>
              </w:rPr>
              <w:t>1.97</w:t>
            </w:r>
          </w:p>
        </w:tc>
      </w:tr>
      <w:tr w:rsidR="00A70D34">
        <w:tc>
          <w:tcPr>
            <w:tcW w:w="778" w:type="dxa"/>
            <w:vAlign w:val="center"/>
          </w:tcPr>
          <w:p w:rsidR="00A70D34" w:rsidRDefault="00620E8B">
            <w:pPr>
              <w:jc w:val="center"/>
            </w:pPr>
            <w:r>
              <w:rPr>
                <w:sz w:val="24"/>
              </w:rPr>
              <w:t>8</w:t>
            </w:r>
          </w:p>
        </w:tc>
        <w:tc>
          <w:tcPr>
            <w:tcW w:w="1348" w:type="dxa"/>
            <w:vAlign w:val="center"/>
          </w:tcPr>
          <w:p w:rsidR="00A70D34" w:rsidRDefault="00620E8B">
            <w:pPr>
              <w:jc w:val="center"/>
            </w:pPr>
            <w:r>
              <w:rPr>
                <w:sz w:val="24"/>
              </w:rPr>
              <w:t>111780069</w:t>
            </w:r>
          </w:p>
        </w:tc>
        <w:tc>
          <w:tcPr>
            <w:tcW w:w="1787" w:type="dxa"/>
            <w:vAlign w:val="center"/>
          </w:tcPr>
          <w:p w:rsidR="00A70D34" w:rsidRDefault="00620E8B">
            <w:pPr>
              <w:jc w:val="center"/>
            </w:pPr>
            <w:r>
              <w:rPr>
                <w:sz w:val="24"/>
              </w:rPr>
              <w:t>17</w:t>
            </w:r>
            <w:r>
              <w:rPr>
                <w:sz w:val="24"/>
              </w:rPr>
              <w:t>锦州银行</w:t>
            </w:r>
            <w:r>
              <w:rPr>
                <w:sz w:val="24"/>
              </w:rPr>
              <w:t>CD172</w:t>
            </w:r>
          </w:p>
        </w:tc>
        <w:tc>
          <w:tcPr>
            <w:tcW w:w="1756" w:type="dxa"/>
            <w:vAlign w:val="center"/>
          </w:tcPr>
          <w:p w:rsidR="00A70D34" w:rsidRDefault="00620E8B">
            <w:pPr>
              <w:jc w:val="center"/>
            </w:pPr>
            <w:r>
              <w:rPr>
                <w:sz w:val="24"/>
              </w:rPr>
              <w:t>1,000,000</w:t>
            </w:r>
          </w:p>
        </w:tc>
        <w:tc>
          <w:tcPr>
            <w:tcW w:w="2008" w:type="dxa"/>
            <w:vAlign w:val="center"/>
          </w:tcPr>
          <w:p w:rsidR="00A70D34" w:rsidRDefault="00620E8B">
            <w:pPr>
              <w:jc w:val="center"/>
            </w:pPr>
            <w:r>
              <w:rPr>
                <w:sz w:val="24"/>
              </w:rPr>
              <w:t>96,591,869.04</w:t>
            </w:r>
          </w:p>
        </w:tc>
        <w:tc>
          <w:tcPr>
            <w:tcW w:w="1542" w:type="dxa"/>
            <w:vAlign w:val="center"/>
          </w:tcPr>
          <w:p w:rsidR="00A70D34" w:rsidRDefault="00620E8B">
            <w:pPr>
              <w:jc w:val="center"/>
            </w:pPr>
            <w:r>
              <w:rPr>
                <w:sz w:val="24"/>
              </w:rPr>
              <w:t>1.97</w:t>
            </w:r>
          </w:p>
        </w:tc>
      </w:tr>
      <w:tr w:rsidR="00A70D34">
        <w:tc>
          <w:tcPr>
            <w:tcW w:w="778" w:type="dxa"/>
            <w:vAlign w:val="center"/>
          </w:tcPr>
          <w:p w:rsidR="00A70D34" w:rsidRDefault="00620E8B">
            <w:pPr>
              <w:jc w:val="center"/>
            </w:pPr>
            <w:r>
              <w:rPr>
                <w:sz w:val="24"/>
              </w:rPr>
              <w:t>9</w:t>
            </w:r>
          </w:p>
        </w:tc>
        <w:tc>
          <w:tcPr>
            <w:tcW w:w="1348" w:type="dxa"/>
            <w:vAlign w:val="center"/>
          </w:tcPr>
          <w:p w:rsidR="00A70D34" w:rsidRDefault="00620E8B">
            <w:pPr>
              <w:jc w:val="center"/>
            </w:pPr>
            <w:r>
              <w:rPr>
                <w:sz w:val="24"/>
              </w:rPr>
              <w:t>111780048</w:t>
            </w:r>
          </w:p>
        </w:tc>
        <w:tc>
          <w:tcPr>
            <w:tcW w:w="1787" w:type="dxa"/>
            <w:vAlign w:val="center"/>
          </w:tcPr>
          <w:p w:rsidR="00A70D34" w:rsidRDefault="00620E8B">
            <w:pPr>
              <w:jc w:val="center"/>
            </w:pPr>
            <w:r>
              <w:rPr>
                <w:sz w:val="24"/>
              </w:rPr>
              <w:t>17</w:t>
            </w:r>
            <w:r>
              <w:rPr>
                <w:sz w:val="24"/>
              </w:rPr>
              <w:t>乌鲁木齐银行</w:t>
            </w:r>
            <w:r>
              <w:rPr>
                <w:sz w:val="24"/>
              </w:rPr>
              <w:t>CD026</w:t>
            </w:r>
          </w:p>
        </w:tc>
        <w:tc>
          <w:tcPr>
            <w:tcW w:w="1756" w:type="dxa"/>
            <w:vAlign w:val="center"/>
          </w:tcPr>
          <w:p w:rsidR="00A70D34" w:rsidRDefault="00620E8B">
            <w:pPr>
              <w:jc w:val="center"/>
            </w:pPr>
            <w:r>
              <w:rPr>
                <w:sz w:val="24"/>
              </w:rPr>
              <w:t>1,000,000</w:t>
            </w:r>
          </w:p>
        </w:tc>
        <w:tc>
          <w:tcPr>
            <w:tcW w:w="2008" w:type="dxa"/>
            <w:vAlign w:val="center"/>
          </w:tcPr>
          <w:p w:rsidR="00A70D34" w:rsidRDefault="00620E8B">
            <w:pPr>
              <w:jc w:val="center"/>
            </w:pPr>
            <w:r>
              <w:rPr>
                <w:sz w:val="24"/>
              </w:rPr>
              <w:t>96,558,395.78</w:t>
            </w:r>
          </w:p>
        </w:tc>
        <w:tc>
          <w:tcPr>
            <w:tcW w:w="1542" w:type="dxa"/>
            <w:vAlign w:val="center"/>
          </w:tcPr>
          <w:p w:rsidR="00A70D34" w:rsidRDefault="00620E8B">
            <w:pPr>
              <w:jc w:val="center"/>
            </w:pPr>
            <w:r>
              <w:rPr>
                <w:sz w:val="24"/>
              </w:rPr>
              <w:t>1.97</w:t>
            </w:r>
          </w:p>
        </w:tc>
      </w:tr>
      <w:tr w:rsidR="00A70D34">
        <w:tc>
          <w:tcPr>
            <w:tcW w:w="778" w:type="dxa"/>
            <w:vAlign w:val="center"/>
          </w:tcPr>
          <w:p w:rsidR="00A70D34" w:rsidRDefault="00620E8B">
            <w:pPr>
              <w:jc w:val="center"/>
            </w:pPr>
            <w:r>
              <w:rPr>
                <w:sz w:val="24"/>
              </w:rPr>
              <w:t>10</w:t>
            </w:r>
          </w:p>
        </w:tc>
        <w:tc>
          <w:tcPr>
            <w:tcW w:w="1348" w:type="dxa"/>
            <w:vAlign w:val="center"/>
          </w:tcPr>
          <w:p w:rsidR="00A70D34" w:rsidRDefault="00620E8B">
            <w:pPr>
              <w:jc w:val="center"/>
            </w:pPr>
            <w:r>
              <w:rPr>
                <w:sz w:val="24"/>
              </w:rPr>
              <w:t>170401</w:t>
            </w:r>
          </w:p>
        </w:tc>
        <w:tc>
          <w:tcPr>
            <w:tcW w:w="1787" w:type="dxa"/>
            <w:vAlign w:val="center"/>
          </w:tcPr>
          <w:p w:rsidR="00A70D34" w:rsidRDefault="00620E8B">
            <w:pPr>
              <w:jc w:val="center"/>
            </w:pPr>
            <w:r>
              <w:rPr>
                <w:sz w:val="24"/>
              </w:rPr>
              <w:t>17</w:t>
            </w:r>
            <w:r>
              <w:rPr>
                <w:sz w:val="24"/>
              </w:rPr>
              <w:t>农发</w:t>
            </w:r>
            <w:r>
              <w:rPr>
                <w:sz w:val="24"/>
              </w:rPr>
              <w:t>01</w:t>
            </w:r>
          </w:p>
        </w:tc>
        <w:tc>
          <w:tcPr>
            <w:tcW w:w="1756" w:type="dxa"/>
            <w:vAlign w:val="center"/>
          </w:tcPr>
          <w:p w:rsidR="00A70D34" w:rsidRDefault="00620E8B">
            <w:pPr>
              <w:jc w:val="center"/>
            </w:pPr>
            <w:r>
              <w:rPr>
                <w:sz w:val="24"/>
              </w:rPr>
              <w:t>800,000</w:t>
            </w:r>
          </w:p>
        </w:tc>
        <w:tc>
          <w:tcPr>
            <w:tcW w:w="2008" w:type="dxa"/>
            <w:vAlign w:val="center"/>
          </w:tcPr>
          <w:p w:rsidR="00A70D34" w:rsidRDefault="00620E8B">
            <w:pPr>
              <w:jc w:val="center"/>
            </w:pPr>
            <w:r>
              <w:rPr>
                <w:sz w:val="24"/>
              </w:rPr>
              <w:t>79,870,296.04</w:t>
            </w:r>
          </w:p>
        </w:tc>
        <w:tc>
          <w:tcPr>
            <w:tcW w:w="1542" w:type="dxa"/>
            <w:vAlign w:val="center"/>
          </w:tcPr>
          <w:p w:rsidR="00A70D34" w:rsidRDefault="00620E8B">
            <w:pPr>
              <w:jc w:val="center"/>
            </w:pPr>
            <w:r>
              <w:rPr>
                <w:sz w:val="24"/>
              </w:rPr>
              <w:t>1.63</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7.7</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0.0303%</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-0.0320%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0.0141%</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626ADF">
      <w:pPr>
        <w:autoSpaceDE w:val="0"/>
        <w:autoSpaceDN w:val="0"/>
        <w:adjustRightInd w:val="0"/>
        <w:spacing w:line="360" w:lineRule="auto"/>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626ADF">
      <w:pPr>
        <w:autoSpaceDE w:val="0"/>
        <w:autoSpaceDN w:val="0"/>
        <w:adjustRightInd w:val="0"/>
        <w:spacing w:line="360" w:lineRule="auto"/>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7.8</w:t>
      </w:r>
      <w:bookmarkEnd w:id="27"/>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lastRenderedPageBreak/>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20,319,177.33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10,268,461.51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30,587,638.84</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626ADF">
      <w:pPr>
        <w:spacing w:before="29" w:line="288" w:lineRule="auto"/>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5D3C9D">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870"/>
        <w:gridCol w:w="996"/>
        <w:gridCol w:w="1596"/>
        <w:gridCol w:w="1896"/>
        <w:gridCol w:w="1076"/>
        <w:gridCol w:w="189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270,033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13,273.09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4,011,740.28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0.11%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3,580,160,225.14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99.89%</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交银活期通货币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88,086,150.38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1,321,292,255.76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270,048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18,165.16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1,325,303,996.04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27.01%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3,580,160,225.14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72.99%</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lastRenderedPageBreak/>
        <w:t>8.2</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7,435,930.02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0.21%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交银活期通货币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7,435,930.02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0.15%</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10~50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交银活期通货币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5D3C9D">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交银活期通货币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7</w:t>
            </w:r>
            <w:r w:rsidRPr="0061644B">
              <w:rPr>
                <w:sz w:val="24"/>
              </w:rPr>
              <w:t>月</w:t>
            </w:r>
            <w:r w:rsidRPr="0061644B">
              <w:rPr>
                <w:sz w:val="24"/>
              </w:rPr>
              <w:t>27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210,009,450.00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1,147,534,802.24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608,458,380.83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12,484,786,940.28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3,014,354,771.58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10,048,149,777.10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2,301,520,896.65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3,584,171,965.42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1,321,292,255.76</w:t>
            </w:r>
          </w:p>
        </w:tc>
      </w:tr>
    </w:tbl>
    <w:p w:rsidR="00A70D34" w:rsidRDefault="00620E8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5D3C9D">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A70D34" w:rsidRDefault="00620E8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r w:rsidRPr="0061644B">
        <w:rPr>
          <w:color w:val="000000"/>
          <w:sz w:val="24"/>
        </w:rPr>
        <w:t xml:space="preserve"> </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3"/>
    </w:p>
    <w:p w:rsidR="00A70D34" w:rsidRDefault="00620E8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70D34" w:rsidRDefault="00620E8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70D34" w:rsidRDefault="00620E8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交易</w:t>
            </w:r>
            <w:r w:rsidRPr="0061644B">
              <w:rPr>
                <w:sz w:val="24"/>
              </w:rPr>
              <w:lastRenderedPageBreak/>
              <w:t>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A70D34">
        <w:tc>
          <w:tcPr>
            <w:tcW w:w="1559" w:type="dxa"/>
            <w:vAlign w:val="center"/>
          </w:tcPr>
          <w:p w:rsidR="00A70D34" w:rsidRDefault="00620E8B">
            <w:pPr>
              <w:jc w:val="center"/>
            </w:pPr>
            <w:r>
              <w:rPr>
                <w:sz w:val="24"/>
              </w:rPr>
              <w:t>海通证券股份有限公司</w:t>
            </w:r>
          </w:p>
        </w:tc>
        <w:tc>
          <w:tcPr>
            <w:tcW w:w="779" w:type="dxa"/>
            <w:vAlign w:val="center"/>
          </w:tcPr>
          <w:p w:rsidR="00A70D34" w:rsidRDefault="00620E8B">
            <w:pPr>
              <w:jc w:val="right"/>
            </w:pPr>
            <w:r>
              <w:rPr>
                <w:sz w:val="24"/>
              </w:rPr>
              <w:t>2</w:t>
            </w:r>
          </w:p>
        </w:tc>
        <w:tc>
          <w:tcPr>
            <w:tcW w:w="1800" w:type="dxa"/>
            <w:vAlign w:val="center"/>
          </w:tcPr>
          <w:p w:rsidR="00A70D34" w:rsidRDefault="00620E8B">
            <w:pPr>
              <w:jc w:val="right"/>
            </w:pPr>
            <w:r>
              <w:rPr>
                <w:sz w:val="24"/>
              </w:rPr>
              <w:t>-</w:t>
            </w:r>
          </w:p>
        </w:tc>
        <w:tc>
          <w:tcPr>
            <w:tcW w:w="1080" w:type="dxa"/>
            <w:vAlign w:val="center"/>
          </w:tcPr>
          <w:p w:rsidR="00A70D34" w:rsidRDefault="00620E8B">
            <w:pPr>
              <w:jc w:val="right"/>
            </w:pPr>
            <w:r>
              <w:rPr>
                <w:sz w:val="24"/>
              </w:rPr>
              <w:t>-</w:t>
            </w:r>
          </w:p>
        </w:tc>
        <w:tc>
          <w:tcPr>
            <w:tcW w:w="1620" w:type="dxa"/>
            <w:vAlign w:val="center"/>
          </w:tcPr>
          <w:p w:rsidR="00A70D34" w:rsidRDefault="00620E8B">
            <w:pPr>
              <w:jc w:val="right"/>
            </w:pPr>
            <w:r>
              <w:rPr>
                <w:sz w:val="24"/>
              </w:rPr>
              <w:t>-</w:t>
            </w:r>
          </w:p>
        </w:tc>
        <w:tc>
          <w:tcPr>
            <w:tcW w:w="1080" w:type="dxa"/>
            <w:vAlign w:val="center"/>
          </w:tcPr>
          <w:p w:rsidR="00A70D34" w:rsidRDefault="00620E8B">
            <w:pPr>
              <w:jc w:val="right"/>
            </w:pPr>
            <w:r>
              <w:rPr>
                <w:sz w:val="24"/>
              </w:rPr>
              <w:t>-</w:t>
            </w:r>
          </w:p>
        </w:tc>
        <w:tc>
          <w:tcPr>
            <w:tcW w:w="1080" w:type="dxa"/>
            <w:vAlign w:val="center"/>
          </w:tcPr>
          <w:p w:rsidR="00A70D34" w:rsidRDefault="00620E8B">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Pr="0061644B" w:rsidRDefault="00644AB5" w:rsidP="00792A69">
      <w:pPr>
        <w:spacing w:before="29" w:line="288" w:lineRule="auto"/>
        <w:ind w:firstLine="420"/>
        <w:jc w:val="right"/>
        <w:rPr>
          <w:sz w:val="24"/>
        </w:rPr>
      </w:pPr>
      <w:bookmarkStart w:id="47" w:name="_Toc249707408"/>
      <w:r w:rsidRPr="0061644B">
        <w:rPr>
          <w:sz w:val="24"/>
        </w:rPr>
        <w:t>金额单位</w:t>
      </w:r>
      <w:r w:rsidR="006D141C" w:rsidRPr="0061644B">
        <w:rPr>
          <w:kern w:val="0"/>
          <w:sz w:val="24"/>
        </w:rPr>
        <w:t>：</w:t>
      </w:r>
      <w:r w:rsidR="006D141C" w:rsidRPr="0061644B">
        <w:rPr>
          <w:kern w:val="0"/>
          <w:sz w:val="24"/>
          <w:lang w:val="zh-CN"/>
        </w:rPr>
        <w:t>人民币元</w:t>
      </w:r>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A70D34">
        <w:tc>
          <w:tcPr>
            <w:tcW w:w="1559" w:type="dxa"/>
            <w:vAlign w:val="center"/>
          </w:tcPr>
          <w:p w:rsidR="00A70D34" w:rsidRDefault="00620E8B">
            <w:pPr>
              <w:jc w:val="left"/>
            </w:pPr>
            <w:r>
              <w:rPr>
                <w:sz w:val="24"/>
              </w:rPr>
              <w:t>海通证券股份有限公司</w:t>
            </w:r>
          </w:p>
        </w:tc>
        <w:tc>
          <w:tcPr>
            <w:tcW w:w="1319" w:type="dxa"/>
            <w:vAlign w:val="center"/>
          </w:tcPr>
          <w:p w:rsidR="00A70D34" w:rsidRDefault="00620E8B">
            <w:pPr>
              <w:jc w:val="right"/>
            </w:pPr>
            <w:r>
              <w:rPr>
                <w:sz w:val="24"/>
              </w:rPr>
              <w:t>-</w:t>
            </w:r>
          </w:p>
        </w:tc>
        <w:tc>
          <w:tcPr>
            <w:tcW w:w="1080" w:type="dxa"/>
            <w:vAlign w:val="center"/>
          </w:tcPr>
          <w:p w:rsidR="00A70D34" w:rsidRDefault="00620E8B">
            <w:pPr>
              <w:jc w:val="right"/>
            </w:pPr>
            <w:r>
              <w:rPr>
                <w:sz w:val="24"/>
              </w:rPr>
              <w:t>-</w:t>
            </w:r>
          </w:p>
        </w:tc>
        <w:tc>
          <w:tcPr>
            <w:tcW w:w="1080" w:type="dxa"/>
            <w:vAlign w:val="center"/>
          </w:tcPr>
          <w:p w:rsidR="00A70D34" w:rsidRDefault="00620E8B">
            <w:pPr>
              <w:jc w:val="right"/>
            </w:pPr>
            <w:r>
              <w:rPr>
                <w:sz w:val="24"/>
              </w:rPr>
              <w:t>710,000,000.00</w:t>
            </w:r>
          </w:p>
        </w:tc>
        <w:tc>
          <w:tcPr>
            <w:tcW w:w="1260" w:type="dxa"/>
            <w:vAlign w:val="center"/>
          </w:tcPr>
          <w:p w:rsidR="00A70D34" w:rsidRDefault="00620E8B">
            <w:pPr>
              <w:jc w:val="right"/>
            </w:pPr>
            <w:r>
              <w:rPr>
                <w:sz w:val="24"/>
              </w:rPr>
              <w:t>100.00%</w:t>
            </w:r>
          </w:p>
        </w:tc>
        <w:tc>
          <w:tcPr>
            <w:tcW w:w="1260" w:type="dxa"/>
            <w:vAlign w:val="center"/>
          </w:tcPr>
          <w:p w:rsidR="00A70D34" w:rsidRDefault="00620E8B">
            <w:pPr>
              <w:jc w:val="right"/>
            </w:pPr>
            <w:r>
              <w:rPr>
                <w:sz w:val="24"/>
              </w:rPr>
              <w:t>-</w:t>
            </w:r>
          </w:p>
        </w:tc>
        <w:tc>
          <w:tcPr>
            <w:tcW w:w="1440" w:type="dxa"/>
            <w:vAlign w:val="center"/>
          </w:tcPr>
          <w:p w:rsidR="00A70D34" w:rsidRDefault="00620E8B">
            <w:pPr>
              <w:jc w:val="right"/>
            </w:pPr>
            <w:r>
              <w:rPr>
                <w:sz w:val="24"/>
              </w:rPr>
              <w:t>-</w:t>
            </w:r>
          </w:p>
        </w:tc>
      </w:tr>
    </w:tbl>
    <w:p w:rsidR="00A70D34" w:rsidRDefault="00620E8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70D34" w:rsidRDefault="00620E8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620E8B" w:rsidRPr="0061644B" w:rsidRDefault="00620E8B">
      <w:pPr>
        <w:tabs>
          <w:tab w:val="left" w:pos="426"/>
        </w:tabs>
        <w:spacing w:before="29" w:line="288" w:lineRule="auto"/>
        <w:jc w:val="left"/>
        <w:rPr>
          <w:kern w:val="0"/>
          <w:sz w:val="24"/>
        </w:rPr>
      </w:pPr>
    </w:p>
    <w:sectPr w:rsidR="00620E8B"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B9" w:rsidRDefault="005869B9">
      <w:r>
        <w:separator/>
      </w:r>
    </w:p>
  </w:endnote>
  <w:endnote w:type="continuationSeparator" w:id="0">
    <w:p w:rsidR="005869B9" w:rsidRDefault="0058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67" w:rsidRDefault="0060446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4467" w:rsidRDefault="0060446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67" w:rsidRDefault="0060446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26AD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26ADF">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B9" w:rsidRDefault="005869B9">
      <w:r>
        <w:separator/>
      </w:r>
    </w:p>
  </w:footnote>
  <w:footnote w:type="continuationSeparator" w:id="0">
    <w:p w:rsidR="005869B9" w:rsidRDefault="0058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67" w:rsidRPr="0023771C" w:rsidRDefault="00604467"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交银施罗德活期通货币市场基金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877"/>
    <w:rsid w:val="00263BBD"/>
    <w:rsid w:val="002648D8"/>
    <w:rsid w:val="00265AFB"/>
    <w:rsid w:val="00266FB5"/>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6778"/>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9B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4467"/>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0E8B"/>
    <w:rsid w:val="00621132"/>
    <w:rsid w:val="00622656"/>
    <w:rsid w:val="0062386E"/>
    <w:rsid w:val="00623D9A"/>
    <w:rsid w:val="00623F01"/>
    <w:rsid w:val="006242FB"/>
    <w:rsid w:val="00624738"/>
    <w:rsid w:val="00625D15"/>
    <w:rsid w:val="00626ADF"/>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56C"/>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5368"/>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639"/>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34"/>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3478"/>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3896"/>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DE7"/>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B17"/>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4E3C"/>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6B8"/>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AC416D-485D-44EC-A385-A54F48B7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 w:type="paragraph" w:styleId="afa">
    <w:name w:val="Revision"/>
    <w:hidden/>
    <w:uiPriority w:val="99"/>
    <w:semiHidden/>
    <w:rsid w:val="00DD4E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CBBB7-3E14-4757-91B5-5D55075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2845</Words>
  <Characters>16223</Characters>
  <Application>Microsoft Office Word</Application>
  <DocSecurity>0</DocSecurity>
  <Lines>135</Lines>
  <Paragraphs>38</Paragraphs>
  <ScaleCrop>false</ScaleCrop>
  <Company/>
  <LinksUpToDate>false</LinksUpToDate>
  <CharactersWithSpaces>19030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771</cp:revision>
  <cp:lastPrinted>2007-07-19T00:46:00Z</cp:lastPrinted>
  <dcterms:created xsi:type="dcterms:W3CDTF">2013-08-13T08:51:00Z</dcterms:created>
  <dcterms:modified xsi:type="dcterms:W3CDTF">2017-08-24T09:33:00Z</dcterms:modified>
</cp:coreProperties>
</file>