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交银施罗德丰盈收益债券型证券投资基金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交银丰盈收益债券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519740</w:t>
            </w:r>
          </w:p>
        </w:tc>
      </w:tr>
      <w:tr w:rsidR="00583CA6" w:rsidRPr="005C672D" w:rsidTr="001634C6">
        <w:tc>
          <w:tcPr>
            <w:tcW w:w="3607" w:type="dxa"/>
            <w:vAlign w:val="center"/>
          </w:tcPr>
          <w:p w:rsidR="00583CA6" w:rsidRPr="005C672D" w:rsidRDefault="00583CA6" w:rsidP="00AC6DDA">
            <w:pPr>
              <w:spacing w:before="29" w:line="288" w:lineRule="auto"/>
              <w:rPr>
                <w:sz w:val="24"/>
              </w:rPr>
            </w:pPr>
            <w:r w:rsidRPr="005C672D">
              <w:rPr>
                <w:color w:val="000000"/>
                <w:kern w:val="0"/>
                <w:sz w:val="24"/>
              </w:rPr>
              <w:t>交易代码</w:t>
            </w:r>
          </w:p>
        </w:tc>
        <w:tc>
          <w:tcPr>
            <w:tcW w:w="5391" w:type="dxa"/>
            <w:vAlign w:val="center"/>
          </w:tcPr>
          <w:p w:rsidR="00583CA6" w:rsidRPr="005C672D" w:rsidRDefault="00583CA6" w:rsidP="00AC6DDA">
            <w:pPr>
              <w:spacing w:before="29" w:line="288" w:lineRule="auto"/>
              <w:jc w:val="center"/>
              <w:rPr>
                <w:sz w:val="24"/>
              </w:rPr>
            </w:pPr>
            <w:r>
              <w:rPr>
                <w:sz w:val="24"/>
              </w:rPr>
              <w:t>519740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契约型，本基金在基金合同生效之日起三年（含三年）的期间内封闭式运作（按照基金合同的约定提前转换基金运作方式的除外），封闭期结束后转为开放式运作</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2014</w:t>
            </w:r>
            <w:r w:rsidRPr="005C672D">
              <w:rPr>
                <w:sz w:val="24"/>
              </w:rPr>
              <w:t>年</w:t>
            </w:r>
            <w:r w:rsidRPr="005C672D">
              <w:rPr>
                <w:sz w:val="24"/>
              </w:rPr>
              <w:t>8</w:t>
            </w:r>
            <w:r w:rsidRPr="005C672D">
              <w:rPr>
                <w:sz w:val="24"/>
              </w:rPr>
              <w:t>月</w:t>
            </w:r>
            <w:r w:rsidRPr="005C672D">
              <w:rPr>
                <w:sz w:val="24"/>
              </w:rPr>
              <w:t>11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510,658,140.93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注：本基金在基金合同生效之日起三年</w:t>
      </w:r>
      <w:r w:rsidRPr="005C672D">
        <w:rPr>
          <w:kern w:val="0"/>
          <w:sz w:val="24"/>
        </w:rPr>
        <w:t>(</w:t>
      </w:r>
      <w:r w:rsidRPr="005C672D">
        <w:rPr>
          <w:kern w:val="0"/>
          <w:sz w:val="24"/>
        </w:rPr>
        <w:t>含三年</w:t>
      </w:r>
      <w:r w:rsidRPr="005C672D">
        <w:rPr>
          <w:kern w:val="0"/>
          <w:sz w:val="24"/>
        </w:rPr>
        <w:t>)</w:t>
      </w:r>
      <w:r w:rsidRPr="005C672D">
        <w:rPr>
          <w:kern w:val="0"/>
          <w:sz w:val="24"/>
        </w:rPr>
        <w:t>的期间内，采取封闭式运作（按照基金合同的约定提前转换基金运作方式的除外）。封闭期内，基金投资者不能申购、赎回本基金基金份额，即</w:t>
      </w:r>
      <w:r w:rsidRPr="005C672D">
        <w:rPr>
          <w:kern w:val="0"/>
          <w:sz w:val="24"/>
        </w:rPr>
        <w:t>A</w:t>
      </w:r>
      <w:r w:rsidRPr="005C672D">
        <w:rPr>
          <w:kern w:val="0"/>
          <w:sz w:val="24"/>
        </w:rPr>
        <w:t>类基金份额。</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追求在有效控制风险的前提下，力争为基金资产获得稳健的投资收益和超额回报。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三年期银行定期存款税后收益率。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本基金是一只债券型基金，其风险与预期收益高于货币市场基金，低于混合型基金和股票型基金，属于证券投资基金中中等风险的品种。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lastRenderedPageBreak/>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2,339,930.15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6,580,447.02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0.0129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1.29%</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522,164,746.30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1.023</w:t>
            </w:r>
          </w:p>
        </w:tc>
      </w:tr>
    </w:tbl>
    <w:bookmarkEnd w:id="13"/>
    <w:bookmarkEnd w:id="14"/>
    <w:p w:rsidR="008A5734" w:rsidRDefault="002A04D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E00414">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A5734">
        <w:tc>
          <w:tcPr>
            <w:tcW w:w="1497" w:type="dxa"/>
            <w:vAlign w:val="center"/>
          </w:tcPr>
          <w:p w:rsidR="008A5734" w:rsidRDefault="002A04D9">
            <w:pPr>
              <w:jc w:val="left"/>
            </w:pPr>
            <w:r>
              <w:rPr>
                <w:color w:val="000000"/>
                <w:sz w:val="24"/>
              </w:rPr>
              <w:t>过去一个月</w:t>
            </w:r>
          </w:p>
        </w:tc>
        <w:tc>
          <w:tcPr>
            <w:tcW w:w="1251" w:type="dxa"/>
            <w:vAlign w:val="center"/>
          </w:tcPr>
          <w:p w:rsidR="008A5734" w:rsidRDefault="002A04D9">
            <w:pPr>
              <w:jc w:val="center"/>
            </w:pPr>
            <w:r>
              <w:rPr>
                <w:color w:val="000000"/>
                <w:sz w:val="24"/>
              </w:rPr>
              <w:t>0.59%</w:t>
            </w:r>
          </w:p>
        </w:tc>
        <w:tc>
          <w:tcPr>
            <w:tcW w:w="1250" w:type="dxa"/>
            <w:vAlign w:val="center"/>
          </w:tcPr>
          <w:p w:rsidR="008A5734" w:rsidRDefault="002A04D9">
            <w:pPr>
              <w:jc w:val="center"/>
            </w:pPr>
            <w:r>
              <w:rPr>
                <w:color w:val="000000"/>
                <w:sz w:val="24"/>
              </w:rPr>
              <w:t>0.04%</w:t>
            </w:r>
          </w:p>
        </w:tc>
        <w:tc>
          <w:tcPr>
            <w:tcW w:w="1250" w:type="dxa"/>
            <w:vAlign w:val="center"/>
          </w:tcPr>
          <w:p w:rsidR="008A5734" w:rsidRDefault="002A04D9">
            <w:pPr>
              <w:jc w:val="center"/>
            </w:pPr>
            <w:r>
              <w:rPr>
                <w:color w:val="000000"/>
                <w:sz w:val="24"/>
              </w:rPr>
              <w:t>0.23%</w:t>
            </w:r>
          </w:p>
        </w:tc>
        <w:tc>
          <w:tcPr>
            <w:tcW w:w="1250" w:type="dxa"/>
            <w:vAlign w:val="center"/>
          </w:tcPr>
          <w:p w:rsidR="008A5734" w:rsidRDefault="002A04D9">
            <w:pPr>
              <w:jc w:val="center"/>
            </w:pPr>
            <w:r>
              <w:rPr>
                <w:color w:val="000000"/>
                <w:sz w:val="24"/>
              </w:rPr>
              <w:t>0.01%</w:t>
            </w:r>
          </w:p>
        </w:tc>
        <w:tc>
          <w:tcPr>
            <w:tcW w:w="1250" w:type="dxa"/>
            <w:vAlign w:val="center"/>
          </w:tcPr>
          <w:p w:rsidR="008A5734" w:rsidRDefault="002A04D9">
            <w:pPr>
              <w:jc w:val="center"/>
            </w:pPr>
            <w:r>
              <w:rPr>
                <w:color w:val="000000"/>
                <w:sz w:val="24"/>
              </w:rPr>
              <w:t>0.36%</w:t>
            </w:r>
          </w:p>
        </w:tc>
        <w:tc>
          <w:tcPr>
            <w:tcW w:w="1250" w:type="dxa"/>
            <w:vAlign w:val="center"/>
          </w:tcPr>
          <w:p w:rsidR="008A5734" w:rsidRDefault="002A04D9">
            <w:pPr>
              <w:jc w:val="center"/>
            </w:pPr>
            <w:r>
              <w:rPr>
                <w:color w:val="000000"/>
                <w:sz w:val="24"/>
              </w:rPr>
              <w:t>0.03%</w:t>
            </w:r>
          </w:p>
        </w:tc>
      </w:tr>
      <w:tr w:rsidR="008A5734">
        <w:tc>
          <w:tcPr>
            <w:tcW w:w="1497" w:type="dxa"/>
            <w:vAlign w:val="center"/>
          </w:tcPr>
          <w:p w:rsidR="008A5734" w:rsidRDefault="002A04D9">
            <w:pPr>
              <w:jc w:val="left"/>
            </w:pPr>
            <w:r>
              <w:rPr>
                <w:color w:val="000000"/>
                <w:sz w:val="24"/>
              </w:rPr>
              <w:t>过去三个月</w:t>
            </w:r>
          </w:p>
        </w:tc>
        <w:tc>
          <w:tcPr>
            <w:tcW w:w="1251" w:type="dxa"/>
            <w:vAlign w:val="center"/>
          </w:tcPr>
          <w:p w:rsidR="008A5734" w:rsidRDefault="002A04D9">
            <w:pPr>
              <w:jc w:val="center"/>
            </w:pPr>
            <w:r>
              <w:rPr>
                <w:color w:val="000000"/>
                <w:sz w:val="24"/>
              </w:rPr>
              <w:t>0.99%</w:t>
            </w:r>
          </w:p>
        </w:tc>
        <w:tc>
          <w:tcPr>
            <w:tcW w:w="1250" w:type="dxa"/>
            <w:vAlign w:val="center"/>
          </w:tcPr>
          <w:p w:rsidR="008A5734" w:rsidRDefault="002A04D9">
            <w:pPr>
              <w:jc w:val="center"/>
            </w:pPr>
            <w:r>
              <w:rPr>
                <w:color w:val="000000"/>
                <w:sz w:val="24"/>
              </w:rPr>
              <w:t>0.04%</w:t>
            </w:r>
          </w:p>
        </w:tc>
        <w:tc>
          <w:tcPr>
            <w:tcW w:w="1250" w:type="dxa"/>
            <w:vAlign w:val="center"/>
          </w:tcPr>
          <w:p w:rsidR="008A5734" w:rsidRDefault="002A04D9">
            <w:pPr>
              <w:jc w:val="center"/>
            </w:pPr>
            <w:r>
              <w:rPr>
                <w:color w:val="000000"/>
                <w:sz w:val="24"/>
              </w:rPr>
              <w:t>0.70%</w:t>
            </w:r>
          </w:p>
        </w:tc>
        <w:tc>
          <w:tcPr>
            <w:tcW w:w="1250" w:type="dxa"/>
            <w:vAlign w:val="center"/>
          </w:tcPr>
          <w:p w:rsidR="008A5734" w:rsidRDefault="002A04D9">
            <w:pPr>
              <w:jc w:val="center"/>
            </w:pPr>
            <w:r>
              <w:rPr>
                <w:color w:val="000000"/>
                <w:sz w:val="24"/>
              </w:rPr>
              <w:t>0.01%</w:t>
            </w:r>
          </w:p>
        </w:tc>
        <w:tc>
          <w:tcPr>
            <w:tcW w:w="1250" w:type="dxa"/>
            <w:vAlign w:val="center"/>
          </w:tcPr>
          <w:p w:rsidR="008A5734" w:rsidRDefault="002A04D9">
            <w:pPr>
              <w:jc w:val="center"/>
            </w:pPr>
            <w:r>
              <w:rPr>
                <w:color w:val="000000"/>
                <w:sz w:val="24"/>
              </w:rPr>
              <w:t>0.29%</w:t>
            </w:r>
          </w:p>
        </w:tc>
        <w:tc>
          <w:tcPr>
            <w:tcW w:w="1250" w:type="dxa"/>
            <w:vAlign w:val="center"/>
          </w:tcPr>
          <w:p w:rsidR="008A5734" w:rsidRDefault="002A04D9">
            <w:pPr>
              <w:jc w:val="center"/>
            </w:pPr>
            <w:r>
              <w:rPr>
                <w:color w:val="000000"/>
                <w:sz w:val="24"/>
              </w:rPr>
              <w:t>0.03%</w:t>
            </w:r>
          </w:p>
        </w:tc>
      </w:tr>
      <w:tr w:rsidR="008A5734">
        <w:tc>
          <w:tcPr>
            <w:tcW w:w="1497" w:type="dxa"/>
            <w:vAlign w:val="center"/>
          </w:tcPr>
          <w:p w:rsidR="008A5734" w:rsidRDefault="002A04D9">
            <w:pPr>
              <w:jc w:val="left"/>
            </w:pPr>
            <w:r>
              <w:rPr>
                <w:color w:val="000000"/>
                <w:sz w:val="24"/>
              </w:rPr>
              <w:t>过去六个月</w:t>
            </w:r>
          </w:p>
        </w:tc>
        <w:tc>
          <w:tcPr>
            <w:tcW w:w="1251" w:type="dxa"/>
            <w:vAlign w:val="center"/>
          </w:tcPr>
          <w:p w:rsidR="008A5734" w:rsidRDefault="002A04D9">
            <w:pPr>
              <w:jc w:val="center"/>
            </w:pPr>
            <w:r>
              <w:rPr>
                <w:color w:val="000000"/>
                <w:sz w:val="24"/>
              </w:rPr>
              <w:t>1.29%</w:t>
            </w:r>
          </w:p>
        </w:tc>
        <w:tc>
          <w:tcPr>
            <w:tcW w:w="1250" w:type="dxa"/>
            <w:vAlign w:val="center"/>
          </w:tcPr>
          <w:p w:rsidR="008A5734" w:rsidRDefault="002A04D9">
            <w:pPr>
              <w:jc w:val="center"/>
            </w:pPr>
            <w:r>
              <w:rPr>
                <w:color w:val="000000"/>
                <w:sz w:val="24"/>
              </w:rPr>
              <w:t>0.06%</w:t>
            </w:r>
          </w:p>
        </w:tc>
        <w:tc>
          <w:tcPr>
            <w:tcW w:w="1250" w:type="dxa"/>
            <w:vAlign w:val="center"/>
          </w:tcPr>
          <w:p w:rsidR="008A5734" w:rsidRDefault="002A04D9">
            <w:pPr>
              <w:jc w:val="center"/>
            </w:pPr>
            <w:r>
              <w:rPr>
                <w:color w:val="000000"/>
                <w:sz w:val="24"/>
              </w:rPr>
              <w:t>1.38%</w:t>
            </w:r>
          </w:p>
        </w:tc>
        <w:tc>
          <w:tcPr>
            <w:tcW w:w="1250" w:type="dxa"/>
            <w:vAlign w:val="center"/>
          </w:tcPr>
          <w:p w:rsidR="008A5734" w:rsidRDefault="002A04D9">
            <w:pPr>
              <w:jc w:val="center"/>
            </w:pPr>
            <w:r>
              <w:rPr>
                <w:color w:val="000000"/>
                <w:sz w:val="24"/>
              </w:rPr>
              <w:t>0.01%</w:t>
            </w:r>
          </w:p>
        </w:tc>
        <w:tc>
          <w:tcPr>
            <w:tcW w:w="1250" w:type="dxa"/>
            <w:vAlign w:val="center"/>
          </w:tcPr>
          <w:p w:rsidR="008A5734" w:rsidRDefault="002A04D9">
            <w:pPr>
              <w:jc w:val="center"/>
            </w:pPr>
            <w:r>
              <w:rPr>
                <w:color w:val="000000"/>
                <w:sz w:val="24"/>
              </w:rPr>
              <w:t>-0.09%</w:t>
            </w:r>
          </w:p>
        </w:tc>
        <w:tc>
          <w:tcPr>
            <w:tcW w:w="1250" w:type="dxa"/>
            <w:vAlign w:val="center"/>
          </w:tcPr>
          <w:p w:rsidR="008A5734" w:rsidRDefault="002A04D9">
            <w:pPr>
              <w:jc w:val="center"/>
            </w:pPr>
            <w:r>
              <w:rPr>
                <w:color w:val="000000"/>
                <w:sz w:val="24"/>
              </w:rPr>
              <w:t>0.05%</w:t>
            </w:r>
          </w:p>
        </w:tc>
      </w:tr>
      <w:tr w:rsidR="008A5734">
        <w:tc>
          <w:tcPr>
            <w:tcW w:w="1497" w:type="dxa"/>
            <w:vAlign w:val="center"/>
          </w:tcPr>
          <w:p w:rsidR="008A5734" w:rsidRDefault="002A04D9">
            <w:pPr>
              <w:jc w:val="left"/>
            </w:pPr>
            <w:r>
              <w:rPr>
                <w:color w:val="000000"/>
                <w:sz w:val="24"/>
              </w:rPr>
              <w:t>过去一年</w:t>
            </w:r>
          </w:p>
        </w:tc>
        <w:tc>
          <w:tcPr>
            <w:tcW w:w="1251" w:type="dxa"/>
            <w:vAlign w:val="center"/>
          </w:tcPr>
          <w:p w:rsidR="008A5734" w:rsidRDefault="002A04D9">
            <w:pPr>
              <w:jc w:val="center"/>
            </w:pPr>
            <w:r>
              <w:rPr>
                <w:color w:val="000000"/>
                <w:sz w:val="24"/>
              </w:rPr>
              <w:t>2.46%</w:t>
            </w:r>
          </w:p>
        </w:tc>
        <w:tc>
          <w:tcPr>
            <w:tcW w:w="1250" w:type="dxa"/>
            <w:vAlign w:val="center"/>
          </w:tcPr>
          <w:p w:rsidR="008A5734" w:rsidRDefault="002A04D9">
            <w:pPr>
              <w:jc w:val="center"/>
            </w:pPr>
            <w:r>
              <w:rPr>
                <w:color w:val="000000"/>
                <w:sz w:val="24"/>
              </w:rPr>
              <w:t>0.08%</w:t>
            </w:r>
          </w:p>
        </w:tc>
        <w:tc>
          <w:tcPr>
            <w:tcW w:w="1250" w:type="dxa"/>
            <w:vAlign w:val="center"/>
          </w:tcPr>
          <w:p w:rsidR="008A5734" w:rsidRDefault="002A04D9">
            <w:pPr>
              <w:jc w:val="center"/>
            </w:pPr>
            <w:r>
              <w:rPr>
                <w:color w:val="000000"/>
                <w:sz w:val="24"/>
              </w:rPr>
              <w:t>2.79%</w:t>
            </w:r>
          </w:p>
        </w:tc>
        <w:tc>
          <w:tcPr>
            <w:tcW w:w="1250" w:type="dxa"/>
            <w:vAlign w:val="center"/>
          </w:tcPr>
          <w:p w:rsidR="008A5734" w:rsidRDefault="002A04D9">
            <w:pPr>
              <w:jc w:val="center"/>
            </w:pPr>
            <w:r>
              <w:rPr>
                <w:color w:val="000000"/>
                <w:sz w:val="24"/>
              </w:rPr>
              <w:t>0.01%</w:t>
            </w:r>
          </w:p>
        </w:tc>
        <w:tc>
          <w:tcPr>
            <w:tcW w:w="1250" w:type="dxa"/>
            <w:vAlign w:val="center"/>
          </w:tcPr>
          <w:p w:rsidR="008A5734" w:rsidRDefault="002A04D9">
            <w:pPr>
              <w:jc w:val="center"/>
            </w:pPr>
            <w:r>
              <w:rPr>
                <w:color w:val="000000"/>
                <w:sz w:val="24"/>
              </w:rPr>
              <w:t>-0.33%</w:t>
            </w:r>
          </w:p>
        </w:tc>
        <w:tc>
          <w:tcPr>
            <w:tcW w:w="1250" w:type="dxa"/>
            <w:vAlign w:val="center"/>
          </w:tcPr>
          <w:p w:rsidR="008A5734" w:rsidRDefault="002A04D9">
            <w:pPr>
              <w:jc w:val="center"/>
            </w:pPr>
            <w:r>
              <w:rPr>
                <w:color w:val="000000"/>
                <w:sz w:val="24"/>
              </w:rPr>
              <w:t>0.07%</w:t>
            </w:r>
          </w:p>
        </w:tc>
      </w:tr>
      <w:tr w:rsidR="008A5734">
        <w:tc>
          <w:tcPr>
            <w:tcW w:w="1497" w:type="dxa"/>
            <w:vAlign w:val="center"/>
          </w:tcPr>
          <w:p w:rsidR="008A5734" w:rsidRDefault="002A04D9">
            <w:pPr>
              <w:jc w:val="left"/>
            </w:pPr>
            <w:r>
              <w:rPr>
                <w:color w:val="000000"/>
                <w:sz w:val="24"/>
              </w:rPr>
              <w:t>过去三年</w:t>
            </w:r>
          </w:p>
        </w:tc>
        <w:tc>
          <w:tcPr>
            <w:tcW w:w="1251" w:type="dxa"/>
            <w:vAlign w:val="center"/>
          </w:tcPr>
          <w:p w:rsidR="008A5734" w:rsidRDefault="002A04D9">
            <w:pPr>
              <w:jc w:val="center"/>
            </w:pPr>
            <w:r>
              <w:rPr>
                <w:color w:val="000000"/>
                <w:sz w:val="24"/>
              </w:rPr>
              <w:t>21.24%</w:t>
            </w:r>
          </w:p>
        </w:tc>
        <w:tc>
          <w:tcPr>
            <w:tcW w:w="1250" w:type="dxa"/>
            <w:vAlign w:val="center"/>
          </w:tcPr>
          <w:p w:rsidR="008A5734" w:rsidRDefault="002A04D9">
            <w:pPr>
              <w:jc w:val="center"/>
            </w:pPr>
            <w:r>
              <w:rPr>
                <w:color w:val="000000"/>
                <w:sz w:val="24"/>
              </w:rPr>
              <w:t>0.12%</w:t>
            </w:r>
          </w:p>
        </w:tc>
        <w:tc>
          <w:tcPr>
            <w:tcW w:w="1250" w:type="dxa"/>
            <w:vAlign w:val="center"/>
          </w:tcPr>
          <w:p w:rsidR="008A5734" w:rsidRDefault="002A04D9">
            <w:pPr>
              <w:jc w:val="center"/>
            </w:pPr>
            <w:r>
              <w:rPr>
                <w:color w:val="000000"/>
                <w:sz w:val="24"/>
              </w:rPr>
              <w:t>9.25%</w:t>
            </w:r>
          </w:p>
        </w:tc>
        <w:tc>
          <w:tcPr>
            <w:tcW w:w="1250" w:type="dxa"/>
            <w:vAlign w:val="center"/>
          </w:tcPr>
          <w:p w:rsidR="008A5734" w:rsidRDefault="002A04D9">
            <w:pPr>
              <w:jc w:val="center"/>
            </w:pPr>
            <w:r>
              <w:rPr>
                <w:color w:val="000000"/>
                <w:sz w:val="24"/>
              </w:rPr>
              <w:t>0.01%</w:t>
            </w:r>
          </w:p>
        </w:tc>
        <w:tc>
          <w:tcPr>
            <w:tcW w:w="1250" w:type="dxa"/>
            <w:vAlign w:val="center"/>
          </w:tcPr>
          <w:p w:rsidR="008A5734" w:rsidRDefault="002A04D9">
            <w:pPr>
              <w:jc w:val="center"/>
            </w:pPr>
            <w:r>
              <w:rPr>
                <w:color w:val="000000"/>
                <w:sz w:val="24"/>
              </w:rPr>
              <w:t>11.99%</w:t>
            </w:r>
          </w:p>
        </w:tc>
        <w:tc>
          <w:tcPr>
            <w:tcW w:w="1250" w:type="dxa"/>
            <w:vAlign w:val="center"/>
          </w:tcPr>
          <w:p w:rsidR="008A5734" w:rsidRDefault="002A04D9">
            <w:pPr>
              <w:jc w:val="center"/>
            </w:pPr>
            <w:r>
              <w:rPr>
                <w:color w:val="000000"/>
                <w:sz w:val="24"/>
              </w:rPr>
              <w:t>0.11%</w:t>
            </w:r>
          </w:p>
        </w:tc>
      </w:tr>
      <w:tr w:rsidR="008A5734">
        <w:tc>
          <w:tcPr>
            <w:tcW w:w="1497" w:type="dxa"/>
            <w:vAlign w:val="center"/>
          </w:tcPr>
          <w:p w:rsidR="008A5734" w:rsidRDefault="002A04D9">
            <w:pPr>
              <w:jc w:val="left"/>
            </w:pPr>
            <w:r>
              <w:rPr>
                <w:color w:val="000000"/>
                <w:sz w:val="24"/>
              </w:rPr>
              <w:t>自基金合同生效起至今</w:t>
            </w:r>
          </w:p>
        </w:tc>
        <w:tc>
          <w:tcPr>
            <w:tcW w:w="1251" w:type="dxa"/>
            <w:vAlign w:val="center"/>
          </w:tcPr>
          <w:p w:rsidR="008A5734" w:rsidRDefault="002A04D9">
            <w:pPr>
              <w:jc w:val="center"/>
            </w:pPr>
            <w:r>
              <w:rPr>
                <w:color w:val="000000"/>
                <w:sz w:val="24"/>
              </w:rPr>
              <w:t>21.24%</w:t>
            </w:r>
          </w:p>
        </w:tc>
        <w:tc>
          <w:tcPr>
            <w:tcW w:w="1250" w:type="dxa"/>
            <w:vAlign w:val="center"/>
          </w:tcPr>
          <w:p w:rsidR="008A5734" w:rsidRDefault="002A04D9">
            <w:pPr>
              <w:jc w:val="center"/>
            </w:pPr>
            <w:r>
              <w:rPr>
                <w:color w:val="000000"/>
                <w:sz w:val="24"/>
              </w:rPr>
              <w:t>0.12%</w:t>
            </w:r>
          </w:p>
        </w:tc>
        <w:tc>
          <w:tcPr>
            <w:tcW w:w="1250" w:type="dxa"/>
            <w:vAlign w:val="center"/>
          </w:tcPr>
          <w:p w:rsidR="008A5734" w:rsidRDefault="002A04D9">
            <w:pPr>
              <w:jc w:val="center"/>
            </w:pPr>
            <w:r>
              <w:rPr>
                <w:color w:val="000000"/>
                <w:sz w:val="24"/>
              </w:rPr>
              <w:t>9.25%</w:t>
            </w:r>
          </w:p>
        </w:tc>
        <w:tc>
          <w:tcPr>
            <w:tcW w:w="1250" w:type="dxa"/>
            <w:vAlign w:val="center"/>
          </w:tcPr>
          <w:p w:rsidR="008A5734" w:rsidRDefault="002A04D9">
            <w:pPr>
              <w:jc w:val="center"/>
            </w:pPr>
            <w:r>
              <w:rPr>
                <w:color w:val="000000"/>
                <w:sz w:val="24"/>
              </w:rPr>
              <w:t>0.01%</w:t>
            </w:r>
          </w:p>
        </w:tc>
        <w:tc>
          <w:tcPr>
            <w:tcW w:w="1250" w:type="dxa"/>
            <w:vAlign w:val="center"/>
          </w:tcPr>
          <w:p w:rsidR="008A5734" w:rsidRDefault="002A04D9">
            <w:pPr>
              <w:jc w:val="center"/>
            </w:pPr>
            <w:r>
              <w:rPr>
                <w:color w:val="000000"/>
                <w:sz w:val="24"/>
              </w:rPr>
              <w:t>11.99%</w:t>
            </w:r>
          </w:p>
        </w:tc>
        <w:tc>
          <w:tcPr>
            <w:tcW w:w="1250" w:type="dxa"/>
            <w:vAlign w:val="center"/>
          </w:tcPr>
          <w:p w:rsidR="008A5734" w:rsidRDefault="002A04D9">
            <w:pPr>
              <w:jc w:val="center"/>
            </w:pPr>
            <w:r>
              <w:rPr>
                <w:color w:val="000000"/>
                <w:sz w:val="24"/>
              </w:rPr>
              <w:t>0.11%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注：本基金的业绩比较基准为三年期银行定期存款税后收益率。</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交银施罗德丰盈收益债券型证券投资基金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2014</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11</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A5734" w:rsidRDefault="002A04D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A5734">
        <w:tc>
          <w:tcPr>
            <w:tcW w:w="1033" w:type="dxa"/>
            <w:vAlign w:val="center"/>
          </w:tcPr>
          <w:p w:rsidR="008A5734" w:rsidRDefault="002A04D9">
            <w:pPr>
              <w:jc w:val="center"/>
            </w:pPr>
            <w:r>
              <w:rPr>
                <w:color w:val="000000"/>
                <w:sz w:val="24"/>
              </w:rPr>
              <w:t>连端清</w:t>
            </w:r>
          </w:p>
        </w:tc>
        <w:tc>
          <w:tcPr>
            <w:tcW w:w="1416" w:type="dxa"/>
            <w:vAlign w:val="center"/>
          </w:tcPr>
          <w:p w:rsidR="008A5734" w:rsidRDefault="002A04D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126" w:type="dxa"/>
            <w:vAlign w:val="center"/>
          </w:tcPr>
          <w:p w:rsidR="008A5734" w:rsidRDefault="002A04D9">
            <w:pPr>
              <w:jc w:val="center"/>
            </w:pPr>
            <w:r>
              <w:rPr>
                <w:color w:val="000000"/>
                <w:sz w:val="24"/>
              </w:rPr>
              <w:t>2015-08-04</w:t>
            </w:r>
          </w:p>
        </w:tc>
        <w:tc>
          <w:tcPr>
            <w:tcW w:w="1192" w:type="dxa"/>
            <w:vAlign w:val="center"/>
          </w:tcPr>
          <w:p w:rsidR="008A5734" w:rsidRDefault="002A04D9">
            <w:pPr>
              <w:jc w:val="center"/>
            </w:pPr>
            <w:r>
              <w:rPr>
                <w:color w:val="000000"/>
                <w:sz w:val="24"/>
              </w:rPr>
              <w:t>-</w:t>
            </w:r>
          </w:p>
        </w:tc>
        <w:tc>
          <w:tcPr>
            <w:tcW w:w="1169" w:type="dxa"/>
            <w:vAlign w:val="center"/>
          </w:tcPr>
          <w:p w:rsidR="008A5734" w:rsidRDefault="002A04D9">
            <w:pPr>
              <w:jc w:val="center"/>
            </w:pPr>
            <w:r>
              <w:rPr>
                <w:color w:val="000000"/>
                <w:sz w:val="24"/>
              </w:rPr>
              <w:t>4</w:t>
            </w:r>
            <w:r>
              <w:rPr>
                <w:color w:val="000000"/>
                <w:sz w:val="24"/>
              </w:rPr>
              <w:t>年</w:t>
            </w:r>
          </w:p>
        </w:tc>
        <w:tc>
          <w:tcPr>
            <w:tcW w:w="3062" w:type="dxa"/>
            <w:vAlign w:val="center"/>
          </w:tcPr>
          <w:p w:rsidR="008A5734" w:rsidRDefault="002A04D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8A5734">
        <w:tc>
          <w:tcPr>
            <w:tcW w:w="1033" w:type="dxa"/>
            <w:vAlign w:val="center"/>
          </w:tcPr>
          <w:p w:rsidR="008A5734" w:rsidRDefault="002A04D9">
            <w:pPr>
              <w:jc w:val="center"/>
            </w:pPr>
            <w:r>
              <w:rPr>
                <w:color w:val="000000"/>
                <w:sz w:val="24"/>
              </w:rPr>
              <w:t>于海颖</w:t>
            </w:r>
          </w:p>
        </w:tc>
        <w:tc>
          <w:tcPr>
            <w:tcW w:w="1416" w:type="dxa"/>
            <w:vAlign w:val="center"/>
          </w:tcPr>
          <w:p w:rsidR="008A5734" w:rsidRDefault="002A04D9">
            <w:pPr>
              <w:jc w:val="center"/>
            </w:pPr>
            <w:r>
              <w:rPr>
                <w:color w:val="000000"/>
                <w:sz w:val="24"/>
              </w:rPr>
              <w:t>交银增利债券、交银纯债债券发起、交银荣祥保本混合、交银定期支付月月丰债券、交银增强收益债券、交银强化回报债券、交银丰盈收益债券、交银丰硕收益债券、交银荣</w:t>
            </w:r>
            <w:r>
              <w:rPr>
                <w:color w:val="000000"/>
                <w:sz w:val="24"/>
              </w:rPr>
              <w:lastRenderedPageBreak/>
              <w:t>鑫保本混合、交银增利增强债券的基金经理，公司固定收益（公募）投资总监</w:t>
            </w:r>
          </w:p>
        </w:tc>
        <w:tc>
          <w:tcPr>
            <w:tcW w:w="1126" w:type="dxa"/>
            <w:vAlign w:val="center"/>
          </w:tcPr>
          <w:p w:rsidR="008A5734" w:rsidRDefault="002A04D9">
            <w:pPr>
              <w:jc w:val="center"/>
            </w:pPr>
            <w:r>
              <w:rPr>
                <w:color w:val="000000"/>
                <w:sz w:val="24"/>
              </w:rPr>
              <w:lastRenderedPageBreak/>
              <w:t>2016-12-29</w:t>
            </w:r>
          </w:p>
        </w:tc>
        <w:tc>
          <w:tcPr>
            <w:tcW w:w="1192" w:type="dxa"/>
            <w:vAlign w:val="center"/>
          </w:tcPr>
          <w:p w:rsidR="008A5734" w:rsidRDefault="002A04D9">
            <w:pPr>
              <w:jc w:val="center"/>
            </w:pPr>
            <w:r>
              <w:rPr>
                <w:color w:val="000000"/>
                <w:sz w:val="24"/>
              </w:rPr>
              <w:t>-</w:t>
            </w:r>
          </w:p>
        </w:tc>
        <w:tc>
          <w:tcPr>
            <w:tcW w:w="1169" w:type="dxa"/>
            <w:vAlign w:val="center"/>
          </w:tcPr>
          <w:p w:rsidR="008A5734" w:rsidRDefault="002A04D9">
            <w:pPr>
              <w:jc w:val="center"/>
            </w:pPr>
            <w:r>
              <w:rPr>
                <w:color w:val="000000"/>
                <w:sz w:val="24"/>
              </w:rPr>
              <w:t>11</w:t>
            </w:r>
            <w:r>
              <w:rPr>
                <w:color w:val="000000"/>
                <w:sz w:val="24"/>
              </w:rPr>
              <w:t>年</w:t>
            </w:r>
          </w:p>
        </w:tc>
        <w:tc>
          <w:tcPr>
            <w:tcW w:w="3062" w:type="dxa"/>
            <w:vAlign w:val="center"/>
          </w:tcPr>
          <w:p w:rsidR="008A5734" w:rsidRDefault="002A04D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r>
              <w:rPr>
                <w:color w:val="000000"/>
                <w:sz w:val="24"/>
              </w:rPr>
              <w:lastRenderedPageBreak/>
              <w:t>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8A5734" w:rsidRDefault="002A04D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A5734" w:rsidRDefault="002A04D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8A5734" w:rsidRDefault="002A04D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lastRenderedPageBreak/>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A5734" w:rsidRDefault="002A04D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A5734" w:rsidRDefault="002A04D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A5734" w:rsidRDefault="002A04D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8A5734" w:rsidRDefault="002A04D9">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8A5734" w:rsidRDefault="008A5734">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8A5734" w:rsidRDefault="002A04D9">
      <w:pPr>
        <w:spacing w:before="29" w:line="288" w:lineRule="auto"/>
        <w:ind w:firstLineChars="200" w:firstLine="480"/>
        <w:rPr>
          <w:color w:val="000000"/>
          <w:sz w:val="24"/>
        </w:rPr>
      </w:pPr>
      <w:r>
        <w:rPr>
          <w:color w:val="000000"/>
          <w:sz w:val="24"/>
        </w:rPr>
        <w:t>2017</w:t>
      </w:r>
      <w:r>
        <w:rPr>
          <w:color w:val="000000"/>
          <w:sz w:val="24"/>
        </w:rPr>
        <w:t>年上半年国内经济稳中求进，但整体上已运行至小周期的高点。尽管上半年楼市调控政策进一步加码，但是年初以来房地产投资增速持续攀升，四月份房地产投资同比增速上升至</w:t>
      </w:r>
      <w:r>
        <w:rPr>
          <w:color w:val="000000"/>
          <w:sz w:val="24"/>
        </w:rPr>
        <w:t>9.3%</w:t>
      </w:r>
      <w:r>
        <w:rPr>
          <w:color w:val="000000"/>
          <w:sz w:val="24"/>
        </w:rPr>
        <w:t>的高点。上半年，国内制造业景气度与美欧等发达经济体处于同步扩张的状态，主要受发达经济体制造业回暖的影响，国内出口形势好转，对经济增长的贡献转为正面。</w:t>
      </w:r>
      <w:r>
        <w:rPr>
          <w:color w:val="000000"/>
          <w:sz w:val="24"/>
        </w:rPr>
        <w:t>CPI</w:t>
      </w:r>
      <w:r>
        <w:rPr>
          <w:color w:val="000000"/>
          <w:sz w:val="24"/>
        </w:rPr>
        <w:t>在低位运行，</w:t>
      </w:r>
      <w:r>
        <w:rPr>
          <w:color w:val="000000"/>
          <w:sz w:val="24"/>
        </w:rPr>
        <w:t>PPI</w:t>
      </w:r>
      <w:r>
        <w:rPr>
          <w:color w:val="000000"/>
          <w:sz w:val="24"/>
        </w:rPr>
        <w:t>在二月份升至</w:t>
      </w:r>
      <w:r>
        <w:rPr>
          <w:color w:val="000000"/>
          <w:sz w:val="24"/>
        </w:rPr>
        <w:t>7.8%</w:t>
      </w:r>
      <w:r>
        <w:rPr>
          <w:color w:val="00000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w:t>
      </w:r>
      <w:r>
        <w:rPr>
          <w:color w:val="000000"/>
          <w:sz w:val="24"/>
        </w:rPr>
        <w:lastRenderedPageBreak/>
        <w:t>风险，央行货币政策转向</w:t>
      </w:r>
      <w:r>
        <w:rPr>
          <w:color w:val="000000"/>
          <w:sz w:val="24"/>
        </w:rPr>
        <w:t>“</w:t>
      </w:r>
      <w:r>
        <w:rPr>
          <w:color w:val="000000"/>
          <w:sz w:val="24"/>
        </w:rPr>
        <w:t>不松不紧</w:t>
      </w:r>
      <w:r>
        <w:rPr>
          <w:color w:val="000000"/>
          <w:sz w:val="24"/>
        </w:rPr>
        <w:t>”</w:t>
      </w:r>
      <w:r>
        <w:rPr>
          <w:color w:val="000000"/>
          <w:sz w:val="24"/>
        </w:rPr>
        <w:t>，加大了市场维稳力度。央行于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万亿元，为</w:t>
      </w:r>
      <w:r>
        <w:rPr>
          <w:color w:val="000000"/>
          <w:sz w:val="24"/>
        </w:rPr>
        <w:t>2016</w:t>
      </w:r>
      <w:r>
        <w:rPr>
          <w:color w:val="000000"/>
          <w:sz w:val="24"/>
        </w:rPr>
        <w:t>年以来首次季度净回笼。二季度，央行公开市场净投放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亿元，引导市场机构对六月资金面的预期。</w:t>
      </w:r>
    </w:p>
    <w:p w:rsidR="008A5734" w:rsidRDefault="002A04D9">
      <w:pPr>
        <w:spacing w:before="29" w:line="288" w:lineRule="auto"/>
        <w:ind w:firstLineChars="200" w:firstLine="480"/>
        <w:rPr>
          <w:color w:val="000000"/>
          <w:sz w:val="24"/>
        </w:rPr>
      </w:pPr>
      <w:r>
        <w:rPr>
          <w:color w:val="000000"/>
          <w:sz w:val="24"/>
        </w:rPr>
        <w:t>受央行上调公开市场操作利率、经济回暖、银监会等三会加强金融监管以及资金面阶段性好于预期等因素交替冲击的影响，上半年债市呈震荡下跌走势。</w:t>
      </w:r>
      <w:r>
        <w:rPr>
          <w:color w:val="000000"/>
          <w:sz w:val="24"/>
        </w:rPr>
        <w:t>10</w:t>
      </w:r>
      <w:r>
        <w:rPr>
          <w:color w:val="000000"/>
          <w:sz w:val="24"/>
        </w:rPr>
        <w:t>年期国开债年初以来不断下跌，三月中下旬由于市场资金面好预期开始上涨，但四月中下旬以来受金融监管加强的影响，市场抛盘沉重，</w:t>
      </w:r>
      <w:r>
        <w:rPr>
          <w:color w:val="000000"/>
          <w:sz w:val="24"/>
        </w:rPr>
        <w:t>10</w:t>
      </w:r>
      <w:r>
        <w:rPr>
          <w:color w:val="000000"/>
          <w:sz w:val="24"/>
        </w:rPr>
        <w:t>年期国开债大幅下跌，至六月份由于资金面显著好于市场预期，再次走出一波上涨行情，上半年信用债也呈震荡回调走势。其中，六月底银行间市场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C02A8F" w:rsidRPr="005C672D" w:rsidRDefault="00C02A8F" w:rsidP="00AC6DDA">
      <w:pPr>
        <w:spacing w:before="29" w:line="288" w:lineRule="auto"/>
        <w:ind w:firstLineChars="200" w:firstLine="480"/>
        <w:rPr>
          <w:color w:val="000000"/>
          <w:sz w:val="24"/>
        </w:rPr>
      </w:pPr>
      <w:r w:rsidRPr="005C672D">
        <w:rPr>
          <w:color w:val="000000"/>
          <w:sz w:val="24"/>
        </w:rPr>
        <w:t>基金操作方面，报告期内本基金继续加强信用风险管控，顺应市场走势调整持仓债券，降低组合杠杆与久期，努力为持有人创造稳健的回报。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w:t>
      </w:r>
      <w:r w:rsidRPr="005C672D">
        <w:rPr>
          <w:color w:val="000000"/>
          <w:sz w:val="24"/>
        </w:rPr>
        <w:t>1.023</w:t>
      </w:r>
      <w:r w:rsidRPr="005C672D">
        <w:rPr>
          <w:color w:val="000000"/>
          <w:sz w:val="24"/>
        </w:rPr>
        <w:t>元，本报告期份额净值增长率为</w:t>
      </w:r>
      <w:r w:rsidRPr="005C672D">
        <w:rPr>
          <w:color w:val="000000"/>
          <w:sz w:val="24"/>
        </w:rPr>
        <w:t>1.29%</w:t>
      </w:r>
      <w:r w:rsidRPr="005C672D">
        <w:rPr>
          <w:color w:val="000000"/>
          <w:sz w:val="24"/>
        </w:rPr>
        <w:t>，同期业绩比较基准增长率为</w:t>
      </w:r>
      <w:r w:rsidRPr="005C672D">
        <w:rPr>
          <w:color w:val="000000"/>
          <w:sz w:val="24"/>
        </w:rPr>
        <w:t>1.38%</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5C672D">
        <w:rPr>
          <w:color w:val="000000"/>
          <w:sz w:val="24"/>
        </w:rPr>
        <w:t>“</w:t>
      </w:r>
      <w:r w:rsidRPr="005C672D">
        <w:rPr>
          <w:color w:val="000000"/>
          <w:sz w:val="24"/>
        </w:rPr>
        <w:t>不松不紧</w:t>
      </w:r>
      <w:r w:rsidRPr="005C672D">
        <w:rPr>
          <w:color w:val="000000"/>
          <w:sz w:val="24"/>
        </w:rPr>
        <w:t>”</w:t>
      </w:r>
      <w:r w:rsidRPr="005C672D">
        <w:rPr>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严格控制信用风险，积极跟踪把握市场节奏，计划继续调整部分债券，努力为份额持有人创造稳健的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8A5734" w:rsidRDefault="002A04D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8A5734" w:rsidRDefault="002A04D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自</w:t>
      </w:r>
      <w:r w:rsidRPr="005C672D">
        <w:rPr>
          <w:color w:val="000000"/>
          <w:sz w:val="24"/>
        </w:rPr>
        <w:t>2014</w:t>
      </w:r>
      <w:r w:rsidRPr="005C672D">
        <w:rPr>
          <w:color w:val="000000"/>
          <w:sz w:val="24"/>
        </w:rPr>
        <w:t>年</w:t>
      </w:r>
      <w:r w:rsidRPr="005C672D">
        <w:rPr>
          <w:color w:val="000000"/>
          <w:sz w:val="24"/>
        </w:rPr>
        <w:t>8</w:t>
      </w:r>
      <w:r w:rsidRPr="005C672D">
        <w:rPr>
          <w:color w:val="000000"/>
          <w:sz w:val="24"/>
        </w:rPr>
        <w:t>月</w:t>
      </w:r>
      <w:r w:rsidRPr="005C672D">
        <w:rPr>
          <w:color w:val="000000"/>
          <w:sz w:val="24"/>
        </w:rPr>
        <w:t>11</w:t>
      </w:r>
      <w:r w:rsidRPr="005C672D">
        <w:rPr>
          <w:color w:val="000000"/>
          <w:sz w:val="24"/>
        </w:rPr>
        <w:t>日交银施罗德丰盈收益债券型证券投资基金（以下简称</w:t>
      </w:r>
      <w:r w:rsidRPr="005C672D">
        <w:rPr>
          <w:color w:val="000000"/>
          <w:sz w:val="24"/>
        </w:rPr>
        <w:t>“</w:t>
      </w:r>
      <w:r w:rsidRPr="005C672D">
        <w:rPr>
          <w:color w:val="000000"/>
          <w:sz w:val="24"/>
        </w:rPr>
        <w:t>本基金</w:t>
      </w:r>
      <w:r w:rsidRPr="005C672D">
        <w:rPr>
          <w:color w:val="000000"/>
          <w:sz w:val="24"/>
        </w:rPr>
        <w:t>”</w:t>
      </w:r>
      <w:r w:rsidRPr="005C672D">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报告期内，本托管人按照国家有关法律法规、基金合同和托管协议要求，对基金管理人</w:t>
      </w:r>
      <w:r w:rsidRPr="005C672D">
        <w:rPr>
          <w:color w:val="000000"/>
          <w:sz w:val="24"/>
        </w:rPr>
        <w:t>——</w:t>
      </w:r>
      <w:r w:rsidRPr="005C672D">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由本基金管理人</w:t>
      </w:r>
      <w:r w:rsidRPr="005C672D">
        <w:rPr>
          <w:color w:val="000000"/>
          <w:sz w:val="24"/>
        </w:rPr>
        <w:t>——</w:t>
      </w:r>
      <w:r w:rsidRPr="005C672D">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会计主体：交银施罗德丰盈收益债券型证券投资基金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1,397,219.74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844,886.69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5,490,738.16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19,006,752.02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10,080.62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8,651.11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506,287,615.20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766,084,757.80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506,287,615.20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766,084,757.80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9,782,111.58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20,235,564.81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522,967,765.30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806,180,612.43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289,799,448.80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342,144.94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356,431.68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64,152.18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66,830.95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7,754.36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21,299.60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52,102.12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388,967.52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300,200.00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803,019.00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290,596,313.15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510,658,140.93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510,658,140.93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11,506,605.37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4,926,158.35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522,164,746.30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515,584,299.28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522,967,765.30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806,180,612.43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1.023</w:t>
      </w:r>
      <w:r w:rsidR="006C5149" w:rsidRPr="005C672D">
        <w:rPr>
          <w:kern w:val="0"/>
          <w:sz w:val="24"/>
        </w:rPr>
        <w:t>元，基金份额总额</w:t>
      </w:r>
      <w:r w:rsidR="006C5149" w:rsidRPr="005C672D">
        <w:rPr>
          <w:kern w:val="0"/>
          <w:sz w:val="24"/>
        </w:rPr>
        <w:t>510,658,140.93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交银施罗德丰盈收益债券型证券投资基金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11,176,286.55</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19,082,013.85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17,340,105.94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27,939,060.57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137,272.75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207,060.77</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17,159,900.58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27,723,395.19</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lastRenderedPageBreak/>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42,932.61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8,604.61</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-10,404,336.26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1,026,868.28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-10,404,336.26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1,026,868.28</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4,240,516.87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-9,883,915.00</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4,595,839.53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7,166,117.03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2,055,658.94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2,176,094.43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385,436.07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408,017.69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6,997.05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2,025.20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1,969,173.08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4,401,298.13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1,969,173.08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4,401,298.13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178,574.39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178,681.58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6,580,447.02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11,915,896.82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6,580,447.02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11,915,896.82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交银施罗德丰盈收益债券型证券投资基金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lastRenderedPageBreak/>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510,658,140.93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4,926,158.35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515,584,299.28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6,580,447.02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6,580,447.02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510,658,140.93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11,506,605.37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522,164,746.30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510,658,140.93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69,182,083.45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579,840,224.38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11,915,896.82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11,915,896.82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w:t>
            </w:r>
            <w:r w:rsidRPr="005C672D">
              <w:rPr>
                <w:color w:val="000000"/>
                <w:sz w:val="24"/>
              </w:rPr>
              <w:lastRenderedPageBreak/>
              <w:t>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-41,363,307.35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-41,363,307.35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510,658,140.93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39,734,672.92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550,392,813.85</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A5734" w:rsidRDefault="002A04D9">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8A5734" w:rsidRDefault="002A04D9">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5C672D">
        <w:rPr>
          <w:color w:val="000000"/>
          <w:sz w:val="24"/>
        </w:rPr>
        <w:t>AA</w:t>
      </w:r>
      <w:r w:rsidRPr="005C672D">
        <w:rPr>
          <w:color w:val="000000"/>
          <w:sz w:val="24"/>
        </w:rPr>
        <w:t>级</w:t>
      </w:r>
      <w:r w:rsidRPr="005C672D">
        <w:rPr>
          <w:color w:val="000000"/>
          <w:sz w:val="24"/>
        </w:rPr>
        <w:t>(</w:t>
      </w:r>
      <w:r w:rsidRPr="005C672D">
        <w:rPr>
          <w:color w:val="000000"/>
          <w:sz w:val="24"/>
        </w:rPr>
        <w:t>含</w:t>
      </w:r>
      <w:r w:rsidRPr="005C672D">
        <w:rPr>
          <w:color w:val="000000"/>
          <w:sz w:val="24"/>
        </w:rPr>
        <w:t>)</w:t>
      </w:r>
      <w:r w:rsidRPr="005C672D">
        <w:rPr>
          <w:color w:val="000000"/>
          <w:sz w:val="24"/>
        </w:rPr>
        <w:t>以上。本基金不直接在二级市场买入股票、权证等权益类资产，也不参与一级市场新股申购和新股增发。同时本基金不参</w:t>
      </w:r>
      <w:r w:rsidRPr="005C672D">
        <w:rPr>
          <w:color w:val="000000"/>
          <w:sz w:val="24"/>
        </w:rPr>
        <w:lastRenderedPageBreak/>
        <w:t>与可转换债券投资</w:t>
      </w:r>
      <w:r w:rsidRPr="005C672D">
        <w:rPr>
          <w:color w:val="000000"/>
          <w:sz w:val="24"/>
        </w:rPr>
        <w:t>(</w:t>
      </w:r>
      <w:r w:rsidRPr="005C672D">
        <w:rPr>
          <w:color w:val="000000"/>
          <w:sz w:val="24"/>
        </w:rPr>
        <w:t>分离交易可转债的纯债部分除外</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sidRPr="005C672D">
        <w:rPr>
          <w:color w:val="000000"/>
          <w:sz w:val="24"/>
        </w:rPr>
        <w:t>80%</w:t>
      </w:r>
      <w:r w:rsidRPr="005C672D">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5C672D">
        <w:rPr>
          <w:color w:val="000000"/>
          <w:sz w:val="24"/>
        </w:rPr>
        <w:t>5%</w:t>
      </w:r>
      <w:r w:rsidRPr="005C672D">
        <w:rPr>
          <w:color w:val="000000"/>
          <w:sz w:val="24"/>
        </w:rPr>
        <w:t>。本基金的业绩比较基准为三年期银行定期存款税后收益率。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颁布的《证券投资基金会计核算业务指引》、《交银施罗德丰盈收益债券型证券投资基金基金合同》和在财务报表附注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A5734" w:rsidRDefault="002A04D9">
      <w:pPr>
        <w:spacing w:before="29" w:line="288" w:lineRule="auto"/>
        <w:ind w:firstLineChars="200" w:firstLine="480"/>
        <w:rPr>
          <w:color w:val="000000"/>
          <w:sz w:val="24"/>
        </w:rPr>
      </w:pPr>
      <w:r>
        <w:rPr>
          <w:color w:val="000000"/>
          <w:sz w:val="24"/>
        </w:rPr>
        <w:t>根据财政部、国家税务总局财税</w:t>
      </w:r>
      <w:r>
        <w:rPr>
          <w:color w:val="000000"/>
          <w:sz w:val="24"/>
        </w:rPr>
        <w:t>[1998]55</w:t>
      </w:r>
      <w:r>
        <w:rPr>
          <w:color w:val="000000"/>
          <w:sz w:val="24"/>
        </w:rPr>
        <w:t>号《关于证券投资基金税收问题的通知》、财政部、国家税务总局财税</w:t>
      </w:r>
      <w:r>
        <w:rPr>
          <w:color w:val="000000"/>
          <w:sz w:val="24"/>
        </w:rPr>
        <w:t>[2004]78</w:t>
      </w:r>
      <w:r>
        <w:rPr>
          <w:color w:val="000000"/>
          <w:sz w:val="24"/>
        </w:rPr>
        <w:t>号《财政部、国家税务总局关于证券投资基金税收</w:t>
      </w:r>
      <w:r>
        <w:rPr>
          <w:color w:val="000000"/>
          <w:sz w:val="24"/>
        </w:rPr>
        <w:lastRenderedPageBreak/>
        <w:t>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A5734" w:rsidRDefault="002A04D9">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8A5734" w:rsidRDefault="002A04D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(3) </w:t>
      </w:r>
      <w:r w:rsidRPr="005C672D">
        <w:rPr>
          <w:color w:val="000000"/>
          <w:sz w:val="24"/>
        </w:rPr>
        <w:t>对基金取得的企业债券利息收入，应由发行债券的企业在向基金支付利息时代扣代缴</w:t>
      </w:r>
      <w:r w:rsidRPr="005C672D">
        <w:rPr>
          <w:color w:val="000000"/>
          <w:sz w:val="24"/>
        </w:rPr>
        <w:t>20%</w:t>
      </w:r>
      <w:r w:rsidRPr="005C672D">
        <w:rPr>
          <w:color w:val="000000"/>
          <w:sz w:val="24"/>
        </w:rPr>
        <w:t>的个人所得税。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A5734">
        <w:tc>
          <w:tcPr>
            <w:tcW w:w="5219" w:type="dxa"/>
            <w:vAlign w:val="center"/>
          </w:tcPr>
          <w:p w:rsidR="008A5734" w:rsidRDefault="002A04D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A5734" w:rsidRDefault="002A04D9">
            <w:pPr>
              <w:jc w:val="left"/>
            </w:pPr>
            <w:r>
              <w:rPr>
                <w:color w:val="000000"/>
                <w:sz w:val="24"/>
              </w:rPr>
              <w:t>基金管理人、基金销售机构</w:t>
            </w:r>
          </w:p>
        </w:tc>
      </w:tr>
      <w:tr w:rsidR="008A5734">
        <w:tc>
          <w:tcPr>
            <w:tcW w:w="5219" w:type="dxa"/>
            <w:vAlign w:val="center"/>
          </w:tcPr>
          <w:p w:rsidR="008A5734" w:rsidRDefault="002A04D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8A5734" w:rsidRDefault="002A04D9">
            <w:pPr>
              <w:jc w:val="left"/>
            </w:pPr>
            <w:r>
              <w:rPr>
                <w:color w:val="000000"/>
                <w:sz w:val="24"/>
              </w:rPr>
              <w:t>基金托管人、基金销售机构</w:t>
            </w:r>
          </w:p>
        </w:tc>
      </w:tr>
      <w:tr w:rsidR="008A5734">
        <w:tc>
          <w:tcPr>
            <w:tcW w:w="5219" w:type="dxa"/>
            <w:vAlign w:val="center"/>
          </w:tcPr>
          <w:p w:rsidR="008A5734" w:rsidRDefault="002A04D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A5734" w:rsidRDefault="002A04D9">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2,055,658.94</w:t>
            </w:r>
          </w:p>
        </w:tc>
        <w:tc>
          <w:tcPr>
            <w:tcW w:w="2657" w:type="dxa"/>
            <w:vAlign w:val="center"/>
          </w:tcPr>
          <w:p w:rsidR="001548F9" w:rsidRPr="005C672D" w:rsidRDefault="001548F9" w:rsidP="00AC6DDA">
            <w:pPr>
              <w:spacing w:before="29" w:line="288" w:lineRule="auto"/>
              <w:jc w:val="right"/>
              <w:rPr>
                <w:sz w:val="24"/>
              </w:rPr>
            </w:pPr>
            <w:r w:rsidRPr="005C672D">
              <w:rPr>
                <w:sz w:val="24"/>
              </w:rPr>
              <w:t>2,176,094.43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932,155.37</w:t>
            </w:r>
          </w:p>
        </w:tc>
        <w:tc>
          <w:tcPr>
            <w:tcW w:w="2657" w:type="dxa"/>
            <w:vAlign w:val="center"/>
          </w:tcPr>
          <w:p w:rsidR="001548F9" w:rsidRPr="005C672D" w:rsidRDefault="001548F9" w:rsidP="00AC6DDA">
            <w:pPr>
              <w:spacing w:before="29" w:line="288" w:lineRule="auto"/>
              <w:jc w:val="right"/>
              <w:rPr>
                <w:sz w:val="24"/>
              </w:rPr>
            </w:pPr>
            <w:r w:rsidRPr="005C672D">
              <w:rPr>
                <w:sz w:val="24"/>
              </w:rPr>
              <w:t>986,929.94</w:t>
            </w:r>
          </w:p>
        </w:tc>
      </w:tr>
    </w:tbl>
    <w:p w:rsidR="008A5734" w:rsidRDefault="002A04D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×0.8%÷</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385,436.07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408,017.69</w:t>
            </w:r>
          </w:p>
        </w:tc>
      </w:tr>
    </w:tbl>
    <w:p w:rsidR="008A5734" w:rsidRDefault="002A04D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本报告期内未及上年度可比期间发生基金管理人运用固有资金投资本基金的情况。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lastRenderedPageBreak/>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A5734">
        <w:tc>
          <w:tcPr>
            <w:tcW w:w="2171" w:type="dxa"/>
            <w:vAlign w:val="center"/>
          </w:tcPr>
          <w:p w:rsidR="008A5734" w:rsidRDefault="002A04D9">
            <w:pPr>
              <w:jc w:val="left"/>
            </w:pPr>
            <w:r>
              <w:rPr>
                <w:sz w:val="24"/>
              </w:rPr>
              <w:t>中信银行股份有限公司</w:t>
            </w:r>
          </w:p>
        </w:tc>
        <w:tc>
          <w:tcPr>
            <w:tcW w:w="2023" w:type="dxa"/>
            <w:vAlign w:val="center"/>
          </w:tcPr>
          <w:p w:rsidR="008A5734" w:rsidRDefault="002A04D9">
            <w:pPr>
              <w:jc w:val="right"/>
            </w:pPr>
            <w:r>
              <w:rPr>
                <w:sz w:val="24"/>
              </w:rPr>
              <w:t>1,397,219.74</w:t>
            </w:r>
          </w:p>
        </w:tc>
        <w:tc>
          <w:tcPr>
            <w:tcW w:w="1772" w:type="dxa"/>
            <w:vAlign w:val="center"/>
          </w:tcPr>
          <w:p w:rsidR="008A5734" w:rsidRDefault="002A04D9">
            <w:pPr>
              <w:jc w:val="right"/>
            </w:pPr>
            <w:r>
              <w:rPr>
                <w:sz w:val="24"/>
              </w:rPr>
              <w:t>35,958.99</w:t>
            </w:r>
          </w:p>
        </w:tc>
        <w:tc>
          <w:tcPr>
            <w:tcW w:w="1412" w:type="dxa"/>
            <w:vAlign w:val="center"/>
          </w:tcPr>
          <w:p w:rsidR="008A5734" w:rsidRDefault="002A04D9">
            <w:pPr>
              <w:jc w:val="right"/>
            </w:pPr>
            <w:r>
              <w:rPr>
                <w:sz w:val="24"/>
              </w:rPr>
              <w:t>1,959,403.40</w:t>
            </w:r>
          </w:p>
        </w:tc>
        <w:tc>
          <w:tcPr>
            <w:tcW w:w="1807" w:type="dxa"/>
            <w:vAlign w:val="center"/>
          </w:tcPr>
          <w:p w:rsidR="008A5734" w:rsidRDefault="002A04D9">
            <w:pPr>
              <w:jc w:val="right"/>
            </w:pPr>
            <w:r>
              <w:rPr>
                <w:sz w:val="24"/>
              </w:rPr>
              <w:t>20,476.03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506,287,615.20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96.81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506,287,615.20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96.81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lastRenderedPageBreak/>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6,887,957.90</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1.32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9,792,192.20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1.87</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522,967,765.30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E00414" w:rsidRPr="005C672D" w:rsidRDefault="00E00414"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Default="00DD0E90" w:rsidP="00AC6DDA">
      <w:pPr>
        <w:tabs>
          <w:tab w:val="left" w:pos="426"/>
        </w:tabs>
        <w:spacing w:before="29" w:line="288" w:lineRule="auto"/>
        <w:jc w:val="left"/>
        <w:rPr>
          <w:kern w:val="0"/>
          <w:sz w:val="24"/>
        </w:rPr>
      </w:pPr>
      <w:r w:rsidRPr="005C672D">
        <w:rPr>
          <w:kern w:val="0"/>
          <w:sz w:val="24"/>
        </w:rPr>
        <w:t>本基金本报告期末未持有股票。</w:t>
      </w:r>
    </w:p>
    <w:p w:rsidR="00E00414" w:rsidRPr="005C672D" w:rsidRDefault="00E00414"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Default="001548F9" w:rsidP="009C7B6B">
      <w:pPr>
        <w:spacing w:before="29" w:line="288" w:lineRule="auto"/>
        <w:rPr>
          <w:kern w:val="0"/>
          <w:sz w:val="24"/>
        </w:rPr>
      </w:pPr>
      <w:r w:rsidRPr="005C672D">
        <w:rPr>
          <w:kern w:val="0"/>
          <w:sz w:val="24"/>
        </w:rPr>
        <w:t>本基金本报告期内未持有股票。</w:t>
      </w:r>
    </w:p>
    <w:p w:rsidR="00E00414" w:rsidRPr="005C672D" w:rsidRDefault="00E00414"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1"/>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4,614,300.00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0.88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4,614,300.00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0.88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104,098,315.20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19.94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260,630,000.00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49.91</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D83360" w:rsidRPr="005C672D" w:rsidTr="00DF4815">
        <w:tc>
          <w:tcPr>
            <w:tcW w:w="862" w:type="dxa"/>
            <w:vAlign w:val="center"/>
          </w:tcPr>
          <w:p w:rsidR="00D83360" w:rsidRPr="004B6D45" w:rsidRDefault="00D83360" w:rsidP="00D83360">
            <w:pPr>
              <w:spacing w:before="29" w:line="288" w:lineRule="auto"/>
              <w:ind w:left="17"/>
              <w:jc w:val="center"/>
              <w:rPr>
                <w:color w:val="000000"/>
                <w:sz w:val="24"/>
              </w:rPr>
            </w:pPr>
            <w:bookmarkStart w:id="63" w:name="_GoBack" w:colFirst="2" w:colLast="3"/>
            <w:r w:rsidRPr="004B6D45">
              <w:rPr>
                <w:rFonts w:hint="eastAsia"/>
                <w:color w:val="000000"/>
                <w:sz w:val="24"/>
              </w:rPr>
              <w:t>8</w:t>
            </w:r>
          </w:p>
        </w:tc>
        <w:tc>
          <w:tcPr>
            <w:tcW w:w="3440" w:type="dxa"/>
            <w:vAlign w:val="center"/>
          </w:tcPr>
          <w:p w:rsidR="00D83360" w:rsidRPr="004B6D45" w:rsidRDefault="00D83360" w:rsidP="00D83360">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D83360" w:rsidRDefault="00D83360" w:rsidP="00D83360">
            <w:pPr>
              <w:spacing w:before="29" w:line="288" w:lineRule="auto"/>
              <w:ind w:left="17"/>
              <w:jc w:val="right"/>
              <w:rPr>
                <w:sz w:val="24"/>
              </w:rPr>
            </w:pPr>
            <w:r>
              <w:rPr>
                <w:sz w:val="24"/>
              </w:rPr>
              <w:t>136,945,000.00</w:t>
            </w:r>
          </w:p>
        </w:tc>
        <w:tc>
          <w:tcPr>
            <w:tcW w:w="2153" w:type="dxa"/>
            <w:vAlign w:val="center"/>
          </w:tcPr>
          <w:p w:rsidR="00D83360" w:rsidRDefault="00D83360" w:rsidP="00D83360">
            <w:pPr>
              <w:spacing w:before="29" w:line="288" w:lineRule="auto"/>
              <w:ind w:left="17"/>
              <w:jc w:val="right"/>
              <w:rPr>
                <w:sz w:val="24"/>
              </w:rPr>
            </w:pPr>
            <w:r>
              <w:rPr>
                <w:sz w:val="24"/>
              </w:rPr>
              <w:t>26.23</w:t>
            </w:r>
          </w:p>
        </w:tc>
      </w:tr>
      <w:tr w:rsidR="00D83360" w:rsidRPr="005C672D" w:rsidTr="00DF4815">
        <w:tc>
          <w:tcPr>
            <w:tcW w:w="862" w:type="dxa"/>
            <w:vAlign w:val="center"/>
          </w:tcPr>
          <w:p w:rsidR="00D83360" w:rsidRPr="005C672D" w:rsidRDefault="00D83360" w:rsidP="00D83360">
            <w:pPr>
              <w:spacing w:before="29" w:line="288" w:lineRule="auto"/>
              <w:ind w:left="17"/>
              <w:jc w:val="center"/>
              <w:rPr>
                <w:color w:val="000000"/>
                <w:sz w:val="24"/>
              </w:rPr>
            </w:pPr>
            <w:r w:rsidRPr="005C672D">
              <w:rPr>
                <w:color w:val="000000"/>
                <w:sz w:val="24"/>
              </w:rPr>
              <w:lastRenderedPageBreak/>
              <w:t>9</w:t>
            </w:r>
          </w:p>
        </w:tc>
        <w:tc>
          <w:tcPr>
            <w:tcW w:w="3440" w:type="dxa"/>
            <w:vAlign w:val="center"/>
          </w:tcPr>
          <w:p w:rsidR="00D83360" w:rsidRPr="005C672D" w:rsidRDefault="00D83360" w:rsidP="00D83360">
            <w:pPr>
              <w:spacing w:before="29" w:line="288" w:lineRule="auto"/>
              <w:ind w:left="17"/>
              <w:jc w:val="left"/>
              <w:rPr>
                <w:color w:val="000000"/>
                <w:sz w:val="24"/>
              </w:rPr>
            </w:pPr>
            <w:r w:rsidRPr="005C672D">
              <w:rPr>
                <w:color w:val="000000"/>
                <w:sz w:val="24"/>
              </w:rPr>
              <w:t>其他</w:t>
            </w:r>
          </w:p>
        </w:tc>
        <w:tc>
          <w:tcPr>
            <w:tcW w:w="2543" w:type="dxa"/>
            <w:vAlign w:val="center"/>
          </w:tcPr>
          <w:p w:rsidR="00D83360" w:rsidRDefault="00D83360" w:rsidP="00D83360">
            <w:pPr>
              <w:spacing w:before="29" w:line="288" w:lineRule="auto"/>
              <w:ind w:left="17"/>
              <w:jc w:val="right"/>
              <w:rPr>
                <w:sz w:val="24"/>
              </w:rPr>
            </w:pPr>
            <w:r>
              <w:rPr>
                <w:sz w:val="24"/>
              </w:rPr>
              <w:t>-</w:t>
            </w:r>
          </w:p>
        </w:tc>
        <w:tc>
          <w:tcPr>
            <w:tcW w:w="2153" w:type="dxa"/>
            <w:vAlign w:val="center"/>
          </w:tcPr>
          <w:p w:rsidR="00D83360" w:rsidRDefault="00D83360" w:rsidP="00D83360">
            <w:pPr>
              <w:spacing w:before="29" w:line="288" w:lineRule="auto"/>
              <w:ind w:left="17"/>
              <w:jc w:val="right"/>
              <w:rPr>
                <w:sz w:val="24"/>
              </w:rPr>
            </w:pPr>
            <w:r>
              <w:rPr>
                <w:sz w:val="24"/>
              </w:rPr>
              <w:t>-</w:t>
            </w:r>
          </w:p>
        </w:tc>
      </w:tr>
      <w:bookmarkEnd w:id="63"/>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506,287,615.20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96.96</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8A5734">
        <w:tc>
          <w:tcPr>
            <w:tcW w:w="1320" w:type="dxa"/>
            <w:vAlign w:val="center"/>
          </w:tcPr>
          <w:p w:rsidR="008A5734" w:rsidRDefault="002A04D9">
            <w:pPr>
              <w:jc w:val="center"/>
            </w:pPr>
            <w:r>
              <w:rPr>
                <w:color w:val="000000"/>
                <w:sz w:val="24"/>
              </w:rPr>
              <w:t>1</w:t>
            </w:r>
          </w:p>
        </w:tc>
        <w:tc>
          <w:tcPr>
            <w:tcW w:w="1382" w:type="dxa"/>
            <w:vAlign w:val="center"/>
          </w:tcPr>
          <w:p w:rsidR="008A5734" w:rsidRDefault="002A04D9">
            <w:pPr>
              <w:jc w:val="center"/>
            </w:pPr>
            <w:r>
              <w:rPr>
                <w:color w:val="000000"/>
                <w:sz w:val="24"/>
              </w:rPr>
              <w:t>111695908</w:t>
            </w:r>
          </w:p>
        </w:tc>
        <w:tc>
          <w:tcPr>
            <w:tcW w:w="1353" w:type="dxa"/>
            <w:vAlign w:val="center"/>
          </w:tcPr>
          <w:p w:rsidR="008A5734" w:rsidRDefault="002A04D9">
            <w:pPr>
              <w:jc w:val="center"/>
            </w:pPr>
            <w:r>
              <w:rPr>
                <w:color w:val="000000"/>
                <w:sz w:val="24"/>
              </w:rPr>
              <w:t>16</w:t>
            </w:r>
            <w:r>
              <w:rPr>
                <w:color w:val="000000"/>
                <w:sz w:val="24"/>
              </w:rPr>
              <w:t>包商银行</w:t>
            </w:r>
            <w:r>
              <w:rPr>
                <w:color w:val="000000"/>
                <w:sz w:val="24"/>
              </w:rPr>
              <w:t>CD047</w:t>
            </w:r>
          </w:p>
        </w:tc>
        <w:tc>
          <w:tcPr>
            <w:tcW w:w="1505" w:type="dxa"/>
            <w:vAlign w:val="center"/>
          </w:tcPr>
          <w:p w:rsidR="008A5734" w:rsidRDefault="002A04D9">
            <w:pPr>
              <w:jc w:val="right"/>
            </w:pPr>
            <w:r>
              <w:rPr>
                <w:color w:val="000000"/>
                <w:sz w:val="24"/>
              </w:rPr>
              <w:t>700,000</w:t>
            </w:r>
          </w:p>
        </w:tc>
        <w:tc>
          <w:tcPr>
            <w:tcW w:w="1737" w:type="dxa"/>
            <w:vAlign w:val="center"/>
          </w:tcPr>
          <w:p w:rsidR="008A5734" w:rsidRDefault="002A04D9">
            <w:pPr>
              <w:jc w:val="right"/>
            </w:pPr>
            <w:r>
              <w:rPr>
                <w:color w:val="000000"/>
                <w:sz w:val="24"/>
              </w:rPr>
              <w:t>67,865,000.00</w:t>
            </w:r>
          </w:p>
        </w:tc>
        <w:tc>
          <w:tcPr>
            <w:tcW w:w="1701" w:type="dxa"/>
            <w:vAlign w:val="center"/>
          </w:tcPr>
          <w:p w:rsidR="008A5734" w:rsidRDefault="002A04D9">
            <w:pPr>
              <w:jc w:val="right"/>
            </w:pPr>
            <w:r>
              <w:rPr>
                <w:color w:val="000000"/>
                <w:sz w:val="24"/>
              </w:rPr>
              <w:t>13.00</w:t>
            </w:r>
          </w:p>
        </w:tc>
      </w:tr>
      <w:tr w:rsidR="008A5734">
        <w:tc>
          <w:tcPr>
            <w:tcW w:w="1320" w:type="dxa"/>
            <w:vAlign w:val="center"/>
          </w:tcPr>
          <w:p w:rsidR="008A5734" w:rsidRDefault="002A04D9">
            <w:pPr>
              <w:jc w:val="center"/>
            </w:pPr>
            <w:r>
              <w:rPr>
                <w:color w:val="000000"/>
                <w:sz w:val="24"/>
              </w:rPr>
              <w:t>2</w:t>
            </w:r>
          </w:p>
        </w:tc>
        <w:tc>
          <w:tcPr>
            <w:tcW w:w="1382" w:type="dxa"/>
            <w:vAlign w:val="center"/>
          </w:tcPr>
          <w:p w:rsidR="008A5734" w:rsidRDefault="002A04D9">
            <w:pPr>
              <w:jc w:val="center"/>
            </w:pPr>
            <w:r>
              <w:rPr>
                <w:color w:val="000000"/>
                <w:sz w:val="24"/>
              </w:rPr>
              <w:t>011698690</w:t>
            </w:r>
          </w:p>
        </w:tc>
        <w:tc>
          <w:tcPr>
            <w:tcW w:w="1353" w:type="dxa"/>
            <w:vAlign w:val="center"/>
          </w:tcPr>
          <w:p w:rsidR="008A5734" w:rsidRDefault="002A04D9">
            <w:pPr>
              <w:jc w:val="center"/>
            </w:pPr>
            <w:r>
              <w:rPr>
                <w:color w:val="000000"/>
                <w:sz w:val="24"/>
              </w:rPr>
              <w:t>16</w:t>
            </w:r>
            <w:r>
              <w:rPr>
                <w:color w:val="000000"/>
                <w:sz w:val="24"/>
              </w:rPr>
              <w:t>杭金投</w:t>
            </w:r>
            <w:r>
              <w:rPr>
                <w:color w:val="000000"/>
                <w:sz w:val="24"/>
              </w:rPr>
              <w:t>SCP004</w:t>
            </w:r>
          </w:p>
        </w:tc>
        <w:tc>
          <w:tcPr>
            <w:tcW w:w="1505" w:type="dxa"/>
            <w:vAlign w:val="center"/>
          </w:tcPr>
          <w:p w:rsidR="008A5734" w:rsidRDefault="002A04D9">
            <w:pPr>
              <w:jc w:val="right"/>
            </w:pPr>
            <w:r>
              <w:rPr>
                <w:color w:val="000000"/>
                <w:sz w:val="24"/>
              </w:rPr>
              <w:t>500,000</w:t>
            </w:r>
          </w:p>
        </w:tc>
        <w:tc>
          <w:tcPr>
            <w:tcW w:w="1737" w:type="dxa"/>
            <w:vAlign w:val="center"/>
          </w:tcPr>
          <w:p w:rsidR="008A5734" w:rsidRDefault="002A04D9">
            <w:pPr>
              <w:jc w:val="right"/>
            </w:pPr>
            <w:r>
              <w:rPr>
                <w:color w:val="000000"/>
                <w:sz w:val="24"/>
              </w:rPr>
              <w:t>50,170,000.00</w:t>
            </w:r>
          </w:p>
        </w:tc>
        <w:tc>
          <w:tcPr>
            <w:tcW w:w="1701" w:type="dxa"/>
            <w:vAlign w:val="center"/>
          </w:tcPr>
          <w:p w:rsidR="008A5734" w:rsidRDefault="002A04D9">
            <w:pPr>
              <w:jc w:val="right"/>
            </w:pPr>
            <w:r>
              <w:rPr>
                <w:color w:val="000000"/>
                <w:sz w:val="24"/>
              </w:rPr>
              <w:t>9.61</w:t>
            </w:r>
          </w:p>
        </w:tc>
      </w:tr>
      <w:tr w:rsidR="008A5734">
        <w:tc>
          <w:tcPr>
            <w:tcW w:w="1320" w:type="dxa"/>
            <w:vAlign w:val="center"/>
          </w:tcPr>
          <w:p w:rsidR="008A5734" w:rsidRDefault="002A04D9">
            <w:pPr>
              <w:jc w:val="center"/>
            </w:pPr>
            <w:r>
              <w:rPr>
                <w:color w:val="000000"/>
                <w:sz w:val="24"/>
              </w:rPr>
              <w:t>3</w:t>
            </w:r>
          </w:p>
        </w:tc>
        <w:tc>
          <w:tcPr>
            <w:tcW w:w="1382" w:type="dxa"/>
            <w:vAlign w:val="center"/>
          </w:tcPr>
          <w:p w:rsidR="008A5734" w:rsidRDefault="002A04D9">
            <w:pPr>
              <w:jc w:val="center"/>
            </w:pPr>
            <w:r>
              <w:rPr>
                <w:color w:val="000000"/>
                <w:sz w:val="24"/>
              </w:rPr>
              <w:t>011698776</w:t>
            </w:r>
          </w:p>
        </w:tc>
        <w:tc>
          <w:tcPr>
            <w:tcW w:w="1353" w:type="dxa"/>
            <w:vAlign w:val="center"/>
          </w:tcPr>
          <w:p w:rsidR="008A5734" w:rsidRDefault="002A04D9">
            <w:pPr>
              <w:jc w:val="center"/>
            </w:pPr>
            <w:r>
              <w:rPr>
                <w:color w:val="000000"/>
                <w:sz w:val="24"/>
              </w:rPr>
              <w:t>16</w:t>
            </w:r>
            <w:r>
              <w:rPr>
                <w:color w:val="000000"/>
                <w:sz w:val="24"/>
              </w:rPr>
              <w:t>珠海华发</w:t>
            </w:r>
            <w:r>
              <w:rPr>
                <w:color w:val="000000"/>
                <w:sz w:val="24"/>
              </w:rPr>
              <w:t>SCP007</w:t>
            </w:r>
          </w:p>
        </w:tc>
        <w:tc>
          <w:tcPr>
            <w:tcW w:w="1505" w:type="dxa"/>
            <w:vAlign w:val="center"/>
          </w:tcPr>
          <w:p w:rsidR="008A5734" w:rsidRDefault="002A04D9">
            <w:pPr>
              <w:jc w:val="right"/>
            </w:pPr>
            <w:r>
              <w:rPr>
                <w:color w:val="000000"/>
                <w:sz w:val="24"/>
              </w:rPr>
              <w:t>500,000</w:t>
            </w:r>
          </w:p>
        </w:tc>
        <w:tc>
          <w:tcPr>
            <w:tcW w:w="1737" w:type="dxa"/>
            <w:vAlign w:val="center"/>
          </w:tcPr>
          <w:p w:rsidR="008A5734" w:rsidRDefault="002A04D9">
            <w:pPr>
              <w:jc w:val="right"/>
            </w:pPr>
            <w:r>
              <w:rPr>
                <w:color w:val="000000"/>
                <w:sz w:val="24"/>
              </w:rPr>
              <w:t>50,115,000.00</w:t>
            </w:r>
          </w:p>
        </w:tc>
        <w:tc>
          <w:tcPr>
            <w:tcW w:w="1701" w:type="dxa"/>
            <w:vAlign w:val="center"/>
          </w:tcPr>
          <w:p w:rsidR="008A5734" w:rsidRDefault="002A04D9">
            <w:pPr>
              <w:jc w:val="right"/>
            </w:pPr>
            <w:r>
              <w:rPr>
                <w:color w:val="000000"/>
                <w:sz w:val="24"/>
              </w:rPr>
              <w:t>9.60</w:t>
            </w:r>
          </w:p>
        </w:tc>
      </w:tr>
      <w:tr w:rsidR="008A5734">
        <w:tc>
          <w:tcPr>
            <w:tcW w:w="1320" w:type="dxa"/>
            <w:vAlign w:val="center"/>
          </w:tcPr>
          <w:p w:rsidR="008A5734" w:rsidRDefault="002A04D9">
            <w:pPr>
              <w:jc w:val="center"/>
            </w:pPr>
            <w:r>
              <w:rPr>
                <w:color w:val="000000"/>
                <w:sz w:val="24"/>
              </w:rPr>
              <w:t>4</w:t>
            </w:r>
          </w:p>
        </w:tc>
        <w:tc>
          <w:tcPr>
            <w:tcW w:w="1382" w:type="dxa"/>
            <w:vAlign w:val="center"/>
          </w:tcPr>
          <w:p w:rsidR="008A5734" w:rsidRDefault="002A04D9">
            <w:pPr>
              <w:jc w:val="center"/>
            </w:pPr>
            <w:r>
              <w:rPr>
                <w:color w:val="000000"/>
                <w:sz w:val="24"/>
              </w:rPr>
              <w:t>011698738</w:t>
            </w:r>
          </w:p>
        </w:tc>
        <w:tc>
          <w:tcPr>
            <w:tcW w:w="1353" w:type="dxa"/>
            <w:vAlign w:val="center"/>
          </w:tcPr>
          <w:p w:rsidR="008A5734" w:rsidRDefault="002A04D9">
            <w:pPr>
              <w:jc w:val="center"/>
            </w:pPr>
            <w:r>
              <w:rPr>
                <w:color w:val="000000"/>
                <w:sz w:val="24"/>
              </w:rPr>
              <w:t>16</w:t>
            </w:r>
            <w:r>
              <w:rPr>
                <w:color w:val="000000"/>
                <w:sz w:val="24"/>
              </w:rPr>
              <w:t>广新控股</w:t>
            </w:r>
            <w:r>
              <w:rPr>
                <w:color w:val="000000"/>
                <w:sz w:val="24"/>
              </w:rPr>
              <w:t>SCP009</w:t>
            </w:r>
          </w:p>
        </w:tc>
        <w:tc>
          <w:tcPr>
            <w:tcW w:w="1505" w:type="dxa"/>
            <w:vAlign w:val="center"/>
          </w:tcPr>
          <w:p w:rsidR="008A5734" w:rsidRDefault="002A04D9">
            <w:pPr>
              <w:jc w:val="right"/>
            </w:pPr>
            <w:r>
              <w:rPr>
                <w:color w:val="000000"/>
                <w:sz w:val="24"/>
              </w:rPr>
              <w:t>500,000</w:t>
            </w:r>
          </w:p>
        </w:tc>
        <w:tc>
          <w:tcPr>
            <w:tcW w:w="1737" w:type="dxa"/>
            <w:vAlign w:val="center"/>
          </w:tcPr>
          <w:p w:rsidR="008A5734" w:rsidRDefault="002A04D9">
            <w:pPr>
              <w:jc w:val="right"/>
            </w:pPr>
            <w:r>
              <w:rPr>
                <w:color w:val="000000"/>
                <w:sz w:val="24"/>
              </w:rPr>
              <w:t>50,105,000.00</w:t>
            </w:r>
          </w:p>
        </w:tc>
        <w:tc>
          <w:tcPr>
            <w:tcW w:w="1701" w:type="dxa"/>
            <w:vAlign w:val="center"/>
          </w:tcPr>
          <w:p w:rsidR="008A5734" w:rsidRDefault="002A04D9">
            <w:pPr>
              <w:jc w:val="right"/>
            </w:pPr>
            <w:r>
              <w:rPr>
                <w:color w:val="000000"/>
                <w:sz w:val="24"/>
              </w:rPr>
              <w:t>9.60</w:t>
            </w:r>
          </w:p>
        </w:tc>
      </w:tr>
      <w:tr w:rsidR="008A5734">
        <w:tc>
          <w:tcPr>
            <w:tcW w:w="1320" w:type="dxa"/>
            <w:vAlign w:val="center"/>
          </w:tcPr>
          <w:p w:rsidR="008A5734" w:rsidRDefault="002A04D9">
            <w:pPr>
              <w:jc w:val="center"/>
            </w:pPr>
            <w:r>
              <w:rPr>
                <w:color w:val="000000"/>
                <w:sz w:val="24"/>
              </w:rPr>
              <w:t>5</w:t>
            </w:r>
          </w:p>
        </w:tc>
        <w:tc>
          <w:tcPr>
            <w:tcW w:w="1382" w:type="dxa"/>
            <w:vAlign w:val="center"/>
          </w:tcPr>
          <w:p w:rsidR="008A5734" w:rsidRDefault="002A04D9">
            <w:pPr>
              <w:jc w:val="center"/>
            </w:pPr>
            <w:r>
              <w:rPr>
                <w:color w:val="000000"/>
                <w:sz w:val="24"/>
              </w:rPr>
              <w:t>011698774</w:t>
            </w:r>
          </w:p>
        </w:tc>
        <w:tc>
          <w:tcPr>
            <w:tcW w:w="1353" w:type="dxa"/>
            <w:vAlign w:val="center"/>
          </w:tcPr>
          <w:p w:rsidR="008A5734" w:rsidRDefault="002A04D9">
            <w:pPr>
              <w:jc w:val="center"/>
            </w:pPr>
            <w:r>
              <w:rPr>
                <w:color w:val="000000"/>
                <w:sz w:val="24"/>
              </w:rPr>
              <w:t>16</w:t>
            </w:r>
            <w:r>
              <w:rPr>
                <w:color w:val="000000"/>
                <w:sz w:val="24"/>
              </w:rPr>
              <w:t>陕延油</w:t>
            </w:r>
            <w:r>
              <w:rPr>
                <w:color w:val="000000"/>
                <w:sz w:val="24"/>
              </w:rPr>
              <w:t>SCP005</w:t>
            </w:r>
          </w:p>
        </w:tc>
        <w:tc>
          <w:tcPr>
            <w:tcW w:w="1505" w:type="dxa"/>
            <w:vAlign w:val="center"/>
          </w:tcPr>
          <w:p w:rsidR="008A5734" w:rsidRDefault="002A04D9">
            <w:pPr>
              <w:jc w:val="right"/>
            </w:pPr>
            <w:r>
              <w:rPr>
                <w:color w:val="000000"/>
                <w:sz w:val="24"/>
              </w:rPr>
              <w:t>500,000</w:t>
            </w:r>
          </w:p>
        </w:tc>
        <w:tc>
          <w:tcPr>
            <w:tcW w:w="1737" w:type="dxa"/>
            <w:vAlign w:val="center"/>
          </w:tcPr>
          <w:p w:rsidR="008A5734" w:rsidRDefault="002A04D9">
            <w:pPr>
              <w:jc w:val="right"/>
            </w:pPr>
            <w:r>
              <w:rPr>
                <w:color w:val="000000"/>
                <w:sz w:val="24"/>
              </w:rPr>
              <w:t>50,090,000.00</w:t>
            </w:r>
          </w:p>
        </w:tc>
        <w:tc>
          <w:tcPr>
            <w:tcW w:w="1701" w:type="dxa"/>
            <w:vAlign w:val="center"/>
          </w:tcPr>
          <w:p w:rsidR="008A5734" w:rsidRDefault="002A04D9">
            <w:pPr>
              <w:jc w:val="right"/>
            </w:pPr>
            <w:r>
              <w:rPr>
                <w:color w:val="000000"/>
                <w:sz w:val="24"/>
              </w:rPr>
              <w:t>9.59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w:t>
      </w:r>
      <w:r w:rsidRPr="005C672D">
        <w:rPr>
          <w:color w:val="000000"/>
          <w:sz w:val="24"/>
        </w:rPr>
        <w:t>14</w:t>
      </w:r>
      <w:r w:rsidRPr="005C672D">
        <w:rPr>
          <w:color w:val="000000"/>
          <w:sz w:val="24"/>
        </w:rPr>
        <w:t>山证</w:t>
      </w:r>
      <w:r w:rsidRPr="005C672D">
        <w:rPr>
          <w:color w:val="000000"/>
          <w:sz w:val="24"/>
        </w:rPr>
        <w:t>01</w:t>
      </w:r>
      <w:r w:rsidRPr="005C672D">
        <w:rPr>
          <w:color w:val="000000"/>
          <w:sz w:val="24"/>
        </w:rPr>
        <w:t>（证券代码</w:t>
      </w:r>
      <w:r w:rsidRPr="005C672D">
        <w:rPr>
          <w:color w:val="000000"/>
          <w:sz w:val="24"/>
        </w:rPr>
        <w:t>:112218</w:t>
      </w:r>
      <w:r w:rsidRPr="005C672D">
        <w:rPr>
          <w:color w:val="000000"/>
          <w:sz w:val="24"/>
        </w:rPr>
        <w:t>）外，未出现被监管部门立案调查，或在报告编制日前一年内受到公开谴责、处罚的情形。</w:t>
      </w:r>
    </w:p>
    <w:p w:rsidR="008A5734" w:rsidRDefault="002A04D9">
      <w:pPr>
        <w:spacing w:before="29" w:line="288" w:lineRule="auto"/>
        <w:rPr>
          <w:color w:val="000000"/>
          <w:sz w:val="24"/>
        </w:rPr>
      </w:pPr>
      <w:r>
        <w:rPr>
          <w:color w:val="000000"/>
          <w:sz w:val="24"/>
        </w:rPr>
        <w:t>报告期内本基金投资的前十名证券之一</w:t>
      </w:r>
      <w:r>
        <w:rPr>
          <w:color w:val="000000"/>
          <w:sz w:val="24"/>
        </w:rPr>
        <w:t>14</w:t>
      </w:r>
      <w:r>
        <w:rPr>
          <w:color w:val="000000"/>
          <w:sz w:val="24"/>
        </w:rPr>
        <w:t>山证</w:t>
      </w:r>
      <w:r>
        <w:rPr>
          <w:color w:val="000000"/>
          <w:sz w:val="24"/>
        </w:rPr>
        <w:t>01</w:t>
      </w:r>
      <w:r>
        <w:rPr>
          <w:color w:val="000000"/>
          <w:sz w:val="24"/>
        </w:rPr>
        <w:t>（证券代码</w:t>
      </w:r>
      <w:r>
        <w:rPr>
          <w:color w:val="000000"/>
          <w:sz w:val="24"/>
        </w:rPr>
        <w:t>:112218</w:t>
      </w:r>
      <w:r>
        <w:rPr>
          <w:color w:val="000000"/>
          <w:sz w:val="24"/>
        </w:rPr>
        <w:t>）的发行主体山西</w:t>
      </w:r>
      <w:r>
        <w:rPr>
          <w:color w:val="000000"/>
          <w:sz w:val="24"/>
        </w:rPr>
        <w:lastRenderedPageBreak/>
        <w:t>证券于</w:t>
      </w:r>
      <w:r>
        <w:rPr>
          <w:color w:val="000000"/>
          <w:sz w:val="24"/>
        </w:rPr>
        <w:t>2016</w:t>
      </w:r>
      <w:r>
        <w:rPr>
          <w:color w:val="000000"/>
          <w:sz w:val="24"/>
        </w:rPr>
        <w:t>年</w:t>
      </w:r>
      <w:r>
        <w:rPr>
          <w:color w:val="000000"/>
          <w:sz w:val="24"/>
        </w:rPr>
        <w:t>9</w:t>
      </w:r>
      <w:r>
        <w:rPr>
          <w:color w:val="000000"/>
          <w:sz w:val="24"/>
        </w:rPr>
        <w:t>月</w:t>
      </w:r>
      <w:r>
        <w:rPr>
          <w:color w:val="000000"/>
          <w:sz w:val="24"/>
        </w:rPr>
        <w:t>27</w:t>
      </w:r>
      <w:r>
        <w:rPr>
          <w:color w:val="000000"/>
          <w:sz w:val="24"/>
        </w:rPr>
        <w:t>日公告，公司控股子公司中德证券因在西藏紫光卓远股权投资有限公司财务顾问项目中违反了《中华人民共和国证券法》和《上市公司收购管理办法》的有关规定，于</w:t>
      </w:r>
      <w:r>
        <w:rPr>
          <w:color w:val="000000"/>
          <w:sz w:val="24"/>
        </w:rPr>
        <w:t>2016</w:t>
      </w:r>
      <w:r>
        <w:rPr>
          <w:color w:val="000000"/>
          <w:sz w:val="24"/>
        </w:rPr>
        <w:t>年</w:t>
      </w:r>
      <w:r>
        <w:rPr>
          <w:color w:val="000000"/>
          <w:sz w:val="24"/>
        </w:rPr>
        <w:t>9</w:t>
      </w:r>
      <w:r>
        <w:rPr>
          <w:color w:val="000000"/>
          <w:sz w:val="24"/>
        </w:rPr>
        <w:t>月</w:t>
      </w:r>
      <w:r>
        <w:rPr>
          <w:color w:val="000000"/>
          <w:sz w:val="24"/>
        </w:rPr>
        <w:t>26</w:t>
      </w:r>
      <w:r>
        <w:rPr>
          <w:color w:val="000000"/>
          <w:sz w:val="24"/>
        </w:rPr>
        <w:t>日收到中国证监会《行政处罚决定书》（</w:t>
      </w:r>
      <w:r>
        <w:rPr>
          <w:color w:val="000000"/>
          <w:sz w:val="24"/>
        </w:rPr>
        <w:t>[2016]112</w:t>
      </w:r>
      <w:r>
        <w:rPr>
          <w:color w:val="000000"/>
          <w:sz w:val="24"/>
        </w:rPr>
        <w:t>号）。据此，中国证监会决定责令中德证券改正，没收业务收入</w:t>
      </w:r>
      <w:r>
        <w:rPr>
          <w:color w:val="000000"/>
          <w:sz w:val="24"/>
        </w:rPr>
        <w:t>300</w:t>
      </w:r>
      <w:r>
        <w:rPr>
          <w:color w:val="000000"/>
          <w:sz w:val="24"/>
        </w:rPr>
        <w:t>万元，并处以</w:t>
      </w:r>
      <w:r>
        <w:rPr>
          <w:color w:val="000000"/>
          <w:sz w:val="24"/>
        </w:rPr>
        <w:t>300</w:t>
      </w:r>
      <w:r>
        <w:rPr>
          <w:color w:val="000000"/>
          <w:sz w:val="24"/>
        </w:rPr>
        <w:t>万元罚款。收到处罚决定书后，中德证券已将全部罚没款共计</w:t>
      </w:r>
      <w:r>
        <w:rPr>
          <w:color w:val="000000"/>
          <w:sz w:val="24"/>
        </w:rPr>
        <w:t>600</w:t>
      </w:r>
      <w:r>
        <w:rPr>
          <w:color w:val="000000"/>
          <w:sz w:val="24"/>
        </w:rPr>
        <w:t>万汇交至中国证监会指定账户。</w:t>
      </w:r>
    </w:p>
    <w:p w:rsidR="008A5734" w:rsidRDefault="002A04D9">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10,080.62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9,782,111.58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9,792,192.20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583CA6" w:rsidRPr="005C672D" w:rsidTr="00583CA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A5734" w:rsidRDefault="002A04D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583CA6" w:rsidRPr="005C672D" w:rsidTr="00583CA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A5734" w:rsidRDefault="008A573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583CA6" w:rsidRPr="005C672D" w:rsidTr="00583CA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A5734" w:rsidRDefault="008A573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583CA6" w:rsidRPr="005C672D" w:rsidTr="00583CA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A5734" w:rsidRDefault="002A04D9">
            <w:pPr>
              <w:jc w:val="center"/>
            </w:pPr>
            <w:r>
              <w:rPr>
                <w:bCs/>
                <w:color w:val="000000"/>
                <w:sz w:val="24"/>
              </w:rPr>
              <w:t>2,464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207,247.62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510,658,140.93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w:t>
            </w:r>
          </w:p>
        </w:tc>
        <w:tc>
          <w:tcPr>
            <w:tcW w:w="2160" w:type="dxa"/>
            <w:vAlign w:val="center"/>
          </w:tcPr>
          <w:p w:rsidR="00DF5C7F" w:rsidRPr="005C672D" w:rsidRDefault="00C4314B" w:rsidP="00AC6DDA">
            <w:pPr>
              <w:widowControl/>
              <w:spacing w:before="29" w:line="288" w:lineRule="auto"/>
              <w:jc w:val="right"/>
              <w:rPr>
                <w:color w:val="000000"/>
                <w:kern w:val="0"/>
                <w:sz w:val="24"/>
              </w:rPr>
            </w:pPr>
            <w:r w:rsidRPr="005C672D">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BB4E44" w:rsidRPr="005C672D" w:rsidRDefault="00BB4E44" w:rsidP="00AC6DDA">
      <w:pPr>
        <w:tabs>
          <w:tab w:val="left" w:pos="426"/>
        </w:tabs>
        <w:spacing w:before="29" w:line="288" w:lineRule="auto"/>
        <w:jc w:val="left"/>
        <w:rPr>
          <w:kern w:val="0"/>
          <w:sz w:val="24"/>
        </w:rPr>
      </w:pPr>
    </w:p>
    <w:p w:rsidR="001548F9" w:rsidRPr="005C672D" w:rsidRDefault="002A04D9" w:rsidP="003248DF">
      <w:pPr>
        <w:pStyle w:val="1"/>
        <w:keepNext/>
        <w:keepLines/>
        <w:widowControl w:val="0"/>
        <w:spacing w:beforeLines="100" w:before="312" w:afterLines="100" w:after="312" w:line="288" w:lineRule="auto"/>
        <w:jc w:val="center"/>
        <w:rPr>
          <w:b/>
          <w:bCs/>
          <w:szCs w:val="24"/>
          <w:lang w:val="en-US"/>
        </w:rPr>
      </w:pPr>
      <w:bookmarkStart w:id="75" w:name="_Toc331410116"/>
      <w:bookmarkStart w:id="76" w:name="_Toc225500054"/>
      <w:r>
        <w:rPr>
          <w:b/>
          <w:bCs/>
          <w:szCs w:val="24"/>
          <w:lang w:val="en-US"/>
        </w:rPr>
        <w:t>9</w:t>
      </w:r>
      <w:r w:rsidR="001548F9" w:rsidRPr="005C672D">
        <w:rPr>
          <w:b/>
          <w:bCs/>
          <w:szCs w:val="24"/>
          <w:lang w:val="en-US"/>
        </w:rPr>
        <w:t xml:space="preserve">  </w:t>
      </w:r>
      <w:r w:rsidR="001548F9" w:rsidRPr="005C672D">
        <w:rPr>
          <w:b/>
          <w:bCs/>
          <w:szCs w:val="24"/>
          <w:lang w:val="en-US"/>
        </w:rPr>
        <w:t>重大事件揭示</w:t>
      </w:r>
      <w:bookmarkEnd w:id="75"/>
      <w:bookmarkEnd w:id="76"/>
    </w:p>
    <w:p w:rsidR="001548F9" w:rsidRPr="005C672D" w:rsidRDefault="002A04D9" w:rsidP="00AC6DDA">
      <w:pPr>
        <w:pStyle w:val="20"/>
        <w:spacing w:before="29" w:after="0" w:line="288" w:lineRule="auto"/>
        <w:rPr>
          <w:rFonts w:ascii="Times New Roman" w:hAnsi="Times New Roman"/>
          <w:kern w:val="0"/>
          <w:szCs w:val="24"/>
        </w:rPr>
      </w:pPr>
      <w:bookmarkStart w:id="77" w:name="_Toc331410117"/>
      <w:r>
        <w:rPr>
          <w:rFonts w:ascii="Times New Roman" w:hAnsi="Times New Roman"/>
          <w:kern w:val="0"/>
          <w:szCs w:val="24"/>
        </w:rPr>
        <w:t>9</w:t>
      </w:r>
      <w:r w:rsidR="001548F9" w:rsidRPr="005C672D">
        <w:rPr>
          <w:rFonts w:ascii="Times New Roman" w:hAnsi="Times New Roman"/>
          <w:kern w:val="0"/>
          <w:szCs w:val="24"/>
        </w:rPr>
        <w:t xml:space="preserve">.1 </w:t>
      </w:r>
      <w:r w:rsidR="001548F9" w:rsidRPr="005C672D">
        <w:rPr>
          <w:rFonts w:ascii="Times New Roman" w:hAnsi="Times New Roman"/>
          <w:kern w:val="0"/>
          <w:szCs w:val="24"/>
        </w:rPr>
        <w:t>基金份额持有人大会决议</w:t>
      </w:r>
      <w:bookmarkEnd w:id="77"/>
    </w:p>
    <w:p w:rsidR="001548F9" w:rsidRPr="005C672D" w:rsidRDefault="001548F9" w:rsidP="00AC6DDA">
      <w:pPr>
        <w:spacing w:before="29" w:line="288" w:lineRule="auto"/>
        <w:ind w:firstLineChars="200" w:firstLine="480"/>
        <w:rPr>
          <w:color w:val="000000"/>
          <w:sz w:val="24"/>
        </w:rPr>
      </w:pPr>
      <w:bookmarkStart w:id="78"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2A04D9" w:rsidP="00AC6DDA">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5C672D">
        <w:rPr>
          <w:rFonts w:ascii="Times New Roman" w:hAnsi="Times New Roman"/>
          <w:kern w:val="0"/>
          <w:szCs w:val="24"/>
        </w:rPr>
        <w:t xml:space="preserve">.2 </w:t>
      </w:r>
      <w:r w:rsidR="001548F9" w:rsidRPr="005C672D">
        <w:rPr>
          <w:rFonts w:ascii="Times New Roman" w:hAnsi="Times New Roman"/>
          <w:kern w:val="0"/>
          <w:szCs w:val="24"/>
        </w:rPr>
        <w:t>基金管理人、基金托管人的专门基金托管部门的重大人事变动</w:t>
      </w:r>
      <w:bookmarkEnd w:id="78"/>
    </w:p>
    <w:p w:rsidR="008A5734" w:rsidRDefault="002A04D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79"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2A04D9" w:rsidP="00AC6DDA">
      <w:pPr>
        <w:pStyle w:val="20"/>
        <w:spacing w:before="29" w:after="0" w:line="288" w:lineRule="auto"/>
        <w:rPr>
          <w:rFonts w:ascii="Times New Roman" w:hAnsi="Times New Roman"/>
          <w:kern w:val="0"/>
          <w:szCs w:val="24"/>
        </w:rPr>
      </w:pPr>
      <w:r>
        <w:rPr>
          <w:rFonts w:ascii="Times New Roman" w:hAnsi="Times New Roman"/>
          <w:kern w:val="0"/>
          <w:szCs w:val="24"/>
        </w:rPr>
        <w:lastRenderedPageBreak/>
        <w:t>9</w:t>
      </w:r>
      <w:r w:rsidR="001548F9" w:rsidRPr="005C672D">
        <w:rPr>
          <w:rFonts w:ascii="Times New Roman" w:hAnsi="Times New Roman"/>
          <w:kern w:val="0"/>
          <w:szCs w:val="24"/>
        </w:rPr>
        <w:t xml:space="preserve">.3 </w:t>
      </w:r>
      <w:r w:rsidR="001548F9" w:rsidRPr="005C672D">
        <w:rPr>
          <w:rFonts w:ascii="Times New Roman" w:hAnsi="Times New Roman"/>
          <w:kern w:val="0"/>
          <w:szCs w:val="24"/>
        </w:rPr>
        <w:t>涉及基金管理人、基金财产、基金托管业务的诉讼</w:t>
      </w:r>
      <w:bookmarkEnd w:id="79"/>
    </w:p>
    <w:p w:rsidR="001548F9" w:rsidRPr="005C672D" w:rsidRDefault="001548F9" w:rsidP="00AC6DDA">
      <w:pPr>
        <w:spacing w:before="29" w:line="288" w:lineRule="auto"/>
        <w:ind w:firstLineChars="200" w:firstLine="480"/>
        <w:rPr>
          <w:color w:val="000000"/>
          <w:sz w:val="24"/>
        </w:rPr>
      </w:pPr>
      <w:bookmarkStart w:id="80"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2A04D9" w:rsidP="00AC6DDA">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5C672D">
        <w:rPr>
          <w:rFonts w:ascii="Times New Roman" w:hAnsi="Times New Roman"/>
          <w:kern w:val="0"/>
          <w:szCs w:val="24"/>
        </w:rPr>
        <w:t xml:space="preserve">.4 </w:t>
      </w:r>
      <w:r w:rsidR="001548F9" w:rsidRPr="005C672D">
        <w:rPr>
          <w:rFonts w:ascii="Times New Roman" w:hAnsi="Times New Roman"/>
          <w:kern w:val="0"/>
          <w:szCs w:val="24"/>
        </w:rPr>
        <w:t>基金投资策略的改变</w:t>
      </w:r>
      <w:bookmarkEnd w:id="80"/>
    </w:p>
    <w:p w:rsidR="001548F9" w:rsidRPr="005C672D" w:rsidRDefault="001548F9" w:rsidP="00AC6DDA">
      <w:pPr>
        <w:spacing w:before="29" w:line="288" w:lineRule="auto"/>
        <w:ind w:firstLineChars="200" w:firstLine="480"/>
        <w:rPr>
          <w:color w:val="000000"/>
          <w:sz w:val="24"/>
        </w:rPr>
      </w:pPr>
      <w:bookmarkStart w:id="81"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2A04D9" w:rsidP="00AC6DDA">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5C672D">
        <w:rPr>
          <w:rFonts w:ascii="Times New Roman" w:hAnsi="Times New Roman"/>
          <w:kern w:val="0"/>
          <w:szCs w:val="24"/>
        </w:rPr>
        <w:t>.5</w:t>
      </w:r>
      <w:bookmarkEnd w:id="81"/>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2" w:name="OLE_LINK3"/>
      <w:bookmarkStart w:id="83"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2"/>
    <w:p w:rsidR="001548F9" w:rsidRPr="005C672D" w:rsidRDefault="002A04D9" w:rsidP="00AC6DDA">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5C672D">
        <w:rPr>
          <w:rFonts w:ascii="Times New Roman" w:hAnsi="Times New Roman"/>
          <w:kern w:val="0"/>
          <w:szCs w:val="24"/>
        </w:rPr>
        <w:t>.6</w:t>
      </w:r>
      <w:bookmarkEnd w:id="83"/>
      <w:r w:rsidR="00062814" w:rsidRPr="005C672D">
        <w:rPr>
          <w:rFonts w:ascii="Times New Roman" w:hAnsi="Times New Roman"/>
          <w:szCs w:val="24"/>
        </w:rPr>
        <w:t>管理人、托管人及其高级管理人员受稽查或处罚等情况</w:t>
      </w:r>
    </w:p>
    <w:p w:rsidR="008A5734" w:rsidRDefault="002A04D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A5734" w:rsidRDefault="002A04D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A5734" w:rsidRDefault="002A04D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4"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2A04D9" w:rsidP="00AC6DDA">
      <w:pPr>
        <w:pStyle w:val="20"/>
        <w:spacing w:before="29" w:after="0" w:line="288" w:lineRule="auto"/>
        <w:rPr>
          <w:rFonts w:ascii="Times New Roman" w:hAnsi="Times New Roman"/>
          <w:kern w:val="0"/>
          <w:szCs w:val="24"/>
        </w:rPr>
      </w:pPr>
      <w:r>
        <w:rPr>
          <w:rFonts w:ascii="Times New Roman" w:hAnsi="Times New Roman"/>
          <w:kern w:val="0"/>
          <w:szCs w:val="24"/>
        </w:rPr>
        <w:t>9</w:t>
      </w:r>
      <w:r w:rsidR="001548F9" w:rsidRPr="005C672D">
        <w:rPr>
          <w:rFonts w:ascii="Times New Roman" w:hAnsi="Times New Roman"/>
          <w:kern w:val="0"/>
          <w:szCs w:val="24"/>
        </w:rPr>
        <w:t xml:space="preserve">.7 </w:t>
      </w:r>
      <w:r w:rsidR="001548F9" w:rsidRPr="005C672D">
        <w:rPr>
          <w:rFonts w:ascii="Times New Roman" w:hAnsi="Times New Roman"/>
          <w:kern w:val="0"/>
          <w:szCs w:val="24"/>
        </w:rPr>
        <w:t>基金租用证券公司交易单元的有关情况</w:t>
      </w:r>
      <w:bookmarkEnd w:id="84"/>
    </w:p>
    <w:p w:rsidR="001548F9" w:rsidRPr="005C672D" w:rsidRDefault="002A04D9" w:rsidP="00AC6DDA">
      <w:pPr>
        <w:spacing w:before="29" w:line="288" w:lineRule="auto"/>
        <w:rPr>
          <w:b/>
          <w:sz w:val="24"/>
        </w:rPr>
      </w:pPr>
      <w:bookmarkStart w:id="85" w:name="_Toc249760070"/>
      <w:r>
        <w:rPr>
          <w:b/>
          <w:sz w:val="24"/>
        </w:rPr>
        <w:t>9</w:t>
      </w:r>
      <w:r w:rsidR="001548F9" w:rsidRPr="005C672D">
        <w:rPr>
          <w:b/>
          <w:sz w:val="24"/>
        </w:rPr>
        <w:t xml:space="preserve">.7.1 </w:t>
      </w:r>
      <w:r w:rsidR="001548F9" w:rsidRPr="005C672D">
        <w:rPr>
          <w:b/>
          <w:sz w:val="24"/>
        </w:rPr>
        <w:t>基金租用证券公司交易单元进行股票投资及佣金支付情况</w:t>
      </w:r>
      <w:bookmarkEnd w:id="85"/>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6"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A5734">
        <w:tc>
          <w:tcPr>
            <w:tcW w:w="1559" w:type="dxa"/>
            <w:vAlign w:val="center"/>
          </w:tcPr>
          <w:p w:rsidR="008A5734" w:rsidRDefault="002A04D9">
            <w:pPr>
              <w:jc w:val="center"/>
            </w:pPr>
            <w:r>
              <w:rPr>
                <w:color w:val="000000"/>
                <w:sz w:val="24"/>
              </w:rPr>
              <w:t>安信证券股份有限公司</w:t>
            </w:r>
          </w:p>
        </w:tc>
        <w:tc>
          <w:tcPr>
            <w:tcW w:w="779" w:type="dxa"/>
            <w:vAlign w:val="center"/>
          </w:tcPr>
          <w:p w:rsidR="008A5734" w:rsidRDefault="002A04D9">
            <w:pPr>
              <w:jc w:val="center"/>
            </w:pPr>
            <w:r>
              <w:rPr>
                <w:color w:val="000000"/>
                <w:sz w:val="24"/>
              </w:rPr>
              <w:t>2</w:t>
            </w:r>
          </w:p>
        </w:tc>
        <w:tc>
          <w:tcPr>
            <w:tcW w:w="1800" w:type="dxa"/>
            <w:vAlign w:val="center"/>
          </w:tcPr>
          <w:p w:rsidR="008A5734" w:rsidRDefault="002A04D9">
            <w:pPr>
              <w:jc w:val="right"/>
            </w:pPr>
            <w:r>
              <w:rPr>
                <w:color w:val="000000"/>
                <w:sz w:val="24"/>
              </w:rPr>
              <w:t>-</w:t>
            </w:r>
          </w:p>
        </w:tc>
        <w:tc>
          <w:tcPr>
            <w:tcW w:w="1080" w:type="dxa"/>
            <w:vAlign w:val="center"/>
          </w:tcPr>
          <w:p w:rsidR="008A5734" w:rsidRDefault="002A04D9">
            <w:pPr>
              <w:jc w:val="right"/>
            </w:pPr>
            <w:r>
              <w:rPr>
                <w:color w:val="000000"/>
                <w:sz w:val="24"/>
              </w:rPr>
              <w:t>-</w:t>
            </w:r>
          </w:p>
        </w:tc>
        <w:tc>
          <w:tcPr>
            <w:tcW w:w="1620" w:type="dxa"/>
            <w:vAlign w:val="center"/>
          </w:tcPr>
          <w:p w:rsidR="008A5734" w:rsidRDefault="002A04D9">
            <w:pPr>
              <w:jc w:val="right"/>
            </w:pPr>
            <w:r>
              <w:rPr>
                <w:color w:val="000000"/>
                <w:sz w:val="24"/>
              </w:rPr>
              <w:t>-</w:t>
            </w:r>
          </w:p>
        </w:tc>
        <w:tc>
          <w:tcPr>
            <w:tcW w:w="1080" w:type="dxa"/>
            <w:vAlign w:val="center"/>
          </w:tcPr>
          <w:p w:rsidR="008A5734" w:rsidRDefault="002A04D9">
            <w:pPr>
              <w:jc w:val="right"/>
            </w:pPr>
            <w:r>
              <w:rPr>
                <w:color w:val="000000"/>
                <w:sz w:val="24"/>
              </w:rPr>
              <w:t>-</w:t>
            </w:r>
          </w:p>
        </w:tc>
        <w:tc>
          <w:tcPr>
            <w:tcW w:w="1080" w:type="dxa"/>
            <w:vAlign w:val="center"/>
          </w:tcPr>
          <w:p w:rsidR="008A5734" w:rsidRDefault="002A04D9">
            <w:pPr>
              <w:jc w:val="left"/>
            </w:pPr>
            <w:r>
              <w:rPr>
                <w:color w:val="000000"/>
                <w:sz w:val="24"/>
              </w:rPr>
              <w:t>-</w:t>
            </w:r>
          </w:p>
        </w:tc>
      </w:tr>
      <w:tr w:rsidR="008A5734">
        <w:tc>
          <w:tcPr>
            <w:tcW w:w="1559" w:type="dxa"/>
            <w:vAlign w:val="center"/>
          </w:tcPr>
          <w:p w:rsidR="008A5734" w:rsidRDefault="002A04D9">
            <w:pPr>
              <w:jc w:val="center"/>
            </w:pPr>
            <w:r>
              <w:rPr>
                <w:color w:val="000000"/>
                <w:sz w:val="24"/>
              </w:rPr>
              <w:t>国金证券股份有限公司</w:t>
            </w:r>
          </w:p>
        </w:tc>
        <w:tc>
          <w:tcPr>
            <w:tcW w:w="779" w:type="dxa"/>
            <w:vAlign w:val="center"/>
          </w:tcPr>
          <w:p w:rsidR="008A5734" w:rsidRDefault="002A04D9">
            <w:pPr>
              <w:jc w:val="center"/>
            </w:pPr>
            <w:r>
              <w:rPr>
                <w:color w:val="000000"/>
                <w:sz w:val="24"/>
              </w:rPr>
              <w:t>2</w:t>
            </w:r>
          </w:p>
        </w:tc>
        <w:tc>
          <w:tcPr>
            <w:tcW w:w="1800" w:type="dxa"/>
            <w:vAlign w:val="center"/>
          </w:tcPr>
          <w:p w:rsidR="008A5734" w:rsidRDefault="002A04D9">
            <w:pPr>
              <w:jc w:val="right"/>
            </w:pPr>
            <w:r>
              <w:rPr>
                <w:color w:val="000000"/>
                <w:sz w:val="24"/>
              </w:rPr>
              <w:t>-</w:t>
            </w:r>
          </w:p>
        </w:tc>
        <w:tc>
          <w:tcPr>
            <w:tcW w:w="1080" w:type="dxa"/>
            <w:vAlign w:val="center"/>
          </w:tcPr>
          <w:p w:rsidR="008A5734" w:rsidRDefault="002A04D9">
            <w:pPr>
              <w:jc w:val="right"/>
            </w:pPr>
            <w:r>
              <w:rPr>
                <w:color w:val="000000"/>
                <w:sz w:val="24"/>
              </w:rPr>
              <w:t>-</w:t>
            </w:r>
          </w:p>
        </w:tc>
        <w:tc>
          <w:tcPr>
            <w:tcW w:w="1620" w:type="dxa"/>
            <w:vAlign w:val="center"/>
          </w:tcPr>
          <w:p w:rsidR="008A5734" w:rsidRDefault="002A04D9">
            <w:pPr>
              <w:jc w:val="right"/>
            </w:pPr>
            <w:r>
              <w:rPr>
                <w:color w:val="000000"/>
                <w:sz w:val="24"/>
              </w:rPr>
              <w:t>-</w:t>
            </w:r>
          </w:p>
        </w:tc>
        <w:tc>
          <w:tcPr>
            <w:tcW w:w="1080" w:type="dxa"/>
            <w:vAlign w:val="center"/>
          </w:tcPr>
          <w:p w:rsidR="008A5734" w:rsidRDefault="002A04D9">
            <w:pPr>
              <w:jc w:val="right"/>
            </w:pPr>
            <w:r>
              <w:rPr>
                <w:color w:val="000000"/>
                <w:sz w:val="24"/>
              </w:rPr>
              <w:t>-</w:t>
            </w:r>
          </w:p>
        </w:tc>
        <w:tc>
          <w:tcPr>
            <w:tcW w:w="1080" w:type="dxa"/>
            <w:vAlign w:val="center"/>
          </w:tcPr>
          <w:p w:rsidR="008A5734" w:rsidRDefault="002A04D9">
            <w:pPr>
              <w:jc w:val="left"/>
            </w:pPr>
            <w:r>
              <w:rPr>
                <w:color w:val="000000"/>
                <w:sz w:val="24"/>
              </w:rPr>
              <w:t>-</w:t>
            </w:r>
          </w:p>
        </w:tc>
      </w:tr>
      <w:tr w:rsidR="008A5734">
        <w:tc>
          <w:tcPr>
            <w:tcW w:w="1559" w:type="dxa"/>
            <w:vAlign w:val="center"/>
          </w:tcPr>
          <w:p w:rsidR="008A5734" w:rsidRDefault="002A04D9">
            <w:pPr>
              <w:jc w:val="center"/>
            </w:pPr>
            <w:r>
              <w:rPr>
                <w:color w:val="000000"/>
                <w:sz w:val="24"/>
              </w:rPr>
              <w:t>中泰证券股份有限公司</w:t>
            </w:r>
          </w:p>
        </w:tc>
        <w:tc>
          <w:tcPr>
            <w:tcW w:w="779" w:type="dxa"/>
            <w:vAlign w:val="center"/>
          </w:tcPr>
          <w:p w:rsidR="008A5734" w:rsidRDefault="002A04D9">
            <w:pPr>
              <w:jc w:val="center"/>
            </w:pPr>
            <w:r>
              <w:rPr>
                <w:color w:val="000000"/>
                <w:sz w:val="24"/>
              </w:rPr>
              <w:t>2</w:t>
            </w:r>
          </w:p>
        </w:tc>
        <w:tc>
          <w:tcPr>
            <w:tcW w:w="1800" w:type="dxa"/>
            <w:vAlign w:val="center"/>
          </w:tcPr>
          <w:p w:rsidR="008A5734" w:rsidRDefault="002A04D9">
            <w:pPr>
              <w:jc w:val="right"/>
            </w:pPr>
            <w:r>
              <w:rPr>
                <w:color w:val="000000"/>
                <w:sz w:val="24"/>
              </w:rPr>
              <w:t>-</w:t>
            </w:r>
          </w:p>
        </w:tc>
        <w:tc>
          <w:tcPr>
            <w:tcW w:w="1080" w:type="dxa"/>
            <w:vAlign w:val="center"/>
          </w:tcPr>
          <w:p w:rsidR="008A5734" w:rsidRDefault="002A04D9">
            <w:pPr>
              <w:jc w:val="right"/>
            </w:pPr>
            <w:r>
              <w:rPr>
                <w:color w:val="000000"/>
                <w:sz w:val="24"/>
              </w:rPr>
              <w:t>-</w:t>
            </w:r>
          </w:p>
        </w:tc>
        <w:tc>
          <w:tcPr>
            <w:tcW w:w="1620" w:type="dxa"/>
            <w:vAlign w:val="center"/>
          </w:tcPr>
          <w:p w:rsidR="008A5734" w:rsidRDefault="002A04D9">
            <w:pPr>
              <w:jc w:val="right"/>
            </w:pPr>
            <w:r>
              <w:rPr>
                <w:color w:val="000000"/>
                <w:sz w:val="24"/>
              </w:rPr>
              <w:t>-</w:t>
            </w:r>
          </w:p>
        </w:tc>
        <w:tc>
          <w:tcPr>
            <w:tcW w:w="1080" w:type="dxa"/>
            <w:vAlign w:val="center"/>
          </w:tcPr>
          <w:p w:rsidR="008A5734" w:rsidRDefault="002A04D9">
            <w:pPr>
              <w:jc w:val="right"/>
            </w:pPr>
            <w:r>
              <w:rPr>
                <w:color w:val="000000"/>
                <w:sz w:val="24"/>
              </w:rPr>
              <w:t>-</w:t>
            </w:r>
          </w:p>
        </w:tc>
        <w:tc>
          <w:tcPr>
            <w:tcW w:w="1080" w:type="dxa"/>
            <w:vAlign w:val="center"/>
          </w:tcPr>
          <w:p w:rsidR="008A5734" w:rsidRDefault="002A04D9">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2A04D9" w:rsidP="00AC6DDA">
      <w:pPr>
        <w:spacing w:before="29" w:line="288" w:lineRule="auto"/>
        <w:rPr>
          <w:b/>
          <w:sz w:val="24"/>
        </w:rPr>
      </w:pPr>
      <w:r>
        <w:rPr>
          <w:b/>
          <w:sz w:val="24"/>
        </w:rPr>
        <w:t>9</w:t>
      </w:r>
      <w:r w:rsidR="001548F9" w:rsidRPr="005C672D">
        <w:rPr>
          <w:b/>
          <w:sz w:val="24"/>
        </w:rPr>
        <w:t xml:space="preserve">.7.2 </w:t>
      </w:r>
      <w:r w:rsidR="001548F9" w:rsidRPr="005C672D">
        <w:rPr>
          <w:b/>
          <w:sz w:val="24"/>
        </w:rPr>
        <w:t>基金租用证券公司交易单元进行其他证券投资的情况</w:t>
      </w:r>
      <w:bookmarkEnd w:id="86"/>
    </w:p>
    <w:p w:rsidR="001548F9" w:rsidRPr="005C672D" w:rsidRDefault="001548F9" w:rsidP="00AC6DDA">
      <w:pPr>
        <w:spacing w:before="29" w:line="288" w:lineRule="auto"/>
        <w:ind w:firstLine="420"/>
        <w:jc w:val="right"/>
        <w:rPr>
          <w:color w:val="000000"/>
          <w:sz w:val="24"/>
        </w:rPr>
      </w:pPr>
      <w:bookmarkStart w:id="87"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88" w:name="_Toc331410125"/>
            <w:r w:rsidRPr="005C672D">
              <w:rPr>
                <w:color w:val="000000"/>
                <w:sz w:val="24"/>
              </w:rPr>
              <w:lastRenderedPageBreak/>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8A5734">
        <w:tc>
          <w:tcPr>
            <w:tcW w:w="1559" w:type="dxa"/>
            <w:vAlign w:val="center"/>
          </w:tcPr>
          <w:p w:rsidR="008A5734" w:rsidRDefault="002A04D9">
            <w:pPr>
              <w:jc w:val="left"/>
            </w:pPr>
            <w:r>
              <w:rPr>
                <w:color w:val="000000"/>
                <w:sz w:val="24"/>
              </w:rPr>
              <w:t>安信证券股份有限公司</w:t>
            </w:r>
          </w:p>
        </w:tc>
        <w:tc>
          <w:tcPr>
            <w:tcW w:w="1319" w:type="dxa"/>
            <w:vAlign w:val="center"/>
          </w:tcPr>
          <w:p w:rsidR="008A5734" w:rsidRDefault="002A04D9">
            <w:pPr>
              <w:jc w:val="right"/>
            </w:pPr>
            <w:r>
              <w:rPr>
                <w:color w:val="000000"/>
                <w:sz w:val="24"/>
              </w:rPr>
              <w:t>196,578,263.79</w:t>
            </w:r>
          </w:p>
        </w:tc>
        <w:tc>
          <w:tcPr>
            <w:tcW w:w="1080" w:type="dxa"/>
            <w:vAlign w:val="center"/>
          </w:tcPr>
          <w:p w:rsidR="008A5734" w:rsidRDefault="002A04D9">
            <w:pPr>
              <w:jc w:val="right"/>
            </w:pPr>
            <w:r>
              <w:rPr>
                <w:color w:val="000000"/>
                <w:sz w:val="24"/>
              </w:rPr>
              <w:t>100.00%</w:t>
            </w:r>
          </w:p>
        </w:tc>
        <w:tc>
          <w:tcPr>
            <w:tcW w:w="1143" w:type="dxa"/>
            <w:vAlign w:val="center"/>
          </w:tcPr>
          <w:p w:rsidR="008A5734" w:rsidRDefault="002A04D9">
            <w:pPr>
              <w:jc w:val="right"/>
            </w:pPr>
            <w:r>
              <w:rPr>
                <w:color w:val="000000"/>
                <w:sz w:val="24"/>
              </w:rPr>
              <w:t>9,823,000,000.00</w:t>
            </w:r>
          </w:p>
        </w:tc>
        <w:tc>
          <w:tcPr>
            <w:tcW w:w="1197" w:type="dxa"/>
            <w:vAlign w:val="center"/>
          </w:tcPr>
          <w:p w:rsidR="008A5734" w:rsidRDefault="002A04D9">
            <w:pPr>
              <w:jc w:val="right"/>
            </w:pPr>
            <w:r>
              <w:rPr>
                <w:color w:val="000000"/>
                <w:sz w:val="24"/>
              </w:rPr>
              <w:t>100.00%</w:t>
            </w:r>
          </w:p>
        </w:tc>
        <w:tc>
          <w:tcPr>
            <w:tcW w:w="1497" w:type="dxa"/>
            <w:vAlign w:val="center"/>
          </w:tcPr>
          <w:p w:rsidR="008A5734" w:rsidRDefault="002A04D9">
            <w:pPr>
              <w:jc w:val="right"/>
            </w:pPr>
            <w:r>
              <w:rPr>
                <w:color w:val="000000"/>
                <w:sz w:val="24"/>
              </w:rPr>
              <w:t>-</w:t>
            </w:r>
          </w:p>
        </w:tc>
        <w:tc>
          <w:tcPr>
            <w:tcW w:w="1203" w:type="dxa"/>
            <w:vAlign w:val="center"/>
          </w:tcPr>
          <w:p w:rsidR="008A5734" w:rsidRDefault="002A04D9">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8A5734" w:rsidRDefault="002A04D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、报告期内，本基金新增加交易单元为中泰证券股份有限公司和国金证券股份有限公司，其它交易单元未发生变化；</w:t>
      </w:r>
    </w:p>
    <w:p w:rsidR="008A5734" w:rsidRDefault="002A04D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bookmarkEnd w:id="88"/>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CC" w:rsidRDefault="00FF2FCC">
      <w:r>
        <w:separator/>
      </w:r>
    </w:p>
  </w:endnote>
  <w:endnote w:type="continuationSeparator" w:id="0">
    <w:p w:rsidR="00FF2FCC" w:rsidRDefault="00FF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D83360">
      <w:rPr>
        <w:noProof/>
        <w:kern w:val="0"/>
        <w:szCs w:val="21"/>
      </w:rPr>
      <w:t>21</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D83360">
      <w:rPr>
        <w:noProof/>
        <w:kern w:val="0"/>
        <w:szCs w:val="21"/>
      </w:rPr>
      <w:t>26</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CC" w:rsidRDefault="00FF2FCC">
      <w:r>
        <w:separator/>
      </w:r>
    </w:p>
  </w:footnote>
  <w:footnote w:type="continuationSeparator" w:id="0">
    <w:p w:rsidR="00FF2FCC" w:rsidRDefault="00FF2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交银施罗德丰盈收益债券型证券投资基金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7B7"/>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4D9"/>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9FC"/>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3CA6"/>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734"/>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B6B"/>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14B"/>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360"/>
    <w:rsid w:val="00D83774"/>
    <w:rsid w:val="00D84A4B"/>
    <w:rsid w:val="00D85D45"/>
    <w:rsid w:val="00D86597"/>
    <w:rsid w:val="00D86EB3"/>
    <w:rsid w:val="00D90A81"/>
    <w:rsid w:val="00D90B7D"/>
    <w:rsid w:val="00D90DCE"/>
    <w:rsid w:val="00D912A2"/>
    <w:rsid w:val="00D91C4A"/>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414"/>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2FCC"/>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6A35624-110E-4570-8973-B2546487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C580-B6F9-4FCC-8B3C-A7B6BF50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26</Pages>
  <Words>2732</Words>
  <Characters>15579</Characters>
  <Application>Microsoft Office Word</Application>
  <DocSecurity>0</DocSecurity>
  <Lines>129</Lines>
  <Paragraphs>36</Paragraphs>
  <ScaleCrop>false</ScaleCrop>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1255</cp:revision>
  <cp:lastPrinted>2007-07-19T00:46:00Z</cp:lastPrinted>
  <dcterms:created xsi:type="dcterms:W3CDTF">2013-08-19T07:44:00Z</dcterms:created>
  <dcterms:modified xsi:type="dcterms:W3CDTF">2017-08-25T07:21:00Z</dcterms:modified>
</cp:coreProperties>
</file>