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bookmarkStart w:id="0" w:name="_GoBack"/>
      <w:bookmarkEnd w:id="0"/>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123880">
        <w:rPr>
          <w:b/>
          <w:sz w:val="36"/>
          <w:szCs w:val="36"/>
        </w:rPr>
        <w:t>交银施罗德全球自然资源证券投资基金</w:t>
      </w:r>
      <w:bookmarkEnd w:id="1"/>
      <w:bookmarkEnd w:id="2"/>
      <w:bookmarkEnd w:id="3"/>
      <w:bookmarkEnd w:id="4"/>
      <w:bookmarkEnd w:id="5"/>
    </w:p>
    <w:p w:rsidR="008A5A5D" w:rsidRPr="00123880" w:rsidRDefault="008A5A5D" w:rsidP="002F2307">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123880">
        <w:rPr>
          <w:b/>
          <w:sz w:val="36"/>
          <w:szCs w:val="36"/>
        </w:rPr>
        <w:t>2017</w:t>
      </w:r>
      <w:r w:rsidRPr="00123880">
        <w:rPr>
          <w:b/>
          <w:sz w:val="36"/>
          <w:szCs w:val="36"/>
        </w:rPr>
        <w:t>年半年度报告</w:t>
      </w:r>
      <w:bookmarkEnd w:id="6"/>
      <w:bookmarkEnd w:id="7"/>
      <w:bookmarkEnd w:id="8"/>
      <w:bookmarkEnd w:id="9"/>
      <w:bookmarkEnd w:id="10"/>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2017</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报告送出日期：二〇一七年八月二十六日</w:t>
      </w:r>
    </w:p>
    <w:p w:rsidR="008A5A5D" w:rsidRPr="00123880" w:rsidRDefault="008A5A5D" w:rsidP="002F2307">
      <w:pPr>
        <w:widowControl/>
        <w:spacing w:before="29" w:line="288" w:lineRule="auto"/>
        <w:jc w:val="left"/>
        <w:rPr>
          <w:color w:val="000000"/>
          <w:sz w:val="24"/>
        </w:rPr>
        <w:sectPr w:rsidR="008A5A5D" w:rsidRPr="00123880">
          <w:headerReference w:type="default" r:id="rId8"/>
          <w:pgSz w:w="11926" w:h="15840"/>
          <w:pgMar w:top="1418" w:right="1418" w:bottom="851" w:left="1418" w:header="851" w:footer="992" w:gutter="0"/>
          <w:cols w:space="720"/>
        </w:sect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r w:rsidRPr="00123880">
        <w:rPr>
          <w:b/>
          <w:bCs/>
          <w:szCs w:val="24"/>
          <w:lang w:val="en-US"/>
        </w:rPr>
        <w:lastRenderedPageBreak/>
        <w:t xml:space="preserve">1  </w:t>
      </w:r>
      <w:r w:rsidRPr="00123880">
        <w:rPr>
          <w:b/>
          <w:bCs/>
          <w:szCs w:val="24"/>
          <w:lang w:val="en-US"/>
        </w:rPr>
        <w:t>重要提示</w:t>
      </w:r>
      <w:bookmarkEnd w:id="11"/>
      <w:bookmarkEnd w:id="12"/>
      <w:bookmarkEnd w:id="13"/>
      <w:bookmarkEnd w:id="14"/>
    </w:p>
    <w:p w:rsidR="008A5A5D" w:rsidRPr="00123880" w:rsidRDefault="008A5A5D" w:rsidP="002F2307">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5"/>
      <w:bookmarkEnd w:id="16"/>
      <w:bookmarkEnd w:id="17"/>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2017</w:t>
      </w:r>
      <w:r w:rsidRPr="00123880">
        <w:rPr>
          <w:color w:val="000000"/>
          <w:sz w:val="24"/>
        </w:rPr>
        <w:t>年</w:t>
      </w:r>
      <w:r w:rsidRPr="00123880">
        <w:rPr>
          <w:color w:val="000000"/>
          <w:sz w:val="24"/>
        </w:rPr>
        <w:t>8</w:t>
      </w:r>
      <w:r w:rsidRPr="00123880">
        <w:rPr>
          <w:color w:val="000000"/>
          <w:sz w:val="24"/>
        </w:rPr>
        <w:t>月</w:t>
      </w:r>
      <w:r w:rsidRPr="00123880">
        <w:rPr>
          <w:color w:val="000000"/>
          <w:sz w:val="24"/>
        </w:rPr>
        <w:t>25</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D5E64">
      <w:pPr>
        <w:pStyle w:val="1"/>
        <w:keepNext/>
        <w:keepLines/>
        <w:widowControl w:val="0"/>
        <w:spacing w:beforeLines="100" w:before="312" w:afterLines="100" w:after="312" w:line="288" w:lineRule="auto"/>
        <w:jc w:val="center"/>
        <w:rPr>
          <w:szCs w:val="24"/>
          <w:lang w:val="en-US"/>
        </w:rPr>
      </w:pPr>
      <w:bookmarkStart w:id="18" w:name="_Toc225498244"/>
      <w:bookmarkStart w:id="19" w:name="_Toc352255960"/>
      <w:bookmarkStart w:id="20" w:name="_Toc352256028"/>
      <w:bookmarkStart w:id="21" w:name="_Toc352331206"/>
      <w:r w:rsidRPr="00123880">
        <w:rPr>
          <w:b/>
          <w:bCs/>
          <w:szCs w:val="24"/>
          <w:lang w:val="en-US"/>
        </w:rPr>
        <w:lastRenderedPageBreak/>
        <w:t xml:space="preserve">2  </w:t>
      </w:r>
      <w:r w:rsidRPr="00123880">
        <w:rPr>
          <w:b/>
          <w:bCs/>
          <w:szCs w:val="24"/>
          <w:lang w:val="en-US"/>
        </w:rPr>
        <w:t>基金简介</w:t>
      </w:r>
      <w:bookmarkEnd w:id="18"/>
      <w:bookmarkEnd w:id="19"/>
      <w:bookmarkEnd w:id="20"/>
      <w:bookmarkEnd w:id="21"/>
    </w:p>
    <w:p w:rsidR="008A5A5D" w:rsidRPr="00123880" w:rsidRDefault="008A5A5D" w:rsidP="002F2307">
      <w:pPr>
        <w:pStyle w:val="20"/>
        <w:spacing w:before="29" w:after="0" w:line="288" w:lineRule="auto"/>
        <w:rPr>
          <w:rFonts w:ascii="Times New Roman" w:hAnsi="Times New Roman"/>
          <w:color w:val="000000"/>
          <w:szCs w:val="24"/>
        </w:rPr>
      </w:pPr>
      <w:bookmarkStart w:id="22" w:name="_Toc352255961"/>
      <w:bookmarkStart w:id="23" w:name="_Toc352256029"/>
      <w:bookmarkStart w:id="24"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2"/>
      <w:bookmarkEnd w:id="23"/>
      <w:bookmarkEnd w:id="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交银全球资源混合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2012</w:t>
            </w:r>
            <w:r w:rsidRPr="00123880">
              <w:rPr>
                <w:sz w:val="24"/>
              </w:rPr>
              <w:t>年</w:t>
            </w:r>
            <w:r w:rsidRPr="00123880">
              <w:rPr>
                <w:sz w:val="24"/>
              </w:rPr>
              <w:t>5</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31,806,651.57</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5" w:name="_Toc352255962"/>
      <w:bookmarkStart w:id="26" w:name="_Toc352256030"/>
      <w:bookmarkStart w:id="27"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在全球范围内精选自然资源相关行业的上市公司，通过积极主动的资产配置和组合管理，在有效控制组合下行风险的前提下力争实现资本的长期保值增值。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MSCI</w:t>
            </w:r>
            <w:r w:rsidRPr="00123880">
              <w:rPr>
                <w:sz w:val="24"/>
              </w:rPr>
              <w:t>全球原材料总收益指数收益率</w:t>
            </w:r>
            <w:r w:rsidRPr="00123880">
              <w:rPr>
                <w:sz w:val="24"/>
              </w:rPr>
              <w:t>×65%</w:t>
            </w:r>
            <w:r w:rsidRPr="00123880">
              <w:rPr>
                <w:sz w:val="24"/>
              </w:rPr>
              <w:t>＋</w:t>
            </w:r>
            <w:r w:rsidRPr="00123880">
              <w:rPr>
                <w:sz w:val="24"/>
              </w:rPr>
              <w:t>MSCI</w:t>
            </w:r>
            <w:r w:rsidRPr="00123880">
              <w:rPr>
                <w:sz w:val="24"/>
              </w:rPr>
              <w:t>全球能源总收益指数收益率</w:t>
            </w:r>
            <w:r w:rsidRPr="00123880">
              <w:rPr>
                <w:sz w:val="24"/>
              </w:rPr>
              <w:t>×35%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8" w:name="_Toc225498247"/>
      <w:bookmarkStart w:id="29" w:name="_Toc352255963"/>
      <w:bookmarkStart w:id="30" w:name="_Toc352256031"/>
      <w:bookmarkStart w:id="31" w:name="_Toc352331209"/>
      <w:r w:rsidRPr="00123880">
        <w:rPr>
          <w:rFonts w:ascii="Times New Roman" w:hAnsi="Times New Roman"/>
          <w:kern w:val="0"/>
          <w:szCs w:val="24"/>
        </w:rPr>
        <w:lastRenderedPageBreak/>
        <w:t xml:space="preserve">2.3 </w:t>
      </w:r>
      <w:r w:rsidRPr="00123880">
        <w:rPr>
          <w:rFonts w:ascii="Times New Roman" w:hAnsi="Times New Roman"/>
          <w:kern w:val="0"/>
          <w:szCs w:val="24"/>
        </w:rPr>
        <w:t>基金管理人和基金托管人</w:t>
      </w:r>
      <w:bookmarkEnd w:id="28"/>
      <w:bookmarkEnd w:id="29"/>
      <w:bookmarkEnd w:id="30"/>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孙艳</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2" w:name="_Toc224618346"/>
      <w:bookmarkStart w:id="33" w:name="_Toc235605676"/>
      <w:bookmarkStart w:id="34" w:name="_Toc286929724"/>
      <w:bookmarkStart w:id="35" w:name="_Toc352255964"/>
      <w:bookmarkStart w:id="36" w:name="_Toc352256032"/>
      <w:bookmarkStart w:id="37"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2"/>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600"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600" w:type="dxa"/>
            <w:vAlign w:val="center"/>
          </w:tcPr>
          <w:p w:rsidR="008A5A5D" w:rsidRPr="00123880" w:rsidRDefault="008A5A5D" w:rsidP="002F2307">
            <w:pPr>
              <w:spacing w:before="29" w:line="288" w:lineRule="auto"/>
              <w:rPr>
                <w:sz w:val="24"/>
              </w:rPr>
            </w:pPr>
            <w:r w:rsidRPr="00123880">
              <w:rPr>
                <w:sz w:val="24"/>
              </w:rPr>
              <w:t>摩根大通银行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英国伦敦</w:t>
            </w:r>
          </w:p>
        </w:tc>
        <w:tc>
          <w:tcPr>
            <w:tcW w:w="3600" w:type="dxa"/>
            <w:vAlign w:val="center"/>
          </w:tcPr>
          <w:p w:rsidR="008A5A5D" w:rsidRPr="00123880" w:rsidRDefault="008A5A5D" w:rsidP="002F2307">
            <w:pPr>
              <w:spacing w:before="29" w:line="288" w:lineRule="auto"/>
              <w:rPr>
                <w:sz w:val="24"/>
              </w:rPr>
            </w:pPr>
            <w:r w:rsidRPr="00123880">
              <w:rPr>
                <w:sz w:val="24"/>
              </w:rPr>
              <w:t>1111 Polaris Parkway, Columbus, OH43240, U.S.A.</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31 Gresham Street London</w:t>
            </w:r>
          </w:p>
        </w:tc>
        <w:tc>
          <w:tcPr>
            <w:tcW w:w="3600" w:type="dxa"/>
            <w:vAlign w:val="center"/>
          </w:tcPr>
          <w:p w:rsidR="008A5A5D" w:rsidRPr="00123880" w:rsidRDefault="008A5A5D" w:rsidP="002F2307">
            <w:pPr>
              <w:spacing w:before="29" w:line="288" w:lineRule="auto"/>
              <w:rPr>
                <w:sz w:val="24"/>
              </w:rPr>
            </w:pPr>
            <w:r w:rsidRPr="00123880">
              <w:rPr>
                <w:sz w:val="24"/>
              </w:rPr>
              <w:t>270 Park Avenue, New York, New York 10017</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EC2V 7QA</w:t>
            </w:r>
          </w:p>
        </w:tc>
        <w:tc>
          <w:tcPr>
            <w:tcW w:w="3600" w:type="dxa"/>
            <w:vAlign w:val="center"/>
          </w:tcPr>
          <w:p w:rsidR="008A5A5D" w:rsidRPr="00123880" w:rsidRDefault="008A5A5D" w:rsidP="002F2307">
            <w:pPr>
              <w:spacing w:before="29" w:line="288" w:lineRule="auto"/>
              <w:rPr>
                <w:sz w:val="24"/>
              </w:rPr>
            </w:pPr>
            <w:r w:rsidRPr="00123880">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8" w:name="_Toc225498248"/>
      <w:bookmarkStart w:id="39" w:name="_Toc352255965"/>
      <w:bookmarkStart w:id="40" w:name="_Toc352256033"/>
      <w:bookmarkStart w:id="41"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8"/>
      <w:bookmarkEnd w:id="39"/>
      <w:bookmarkEnd w:id="40"/>
      <w:bookmarkEnd w:id="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383F57">
            <w:pPr>
              <w:tabs>
                <w:tab w:val="left" w:pos="1740"/>
              </w:tabs>
              <w:spacing w:before="29" w:line="288" w:lineRule="auto"/>
              <w:jc w:val="left"/>
              <w:rPr>
                <w:color w:val="000000"/>
                <w:sz w:val="24"/>
              </w:rPr>
            </w:pPr>
            <w:r w:rsidRPr="00123880">
              <w:rPr>
                <w:color w:val="000000"/>
                <w:sz w:val="24"/>
              </w:rPr>
              <w:t>www.fund001.com</w:t>
            </w:r>
            <w:r w:rsidRPr="00123880">
              <w:rPr>
                <w:color w:val="000000"/>
                <w:sz w:val="24"/>
              </w:rPr>
              <w:t>，</w:t>
            </w:r>
            <w:r w:rsidRPr="00123880">
              <w:rPr>
                <w:color w:val="000000"/>
                <w:sz w:val="24"/>
              </w:rPr>
              <w:t>www.bocomschroder.com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42" w:name="_Toc352255967"/>
      <w:bookmarkStart w:id="43" w:name="_Toc352256035"/>
      <w:bookmarkStart w:id="44"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2"/>
      <w:bookmarkEnd w:id="43"/>
      <w:bookmarkEnd w:id="44"/>
    </w:p>
    <w:p w:rsidR="008A5A5D" w:rsidRPr="00123880" w:rsidRDefault="008A5A5D" w:rsidP="002F2307">
      <w:pPr>
        <w:pStyle w:val="20"/>
        <w:spacing w:before="29" w:after="0" w:line="288" w:lineRule="auto"/>
        <w:rPr>
          <w:rFonts w:ascii="Times New Roman" w:hAnsi="Times New Roman"/>
          <w:kern w:val="0"/>
          <w:szCs w:val="24"/>
        </w:rPr>
      </w:pPr>
      <w:bookmarkStart w:id="45" w:name="_Toc286996129"/>
      <w:bookmarkStart w:id="46" w:name="_Toc352255968"/>
      <w:bookmarkStart w:id="47" w:name="_Toc352256036"/>
      <w:bookmarkStart w:id="48"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5"/>
      <w:bookmarkEnd w:id="46"/>
      <w:bookmarkEnd w:id="47"/>
      <w:bookmarkEnd w:id="4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2017</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2,112,069.20</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5,277,547.48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0.1338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12.88%</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(2017</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-0.335</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44,062,130.15</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1.385</w:t>
            </w:r>
          </w:p>
        </w:tc>
      </w:tr>
    </w:tbl>
    <w:p w:rsidR="009E20D1" w:rsidRDefault="009B6B6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9" w:name="_Toc225498252"/>
      <w:bookmarkStart w:id="50" w:name="_Toc352255969"/>
      <w:bookmarkStart w:id="51" w:name="_Toc352256037"/>
      <w:bookmarkStart w:id="52"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9"/>
      <w:bookmarkEnd w:id="50"/>
      <w:bookmarkEnd w:id="51"/>
      <w:bookmarkEnd w:id="52"/>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1198"/>
        <w:gridCol w:w="1157"/>
        <w:gridCol w:w="1226"/>
        <w:gridCol w:w="1158"/>
        <w:gridCol w:w="1199"/>
        <w:gridCol w:w="1185"/>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9E20D1">
        <w:tc>
          <w:tcPr>
            <w:tcW w:w="0" w:type="auto"/>
            <w:vAlign w:val="center"/>
          </w:tcPr>
          <w:p w:rsidR="009E20D1" w:rsidRDefault="009B6B60">
            <w:pPr>
              <w:jc w:val="left"/>
            </w:pPr>
            <w:r>
              <w:rPr>
                <w:color w:val="000000"/>
                <w:sz w:val="24"/>
              </w:rPr>
              <w:t>过去一个月</w:t>
            </w:r>
          </w:p>
        </w:tc>
        <w:tc>
          <w:tcPr>
            <w:tcW w:w="0" w:type="auto"/>
            <w:vAlign w:val="center"/>
          </w:tcPr>
          <w:p w:rsidR="009E20D1" w:rsidRDefault="009B6B60">
            <w:pPr>
              <w:jc w:val="center"/>
            </w:pPr>
            <w:r>
              <w:rPr>
                <w:color w:val="000000"/>
                <w:sz w:val="24"/>
              </w:rPr>
              <w:t>1.84%</w:t>
            </w:r>
          </w:p>
        </w:tc>
        <w:tc>
          <w:tcPr>
            <w:tcW w:w="0" w:type="auto"/>
            <w:vAlign w:val="center"/>
          </w:tcPr>
          <w:p w:rsidR="009E20D1" w:rsidRDefault="009B6B60">
            <w:pPr>
              <w:jc w:val="center"/>
            </w:pPr>
            <w:r>
              <w:rPr>
                <w:color w:val="000000"/>
                <w:sz w:val="24"/>
              </w:rPr>
              <w:t>0.61%</w:t>
            </w:r>
          </w:p>
        </w:tc>
        <w:tc>
          <w:tcPr>
            <w:tcW w:w="0" w:type="auto"/>
            <w:vAlign w:val="center"/>
          </w:tcPr>
          <w:p w:rsidR="009E20D1" w:rsidRDefault="009B6B60">
            <w:pPr>
              <w:jc w:val="center"/>
            </w:pPr>
            <w:r>
              <w:rPr>
                <w:color w:val="000000"/>
                <w:sz w:val="24"/>
              </w:rPr>
              <w:t>0.41%</w:t>
            </w:r>
          </w:p>
        </w:tc>
        <w:tc>
          <w:tcPr>
            <w:tcW w:w="0" w:type="auto"/>
            <w:vAlign w:val="center"/>
          </w:tcPr>
          <w:p w:rsidR="009E20D1" w:rsidRDefault="009B6B60">
            <w:pPr>
              <w:jc w:val="center"/>
            </w:pPr>
            <w:r>
              <w:rPr>
                <w:color w:val="000000"/>
                <w:sz w:val="24"/>
              </w:rPr>
              <w:t>0.70%</w:t>
            </w:r>
          </w:p>
        </w:tc>
        <w:tc>
          <w:tcPr>
            <w:tcW w:w="0" w:type="auto"/>
            <w:vAlign w:val="center"/>
          </w:tcPr>
          <w:p w:rsidR="009E20D1" w:rsidRDefault="009B6B60">
            <w:pPr>
              <w:jc w:val="center"/>
            </w:pPr>
            <w:r>
              <w:rPr>
                <w:color w:val="000000"/>
                <w:sz w:val="24"/>
              </w:rPr>
              <w:t>1.43%</w:t>
            </w:r>
          </w:p>
        </w:tc>
        <w:tc>
          <w:tcPr>
            <w:tcW w:w="0" w:type="auto"/>
            <w:vAlign w:val="center"/>
          </w:tcPr>
          <w:p w:rsidR="009E20D1" w:rsidRDefault="009B6B60">
            <w:pPr>
              <w:jc w:val="center"/>
            </w:pPr>
            <w:r>
              <w:rPr>
                <w:color w:val="000000"/>
                <w:sz w:val="24"/>
              </w:rPr>
              <w:t>-0.09%</w:t>
            </w:r>
          </w:p>
        </w:tc>
      </w:tr>
      <w:tr w:rsidR="009E20D1">
        <w:tc>
          <w:tcPr>
            <w:tcW w:w="0" w:type="auto"/>
            <w:vAlign w:val="center"/>
          </w:tcPr>
          <w:p w:rsidR="009E20D1" w:rsidRDefault="009B6B60">
            <w:pPr>
              <w:jc w:val="left"/>
            </w:pPr>
            <w:r>
              <w:rPr>
                <w:color w:val="000000"/>
                <w:sz w:val="24"/>
              </w:rPr>
              <w:t>过去三个月</w:t>
            </w:r>
          </w:p>
        </w:tc>
        <w:tc>
          <w:tcPr>
            <w:tcW w:w="0" w:type="auto"/>
            <w:vAlign w:val="center"/>
          </w:tcPr>
          <w:p w:rsidR="009E20D1" w:rsidRDefault="009B6B60">
            <w:pPr>
              <w:jc w:val="center"/>
            </w:pPr>
            <w:r>
              <w:rPr>
                <w:color w:val="000000"/>
                <w:sz w:val="24"/>
              </w:rPr>
              <w:t>1.76%</w:t>
            </w:r>
          </w:p>
        </w:tc>
        <w:tc>
          <w:tcPr>
            <w:tcW w:w="0" w:type="auto"/>
            <w:vAlign w:val="center"/>
          </w:tcPr>
          <w:p w:rsidR="009E20D1" w:rsidRDefault="009B6B60">
            <w:pPr>
              <w:jc w:val="center"/>
            </w:pPr>
            <w:r>
              <w:rPr>
                <w:color w:val="000000"/>
                <w:sz w:val="24"/>
              </w:rPr>
              <w:t>0.65%</w:t>
            </w:r>
          </w:p>
        </w:tc>
        <w:tc>
          <w:tcPr>
            <w:tcW w:w="0" w:type="auto"/>
            <w:vAlign w:val="center"/>
          </w:tcPr>
          <w:p w:rsidR="009E20D1" w:rsidRDefault="009B6B60">
            <w:pPr>
              <w:jc w:val="center"/>
            </w:pPr>
            <w:r>
              <w:rPr>
                <w:color w:val="000000"/>
                <w:sz w:val="24"/>
              </w:rPr>
              <w:t>-0.68%</w:t>
            </w:r>
          </w:p>
        </w:tc>
        <w:tc>
          <w:tcPr>
            <w:tcW w:w="0" w:type="auto"/>
            <w:vAlign w:val="center"/>
          </w:tcPr>
          <w:p w:rsidR="009E20D1" w:rsidRDefault="009B6B60">
            <w:pPr>
              <w:jc w:val="center"/>
            </w:pPr>
            <w:r>
              <w:rPr>
                <w:color w:val="000000"/>
                <w:sz w:val="24"/>
              </w:rPr>
              <w:t>0.65%</w:t>
            </w:r>
          </w:p>
        </w:tc>
        <w:tc>
          <w:tcPr>
            <w:tcW w:w="0" w:type="auto"/>
            <w:vAlign w:val="center"/>
          </w:tcPr>
          <w:p w:rsidR="009E20D1" w:rsidRDefault="009B6B60">
            <w:pPr>
              <w:jc w:val="center"/>
            </w:pPr>
            <w:r>
              <w:rPr>
                <w:color w:val="000000"/>
                <w:sz w:val="24"/>
              </w:rPr>
              <w:t>2.44%</w:t>
            </w:r>
          </w:p>
        </w:tc>
        <w:tc>
          <w:tcPr>
            <w:tcW w:w="0" w:type="auto"/>
            <w:vAlign w:val="center"/>
          </w:tcPr>
          <w:p w:rsidR="009E20D1" w:rsidRDefault="009B6B60">
            <w:pPr>
              <w:jc w:val="center"/>
            </w:pPr>
            <w:r>
              <w:rPr>
                <w:color w:val="000000"/>
                <w:sz w:val="24"/>
              </w:rPr>
              <w:t>0.00%</w:t>
            </w:r>
          </w:p>
        </w:tc>
      </w:tr>
      <w:tr w:rsidR="009E20D1">
        <w:tc>
          <w:tcPr>
            <w:tcW w:w="0" w:type="auto"/>
            <w:vAlign w:val="center"/>
          </w:tcPr>
          <w:p w:rsidR="009E20D1" w:rsidRDefault="009B6B60">
            <w:pPr>
              <w:jc w:val="left"/>
            </w:pPr>
            <w:r>
              <w:rPr>
                <w:color w:val="000000"/>
                <w:sz w:val="24"/>
              </w:rPr>
              <w:t>过去六个月</w:t>
            </w:r>
          </w:p>
        </w:tc>
        <w:tc>
          <w:tcPr>
            <w:tcW w:w="0" w:type="auto"/>
            <w:vAlign w:val="center"/>
          </w:tcPr>
          <w:p w:rsidR="009E20D1" w:rsidRDefault="009B6B60">
            <w:pPr>
              <w:jc w:val="center"/>
            </w:pPr>
            <w:r>
              <w:rPr>
                <w:color w:val="000000"/>
                <w:sz w:val="24"/>
              </w:rPr>
              <w:t>12.88%</w:t>
            </w:r>
          </w:p>
        </w:tc>
        <w:tc>
          <w:tcPr>
            <w:tcW w:w="0" w:type="auto"/>
            <w:vAlign w:val="center"/>
          </w:tcPr>
          <w:p w:rsidR="009E20D1" w:rsidRDefault="009B6B60">
            <w:pPr>
              <w:jc w:val="center"/>
            </w:pPr>
            <w:r>
              <w:rPr>
                <w:color w:val="000000"/>
                <w:sz w:val="24"/>
              </w:rPr>
              <w:t>0.67%</w:t>
            </w:r>
          </w:p>
        </w:tc>
        <w:tc>
          <w:tcPr>
            <w:tcW w:w="0" w:type="auto"/>
            <w:vAlign w:val="center"/>
          </w:tcPr>
          <w:p w:rsidR="009E20D1" w:rsidRDefault="009B6B60">
            <w:pPr>
              <w:jc w:val="center"/>
            </w:pPr>
            <w:r>
              <w:rPr>
                <w:color w:val="000000"/>
                <w:sz w:val="24"/>
              </w:rPr>
              <w:t>1.33%</w:t>
            </w:r>
          </w:p>
        </w:tc>
        <w:tc>
          <w:tcPr>
            <w:tcW w:w="0" w:type="auto"/>
            <w:vAlign w:val="center"/>
          </w:tcPr>
          <w:p w:rsidR="009E20D1" w:rsidRDefault="009B6B60">
            <w:pPr>
              <w:jc w:val="center"/>
            </w:pPr>
            <w:r>
              <w:rPr>
                <w:color w:val="000000"/>
                <w:sz w:val="24"/>
              </w:rPr>
              <w:t>0.64%</w:t>
            </w:r>
          </w:p>
        </w:tc>
        <w:tc>
          <w:tcPr>
            <w:tcW w:w="0" w:type="auto"/>
            <w:vAlign w:val="center"/>
          </w:tcPr>
          <w:p w:rsidR="009E20D1" w:rsidRDefault="009B6B60">
            <w:pPr>
              <w:jc w:val="center"/>
            </w:pPr>
            <w:r>
              <w:rPr>
                <w:color w:val="000000"/>
                <w:sz w:val="24"/>
              </w:rPr>
              <w:t>11.55%</w:t>
            </w:r>
          </w:p>
        </w:tc>
        <w:tc>
          <w:tcPr>
            <w:tcW w:w="0" w:type="auto"/>
            <w:vAlign w:val="center"/>
          </w:tcPr>
          <w:p w:rsidR="009E20D1" w:rsidRDefault="009B6B60">
            <w:pPr>
              <w:jc w:val="center"/>
            </w:pPr>
            <w:r>
              <w:rPr>
                <w:color w:val="000000"/>
                <w:sz w:val="24"/>
              </w:rPr>
              <w:t>0.03%</w:t>
            </w:r>
          </w:p>
        </w:tc>
      </w:tr>
      <w:tr w:rsidR="009E20D1">
        <w:tc>
          <w:tcPr>
            <w:tcW w:w="0" w:type="auto"/>
            <w:vAlign w:val="center"/>
          </w:tcPr>
          <w:p w:rsidR="009E20D1" w:rsidRDefault="009B6B60">
            <w:pPr>
              <w:jc w:val="left"/>
            </w:pPr>
            <w:r>
              <w:rPr>
                <w:color w:val="000000"/>
                <w:sz w:val="24"/>
              </w:rPr>
              <w:t>过去一年</w:t>
            </w:r>
          </w:p>
        </w:tc>
        <w:tc>
          <w:tcPr>
            <w:tcW w:w="0" w:type="auto"/>
            <w:vAlign w:val="center"/>
          </w:tcPr>
          <w:p w:rsidR="009E20D1" w:rsidRDefault="009B6B60">
            <w:pPr>
              <w:jc w:val="center"/>
            </w:pPr>
            <w:r>
              <w:rPr>
                <w:color w:val="000000"/>
                <w:sz w:val="24"/>
              </w:rPr>
              <w:t>23.66%</w:t>
            </w:r>
          </w:p>
        </w:tc>
        <w:tc>
          <w:tcPr>
            <w:tcW w:w="0" w:type="auto"/>
            <w:vAlign w:val="center"/>
          </w:tcPr>
          <w:p w:rsidR="009E20D1" w:rsidRDefault="009B6B60">
            <w:pPr>
              <w:jc w:val="center"/>
            </w:pPr>
            <w:r>
              <w:rPr>
                <w:color w:val="000000"/>
                <w:sz w:val="24"/>
              </w:rPr>
              <w:t>0.73%</w:t>
            </w:r>
          </w:p>
        </w:tc>
        <w:tc>
          <w:tcPr>
            <w:tcW w:w="0" w:type="auto"/>
            <w:vAlign w:val="center"/>
          </w:tcPr>
          <w:p w:rsidR="009E20D1" w:rsidRDefault="009B6B60">
            <w:pPr>
              <w:jc w:val="center"/>
            </w:pPr>
            <w:r>
              <w:rPr>
                <w:color w:val="000000"/>
                <w:sz w:val="24"/>
              </w:rPr>
              <w:t>12.05%</w:t>
            </w:r>
          </w:p>
        </w:tc>
        <w:tc>
          <w:tcPr>
            <w:tcW w:w="0" w:type="auto"/>
            <w:vAlign w:val="center"/>
          </w:tcPr>
          <w:p w:rsidR="009E20D1" w:rsidRDefault="009B6B60">
            <w:pPr>
              <w:jc w:val="center"/>
            </w:pPr>
            <w:r>
              <w:rPr>
                <w:color w:val="000000"/>
                <w:sz w:val="24"/>
              </w:rPr>
              <w:t>0.69%</w:t>
            </w:r>
          </w:p>
        </w:tc>
        <w:tc>
          <w:tcPr>
            <w:tcW w:w="0" w:type="auto"/>
            <w:vAlign w:val="center"/>
          </w:tcPr>
          <w:p w:rsidR="009E20D1" w:rsidRDefault="009B6B60">
            <w:pPr>
              <w:jc w:val="center"/>
            </w:pPr>
            <w:r>
              <w:rPr>
                <w:color w:val="000000"/>
                <w:sz w:val="24"/>
              </w:rPr>
              <w:t>11.61%</w:t>
            </w:r>
          </w:p>
        </w:tc>
        <w:tc>
          <w:tcPr>
            <w:tcW w:w="0" w:type="auto"/>
            <w:vAlign w:val="center"/>
          </w:tcPr>
          <w:p w:rsidR="009E20D1" w:rsidRDefault="009B6B60">
            <w:pPr>
              <w:jc w:val="center"/>
            </w:pPr>
            <w:r>
              <w:rPr>
                <w:color w:val="000000"/>
                <w:sz w:val="24"/>
              </w:rPr>
              <w:t>0.04%</w:t>
            </w:r>
          </w:p>
        </w:tc>
      </w:tr>
      <w:tr w:rsidR="009E20D1">
        <w:tc>
          <w:tcPr>
            <w:tcW w:w="0" w:type="auto"/>
            <w:vAlign w:val="center"/>
          </w:tcPr>
          <w:p w:rsidR="009E20D1" w:rsidRDefault="009B6B60">
            <w:pPr>
              <w:jc w:val="left"/>
            </w:pPr>
            <w:r>
              <w:rPr>
                <w:color w:val="000000"/>
                <w:sz w:val="24"/>
              </w:rPr>
              <w:t>过去三年</w:t>
            </w:r>
          </w:p>
        </w:tc>
        <w:tc>
          <w:tcPr>
            <w:tcW w:w="0" w:type="auto"/>
            <w:vAlign w:val="center"/>
          </w:tcPr>
          <w:p w:rsidR="009E20D1" w:rsidRDefault="009B6B60">
            <w:pPr>
              <w:jc w:val="center"/>
            </w:pPr>
            <w:r>
              <w:rPr>
                <w:color w:val="000000"/>
                <w:sz w:val="24"/>
              </w:rPr>
              <w:t>14.75%</w:t>
            </w:r>
          </w:p>
        </w:tc>
        <w:tc>
          <w:tcPr>
            <w:tcW w:w="0" w:type="auto"/>
            <w:vAlign w:val="center"/>
          </w:tcPr>
          <w:p w:rsidR="009E20D1" w:rsidRDefault="009B6B60">
            <w:pPr>
              <w:jc w:val="center"/>
            </w:pPr>
            <w:r>
              <w:rPr>
                <w:color w:val="000000"/>
                <w:sz w:val="24"/>
              </w:rPr>
              <w:t>1.53%</w:t>
            </w:r>
          </w:p>
        </w:tc>
        <w:tc>
          <w:tcPr>
            <w:tcW w:w="0" w:type="auto"/>
            <w:vAlign w:val="center"/>
          </w:tcPr>
          <w:p w:rsidR="009E20D1" w:rsidRDefault="009B6B60">
            <w:pPr>
              <w:jc w:val="center"/>
            </w:pPr>
            <w:r>
              <w:rPr>
                <w:color w:val="000000"/>
                <w:sz w:val="24"/>
              </w:rPr>
              <w:t>-16.94%</w:t>
            </w:r>
          </w:p>
        </w:tc>
        <w:tc>
          <w:tcPr>
            <w:tcW w:w="0" w:type="auto"/>
            <w:vAlign w:val="center"/>
          </w:tcPr>
          <w:p w:rsidR="009E20D1" w:rsidRDefault="009B6B60">
            <w:pPr>
              <w:jc w:val="center"/>
            </w:pPr>
            <w:r>
              <w:rPr>
                <w:color w:val="000000"/>
                <w:sz w:val="24"/>
              </w:rPr>
              <w:t>1.12%</w:t>
            </w:r>
          </w:p>
        </w:tc>
        <w:tc>
          <w:tcPr>
            <w:tcW w:w="0" w:type="auto"/>
            <w:vAlign w:val="center"/>
          </w:tcPr>
          <w:p w:rsidR="009E20D1" w:rsidRDefault="009B6B60">
            <w:pPr>
              <w:jc w:val="center"/>
            </w:pPr>
            <w:r>
              <w:rPr>
                <w:color w:val="000000"/>
                <w:sz w:val="24"/>
              </w:rPr>
              <w:t>31.69%</w:t>
            </w:r>
          </w:p>
        </w:tc>
        <w:tc>
          <w:tcPr>
            <w:tcW w:w="0" w:type="auto"/>
            <w:vAlign w:val="center"/>
          </w:tcPr>
          <w:p w:rsidR="009E20D1" w:rsidRDefault="009B6B60">
            <w:pPr>
              <w:jc w:val="center"/>
            </w:pPr>
            <w:r>
              <w:rPr>
                <w:color w:val="000000"/>
                <w:sz w:val="24"/>
              </w:rPr>
              <w:t>0.41%</w:t>
            </w:r>
          </w:p>
        </w:tc>
      </w:tr>
      <w:tr w:rsidR="009E20D1">
        <w:tc>
          <w:tcPr>
            <w:tcW w:w="0" w:type="auto"/>
            <w:vAlign w:val="center"/>
          </w:tcPr>
          <w:p w:rsidR="009E20D1" w:rsidRDefault="009B6B60">
            <w:pPr>
              <w:jc w:val="left"/>
            </w:pPr>
            <w:r>
              <w:rPr>
                <w:color w:val="000000"/>
                <w:sz w:val="24"/>
              </w:rPr>
              <w:t>自基金合同生效起至今</w:t>
            </w:r>
          </w:p>
        </w:tc>
        <w:tc>
          <w:tcPr>
            <w:tcW w:w="0" w:type="auto"/>
            <w:vAlign w:val="center"/>
          </w:tcPr>
          <w:p w:rsidR="009E20D1" w:rsidRDefault="009B6B60">
            <w:pPr>
              <w:jc w:val="center"/>
            </w:pPr>
            <w:r>
              <w:rPr>
                <w:color w:val="000000"/>
                <w:sz w:val="24"/>
              </w:rPr>
              <w:t>41.09%</w:t>
            </w:r>
          </w:p>
        </w:tc>
        <w:tc>
          <w:tcPr>
            <w:tcW w:w="0" w:type="auto"/>
            <w:vAlign w:val="center"/>
          </w:tcPr>
          <w:p w:rsidR="009E20D1" w:rsidRDefault="009B6B60">
            <w:pPr>
              <w:jc w:val="center"/>
            </w:pPr>
            <w:r>
              <w:rPr>
                <w:color w:val="000000"/>
                <w:sz w:val="24"/>
              </w:rPr>
              <w:t>1.29%</w:t>
            </w:r>
          </w:p>
        </w:tc>
        <w:tc>
          <w:tcPr>
            <w:tcW w:w="0" w:type="auto"/>
            <w:vAlign w:val="center"/>
          </w:tcPr>
          <w:p w:rsidR="009E20D1" w:rsidRDefault="009B6B60">
            <w:pPr>
              <w:jc w:val="center"/>
            </w:pPr>
            <w:r>
              <w:rPr>
                <w:color w:val="000000"/>
                <w:sz w:val="24"/>
              </w:rPr>
              <w:t>7.00%</w:t>
            </w:r>
          </w:p>
        </w:tc>
        <w:tc>
          <w:tcPr>
            <w:tcW w:w="0" w:type="auto"/>
            <w:vAlign w:val="center"/>
          </w:tcPr>
          <w:p w:rsidR="009E20D1" w:rsidRDefault="009B6B60">
            <w:pPr>
              <w:jc w:val="center"/>
            </w:pPr>
            <w:r>
              <w:rPr>
                <w:color w:val="000000"/>
                <w:sz w:val="24"/>
              </w:rPr>
              <w:t>1.02%</w:t>
            </w:r>
          </w:p>
        </w:tc>
        <w:tc>
          <w:tcPr>
            <w:tcW w:w="0" w:type="auto"/>
            <w:vAlign w:val="center"/>
          </w:tcPr>
          <w:p w:rsidR="009E20D1" w:rsidRDefault="009B6B60">
            <w:pPr>
              <w:jc w:val="center"/>
            </w:pPr>
            <w:r>
              <w:rPr>
                <w:color w:val="000000"/>
                <w:sz w:val="24"/>
              </w:rPr>
              <w:t>34.09%</w:t>
            </w:r>
          </w:p>
        </w:tc>
        <w:tc>
          <w:tcPr>
            <w:tcW w:w="0" w:type="auto"/>
            <w:vAlign w:val="center"/>
          </w:tcPr>
          <w:p w:rsidR="009E20D1" w:rsidRDefault="009B6B60">
            <w:pPr>
              <w:jc w:val="center"/>
            </w:pPr>
            <w:r>
              <w:rPr>
                <w:color w:val="000000"/>
                <w:sz w:val="24"/>
              </w:rPr>
              <w:t>0.27%</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MSCI</w:t>
      </w:r>
      <w:r w:rsidRPr="00123880">
        <w:rPr>
          <w:kern w:val="0"/>
          <w:sz w:val="24"/>
        </w:rPr>
        <w:t>全球原材料总收益指数收益率</w:t>
      </w:r>
      <w:r w:rsidRPr="00123880">
        <w:rPr>
          <w:kern w:val="0"/>
          <w:sz w:val="24"/>
        </w:rPr>
        <w:t>×65%</w:t>
      </w:r>
      <w:r w:rsidRPr="00123880">
        <w:rPr>
          <w:kern w:val="0"/>
          <w:sz w:val="24"/>
        </w:rPr>
        <w:t>＋</w:t>
      </w:r>
      <w:r w:rsidRPr="00123880">
        <w:rPr>
          <w:kern w:val="0"/>
          <w:sz w:val="24"/>
        </w:rPr>
        <w:t>MSCI</w:t>
      </w:r>
      <w:r w:rsidRPr="00123880">
        <w:rPr>
          <w:kern w:val="0"/>
          <w:sz w:val="24"/>
        </w:rPr>
        <w:t>全球能源总收益指数收益率</w:t>
      </w:r>
      <w:r w:rsidRPr="00123880">
        <w:rPr>
          <w:kern w:val="0"/>
          <w:sz w:val="24"/>
        </w:rPr>
        <w:t>×35%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交银施罗德全球自然资源证券投资基金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2012</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2017</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53" w:name="_Toc225498254"/>
      <w:bookmarkStart w:id="54" w:name="_Toc352255971"/>
      <w:bookmarkStart w:id="55" w:name="_Toc352256039"/>
      <w:bookmarkStart w:id="56" w:name="_Toc352331217"/>
      <w:r w:rsidRPr="00123880">
        <w:rPr>
          <w:b/>
          <w:bCs/>
          <w:szCs w:val="24"/>
          <w:lang w:val="en-US"/>
        </w:rPr>
        <w:t xml:space="preserve">4  </w:t>
      </w:r>
      <w:r w:rsidRPr="00123880">
        <w:rPr>
          <w:b/>
          <w:bCs/>
          <w:szCs w:val="24"/>
          <w:lang w:val="en-US"/>
        </w:rPr>
        <w:t>管理人报告</w:t>
      </w:r>
      <w:bookmarkEnd w:id="53"/>
      <w:bookmarkEnd w:id="54"/>
      <w:bookmarkEnd w:id="55"/>
      <w:bookmarkEnd w:id="56"/>
    </w:p>
    <w:p w:rsidR="008A5A5D" w:rsidRPr="00123880" w:rsidRDefault="0080367A" w:rsidP="002F2307">
      <w:pPr>
        <w:pStyle w:val="20"/>
        <w:spacing w:before="29" w:after="0" w:line="288" w:lineRule="auto"/>
        <w:rPr>
          <w:rFonts w:ascii="Times New Roman" w:hAnsi="Times New Roman"/>
          <w:kern w:val="0"/>
          <w:szCs w:val="24"/>
        </w:rPr>
      </w:pPr>
      <w:bookmarkStart w:id="57" w:name="_Toc352255972"/>
      <w:bookmarkStart w:id="58" w:name="_Toc352256040"/>
      <w:bookmarkStart w:id="59"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7"/>
      <w:bookmarkEnd w:id="58"/>
      <w:bookmarkEnd w:id="5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9E20D1" w:rsidRDefault="009B6B60">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75</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9E20D1">
        <w:tc>
          <w:tcPr>
            <w:tcW w:w="1161" w:type="dxa"/>
            <w:vAlign w:val="center"/>
          </w:tcPr>
          <w:p w:rsidR="009E20D1" w:rsidRDefault="009B6B60">
            <w:pPr>
              <w:jc w:val="center"/>
            </w:pPr>
            <w:r>
              <w:rPr>
                <w:color w:val="000000"/>
                <w:sz w:val="24"/>
              </w:rPr>
              <w:lastRenderedPageBreak/>
              <w:t>陈俊华</w:t>
            </w:r>
          </w:p>
        </w:tc>
        <w:tc>
          <w:tcPr>
            <w:tcW w:w="1161" w:type="dxa"/>
            <w:vAlign w:val="center"/>
          </w:tcPr>
          <w:p w:rsidR="009E20D1" w:rsidRDefault="009B6B6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855" w:type="dxa"/>
            <w:vAlign w:val="center"/>
          </w:tcPr>
          <w:p w:rsidR="009E20D1" w:rsidRDefault="009B6B60">
            <w:pPr>
              <w:jc w:val="center"/>
            </w:pPr>
            <w:r>
              <w:rPr>
                <w:color w:val="000000"/>
                <w:sz w:val="24"/>
              </w:rPr>
              <w:t>2015-11-21</w:t>
            </w:r>
          </w:p>
        </w:tc>
        <w:tc>
          <w:tcPr>
            <w:tcW w:w="1855" w:type="dxa"/>
            <w:vAlign w:val="center"/>
          </w:tcPr>
          <w:p w:rsidR="009E20D1" w:rsidRDefault="009B6B60">
            <w:pPr>
              <w:jc w:val="center"/>
            </w:pPr>
            <w:r>
              <w:rPr>
                <w:color w:val="000000"/>
                <w:sz w:val="24"/>
              </w:rPr>
              <w:t>-</w:t>
            </w:r>
          </w:p>
        </w:tc>
        <w:tc>
          <w:tcPr>
            <w:tcW w:w="2095" w:type="dxa"/>
            <w:vAlign w:val="center"/>
          </w:tcPr>
          <w:p w:rsidR="009E20D1" w:rsidRDefault="009B6B60">
            <w:pPr>
              <w:jc w:val="center"/>
            </w:pPr>
            <w:r>
              <w:rPr>
                <w:color w:val="000000"/>
                <w:sz w:val="24"/>
              </w:rPr>
              <w:t>12</w:t>
            </w:r>
            <w:r>
              <w:rPr>
                <w:color w:val="000000"/>
                <w:sz w:val="24"/>
              </w:rPr>
              <w:t>年</w:t>
            </w:r>
          </w:p>
        </w:tc>
        <w:tc>
          <w:tcPr>
            <w:tcW w:w="1159" w:type="dxa"/>
            <w:vAlign w:val="center"/>
          </w:tcPr>
          <w:p w:rsidR="009E20D1" w:rsidRDefault="009B6B60">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9E20D1">
        <w:tc>
          <w:tcPr>
            <w:tcW w:w="1161" w:type="dxa"/>
            <w:vAlign w:val="center"/>
          </w:tcPr>
          <w:p w:rsidR="009E20D1" w:rsidRDefault="009B6B60">
            <w:pPr>
              <w:jc w:val="center"/>
            </w:pPr>
            <w:r>
              <w:rPr>
                <w:color w:val="000000"/>
                <w:sz w:val="24"/>
              </w:rPr>
              <w:t>周中</w:t>
            </w:r>
          </w:p>
        </w:tc>
        <w:tc>
          <w:tcPr>
            <w:tcW w:w="1161" w:type="dxa"/>
            <w:vAlign w:val="center"/>
          </w:tcPr>
          <w:p w:rsidR="009E20D1" w:rsidRDefault="009B6B6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855" w:type="dxa"/>
            <w:vAlign w:val="center"/>
          </w:tcPr>
          <w:p w:rsidR="009E20D1" w:rsidRDefault="009B6B60">
            <w:pPr>
              <w:jc w:val="center"/>
            </w:pPr>
            <w:r>
              <w:rPr>
                <w:color w:val="000000"/>
                <w:sz w:val="24"/>
              </w:rPr>
              <w:t>2015-12-12</w:t>
            </w:r>
          </w:p>
        </w:tc>
        <w:tc>
          <w:tcPr>
            <w:tcW w:w="1855" w:type="dxa"/>
            <w:vAlign w:val="center"/>
          </w:tcPr>
          <w:p w:rsidR="009E20D1" w:rsidRDefault="009B6B60">
            <w:pPr>
              <w:jc w:val="center"/>
            </w:pPr>
            <w:r>
              <w:rPr>
                <w:color w:val="000000"/>
                <w:sz w:val="24"/>
              </w:rPr>
              <w:t>-</w:t>
            </w:r>
          </w:p>
        </w:tc>
        <w:tc>
          <w:tcPr>
            <w:tcW w:w="2095" w:type="dxa"/>
            <w:vAlign w:val="center"/>
          </w:tcPr>
          <w:p w:rsidR="009E20D1" w:rsidRDefault="009B6B60">
            <w:pPr>
              <w:jc w:val="center"/>
            </w:pPr>
            <w:r>
              <w:rPr>
                <w:color w:val="000000"/>
                <w:sz w:val="24"/>
              </w:rPr>
              <w:t>8</w:t>
            </w:r>
            <w:r>
              <w:rPr>
                <w:color w:val="000000"/>
                <w:sz w:val="24"/>
              </w:rPr>
              <w:t>年</w:t>
            </w:r>
          </w:p>
        </w:tc>
        <w:tc>
          <w:tcPr>
            <w:tcW w:w="1159" w:type="dxa"/>
            <w:vAlign w:val="center"/>
          </w:tcPr>
          <w:p w:rsidR="009E20D1" w:rsidRDefault="009B6B60">
            <w:pPr>
              <w:jc w:val="left"/>
            </w:pPr>
            <w:r>
              <w:rPr>
                <w:color w:val="000000"/>
                <w:sz w:val="24"/>
              </w:rPr>
              <w:t>周中先生，中国国籍，复旦大学金融学硕士。历任野村证券亚太区股票研究部研究助理，中银国际证券研究部研究员、高级经理，瑞银证券研究部行业</w:t>
            </w:r>
            <w:r>
              <w:rPr>
                <w:color w:val="000000"/>
                <w:sz w:val="24"/>
              </w:rPr>
              <w:lastRenderedPageBreak/>
              <w:t>分析师、董事。</w:t>
            </w:r>
            <w:r>
              <w:rPr>
                <w:color w:val="000000"/>
                <w:sz w:val="24"/>
              </w:rPr>
              <w:t>2015</w:t>
            </w:r>
            <w:r>
              <w:rPr>
                <w:color w:val="000000"/>
                <w:sz w:val="24"/>
              </w:rPr>
              <w:t>年加入交银施罗德基金管理有限公司。</w:t>
            </w:r>
          </w:p>
        </w:tc>
      </w:tr>
      <w:tr w:rsidR="009E20D1">
        <w:tc>
          <w:tcPr>
            <w:tcW w:w="1161" w:type="dxa"/>
            <w:vAlign w:val="center"/>
          </w:tcPr>
          <w:p w:rsidR="009E20D1" w:rsidRDefault="009B6B60">
            <w:pPr>
              <w:jc w:val="center"/>
            </w:pPr>
            <w:r>
              <w:rPr>
                <w:color w:val="000000"/>
                <w:sz w:val="24"/>
              </w:rPr>
              <w:lastRenderedPageBreak/>
              <w:t>蔡铮</w:t>
            </w:r>
          </w:p>
        </w:tc>
        <w:tc>
          <w:tcPr>
            <w:tcW w:w="1161" w:type="dxa"/>
            <w:vAlign w:val="center"/>
          </w:tcPr>
          <w:p w:rsidR="009E20D1" w:rsidRDefault="009B6B60">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w:t>
            </w:r>
            <w:r>
              <w:rPr>
                <w:color w:val="000000"/>
                <w:sz w:val="24"/>
              </w:rPr>
              <w:lastRenderedPageBreak/>
              <w:t>司量化投资部副总经理</w:t>
            </w:r>
          </w:p>
        </w:tc>
        <w:tc>
          <w:tcPr>
            <w:tcW w:w="1855" w:type="dxa"/>
            <w:vAlign w:val="center"/>
          </w:tcPr>
          <w:p w:rsidR="009E20D1" w:rsidRDefault="009B6B60">
            <w:pPr>
              <w:jc w:val="center"/>
            </w:pPr>
            <w:r>
              <w:rPr>
                <w:color w:val="000000"/>
                <w:sz w:val="24"/>
              </w:rPr>
              <w:lastRenderedPageBreak/>
              <w:t>2015-04-22</w:t>
            </w:r>
          </w:p>
        </w:tc>
        <w:tc>
          <w:tcPr>
            <w:tcW w:w="1855" w:type="dxa"/>
            <w:vAlign w:val="center"/>
          </w:tcPr>
          <w:p w:rsidR="009E20D1" w:rsidRDefault="009B6B60">
            <w:pPr>
              <w:jc w:val="center"/>
            </w:pPr>
            <w:r>
              <w:rPr>
                <w:color w:val="000000"/>
                <w:sz w:val="24"/>
              </w:rPr>
              <w:t>2017-03-25</w:t>
            </w:r>
          </w:p>
        </w:tc>
        <w:tc>
          <w:tcPr>
            <w:tcW w:w="2095" w:type="dxa"/>
            <w:vAlign w:val="center"/>
          </w:tcPr>
          <w:p w:rsidR="009E20D1" w:rsidRDefault="009B6B60">
            <w:pPr>
              <w:jc w:val="center"/>
            </w:pPr>
            <w:r>
              <w:rPr>
                <w:color w:val="000000"/>
                <w:sz w:val="24"/>
              </w:rPr>
              <w:t>8</w:t>
            </w:r>
            <w:r>
              <w:rPr>
                <w:color w:val="000000"/>
                <w:sz w:val="24"/>
              </w:rPr>
              <w:t>年</w:t>
            </w:r>
          </w:p>
        </w:tc>
        <w:tc>
          <w:tcPr>
            <w:tcW w:w="1159" w:type="dxa"/>
            <w:vAlign w:val="center"/>
          </w:tcPr>
          <w:p w:rsidR="009E20D1" w:rsidRDefault="009B6B6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w:t>
            </w:r>
            <w:r>
              <w:rPr>
                <w:color w:val="000000"/>
                <w:sz w:val="24"/>
              </w:rPr>
              <w:lastRenderedPageBreak/>
              <w:t>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9E20D1" w:rsidRDefault="009B6B6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E20D1" w:rsidRDefault="009B6B60">
      <w:pPr>
        <w:tabs>
          <w:tab w:val="left" w:pos="426"/>
        </w:tabs>
        <w:spacing w:before="29" w:line="288" w:lineRule="auto"/>
        <w:jc w:val="left"/>
        <w:rPr>
          <w:kern w:val="0"/>
          <w:sz w:val="24"/>
        </w:rPr>
      </w:pPr>
      <w:r>
        <w:rPr>
          <w:kern w:val="0"/>
          <w:sz w:val="24"/>
        </w:rPr>
        <w:lastRenderedPageBreak/>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0" w:name="_Toc224618356"/>
      <w:bookmarkStart w:id="61" w:name="_Toc235605685"/>
      <w:bookmarkStart w:id="62" w:name="_Toc286929733"/>
      <w:bookmarkStart w:id="63" w:name="_Toc352255973"/>
      <w:bookmarkStart w:id="64" w:name="_Toc352256041"/>
      <w:bookmarkStart w:id="65"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60"/>
      <w:bookmarkEnd w:id="61"/>
      <w:bookmarkEnd w:id="62"/>
      <w:bookmarkEnd w:id="63"/>
      <w:bookmarkEnd w:id="64"/>
      <w:bookmarkEnd w:id="65"/>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9E20D1">
        <w:tc>
          <w:tcPr>
            <w:tcW w:w="1526" w:type="dxa"/>
            <w:vAlign w:val="center"/>
          </w:tcPr>
          <w:p w:rsidR="009E20D1" w:rsidRDefault="009B6B60">
            <w:pPr>
              <w:jc w:val="center"/>
            </w:pPr>
            <w:r>
              <w:rPr>
                <w:color w:val="000000"/>
                <w:sz w:val="24"/>
              </w:rPr>
              <w:t>Simon Webber</w:t>
            </w:r>
          </w:p>
        </w:tc>
        <w:tc>
          <w:tcPr>
            <w:tcW w:w="2410" w:type="dxa"/>
            <w:vAlign w:val="center"/>
          </w:tcPr>
          <w:p w:rsidR="009E20D1" w:rsidRDefault="009B6B60">
            <w:pPr>
              <w:jc w:val="center"/>
            </w:pPr>
            <w:r>
              <w:rPr>
                <w:color w:val="000000"/>
                <w:sz w:val="24"/>
              </w:rPr>
              <w:t>施罗德集团多区域（全球及国际）股票投资主管、全球和国际股票基金经理、全球气候变化股票基金经理</w:t>
            </w:r>
          </w:p>
        </w:tc>
        <w:tc>
          <w:tcPr>
            <w:tcW w:w="1417" w:type="dxa"/>
            <w:vAlign w:val="center"/>
          </w:tcPr>
          <w:p w:rsidR="009E20D1" w:rsidRDefault="009B6B60">
            <w:pPr>
              <w:jc w:val="center"/>
            </w:pPr>
            <w:r>
              <w:rPr>
                <w:color w:val="000000"/>
                <w:sz w:val="24"/>
              </w:rPr>
              <w:t>18</w:t>
            </w:r>
            <w:r>
              <w:rPr>
                <w:color w:val="000000"/>
                <w:sz w:val="24"/>
              </w:rPr>
              <w:t>年</w:t>
            </w:r>
          </w:p>
        </w:tc>
        <w:tc>
          <w:tcPr>
            <w:tcW w:w="3935" w:type="dxa"/>
            <w:vAlign w:val="center"/>
          </w:tcPr>
          <w:p w:rsidR="009E20D1" w:rsidRDefault="009B6B60">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6" w:name="_Toc225498256"/>
      <w:bookmarkStart w:id="67" w:name="_Toc352255974"/>
      <w:bookmarkStart w:id="68" w:name="_Toc352256042"/>
      <w:bookmarkStart w:id="69"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6"/>
      <w:bookmarkEnd w:id="67"/>
      <w:bookmarkEnd w:id="68"/>
      <w:bookmarkEnd w:id="69"/>
    </w:p>
    <w:p w:rsidR="009E20D1" w:rsidRDefault="009B6B6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0" w:name="_Toc225498257"/>
      <w:bookmarkStart w:id="71" w:name="_Toc352255975"/>
      <w:bookmarkStart w:id="72" w:name="_Toc352256043"/>
      <w:bookmarkStart w:id="73"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70"/>
      <w:bookmarkEnd w:id="71"/>
      <w:bookmarkEnd w:id="72"/>
      <w:bookmarkEnd w:id="73"/>
    </w:p>
    <w:p w:rsidR="008A5A5D" w:rsidRPr="00123880" w:rsidRDefault="008A5A5D" w:rsidP="002F2307">
      <w:pPr>
        <w:autoSpaceDE w:val="0"/>
        <w:autoSpaceDN w:val="0"/>
        <w:adjustRightInd w:val="0"/>
        <w:spacing w:before="29" w:line="288" w:lineRule="auto"/>
        <w:jc w:val="left"/>
        <w:rPr>
          <w:b/>
          <w:color w:val="000000"/>
          <w:kern w:val="0"/>
          <w:sz w:val="24"/>
        </w:rPr>
      </w:pPr>
      <w:bookmarkStart w:id="74" w:name="_Toc225498258"/>
      <w:bookmarkStart w:id="75" w:name="_Toc352255976"/>
      <w:bookmarkStart w:id="76" w:name="_Toc352256044"/>
      <w:bookmarkStart w:id="77"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9E20D1" w:rsidRDefault="009B6B6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20D1" w:rsidRDefault="009B6B6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20D1" w:rsidRDefault="009B6B6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9E20D1" w:rsidRDefault="009B6B60">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E20D1" w:rsidRDefault="009E20D1">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4"/>
      <w:bookmarkEnd w:id="75"/>
      <w:bookmarkEnd w:id="76"/>
      <w:bookmarkEnd w:id="77"/>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9E20D1" w:rsidRDefault="009B6B60">
      <w:pPr>
        <w:spacing w:before="29" w:line="288" w:lineRule="auto"/>
        <w:ind w:firstLineChars="200" w:firstLine="480"/>
        <w:rPr>
          <w:color w:val="000000"/>
          <w:sz w:val="24"/>
        </w:rPr>
      </w:pPr>
      <w:r>
        <w:rPr>
          <w:color w:val="000000"/>
          <w:sz w:val="24"/>
        </w:rPr>
        <w:t>2017</w:t>
      </w:r>
      <w:r>
        <w:rPr>
          <w:color w:val="000000"/>
          <w:sz w:val="24"/>
        </w:rPr>
        <w:t>年上半年，海外股市表现较好，交易偏好继续向大盘蓝筹集中，</w:t>
      </w:r>
      <w:r>
        <w:rPr>
          <w:color w:val="000000"/>
          <w:sz w:val="24"/>
        </w:rPr>
        <w:t>“</w:t>
      </w:r>
      <w:r>
        <w:rPr>
          <w:color w:val="000000"/>
          <w:sz w:val="24"/>
        </w:rPr>
        <w:t>漂亮</w:t>
      </w:r>
      <w:r>
        <w:rPr>
          <w:color w:val="000000"/>
          <w:sz w:val="24"/>
        </w:rPr>
        <w:t>50”</w:t>
      </w:r>
      <w:r>
        <w:rPr>
          <w:color w:val="000000"/>
          <w:sz w:val="24"/>
        </w:rPr>
        <w:t>股票表现较好。欧美方面，虽然在美国加息、缩表等预期指引下，市场整体依然表现较强。香港市场，南下资金推动恒生指数获得超过</w:t>
      </w:r>
      <w:r>
        <w:rPr>
          <w:color w:val="000000"/>
          <w:sz w:val="24"/>
        </w:rPr>
        <w:t>17.1%</w:t>
      </w:r>
      <w:r>
        <w:rPr>
          <w:color w:val="000000"/>
          <w:sz w:val="24"/>
        </w:rPr>
        <w:t>的涨幅，值得注意的是，二季度开始腾讯、汇丰、友邦和平安等较大权重公司贡献了恒指超过七成的上涨。交易拥挤以及获利较多，使得部分投资者对香港市场开始转向谨慎，市场震荡加剧。本基金主要投资的自然资源相关股票方面，由于受到石油价格震荡向下的影响，大宗商品类股票上半年表现较为平淡。面对不确定性加大的市场，本基金操作较为谨慎稳健，注意风险的规避。</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本基金在上半年总体呈较低仓位运作。重点配置于需求比较稳定、受益于供给侧改革的相关自然资源类公司。</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截至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日，本基金份额净值为</w:t>
      </w:r>
      <w:r w:rsidRPr="00123880">
        <w:rPr>
          <w:color w:val="000000"/>
          <w:sz w:val="24"/>
        </w:rPr>
        <w:t>1.385</w:t>
      </w:r>
      <w:r w:rsidRPr="00123880">
        <w:rPr>
          <w:color w:val="000000"/>
          <w:sz w:val="24"/>
        </w:rPr>
        <w:t>元，本报告期份额净值增长率为</w:t>
      </w:r>
      <w:r w:rsidRPr="00123880">
        <w:rPr>
          <w:color w:val="000000"/>
          <w:sz w:val="24"/>
        </w:rPr>
        <w:t>12.88%</w:t>
      </w:r>
      <w:r w:rsidRPr="00123880">
        <w:rPr>
          <w:color w:val="000000"/>
          <w:sz w:val="24"/>
        </w:rPr>
        <w:t>，同期业绩比较基准增长率为</w:t>
      </w:r>
      <w:r w:rsidRPr="00123880">
        <w:rPr>
          <w:color w:val="000000"/>
          <w:sz w:val="24"/>
        </w:rPr>
        <w:t>1.33%</w:t>
      </w:r>
      <w:r w:rsidRPr="00123880">
        <w:rPr>
          <w:color w:val="000000"/>
          <w:sz w:val="24"/>
        </w:rPr>
        <w:t>。</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8" w:name="_Toc225498259"/>
      <w:bookmarkStart w:id="79" w:name="_Toc352255977"/>
      <w:bookmarkStart w:id="80" w:name="_Toc352256045"/>
      <w:bookmarkStart w:id="81"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8"/>
      <w:bookmarkEnd w:id="79"/>
      <w:bookmarkEnd w:id="80"/>
      <w:bookmarkEnd w:id="81"/>
    </w:p>
    <w:p w:rsidR="008A5A5D" w:rsidRPr="00123880" w:rsidRDefault="008A5A5D" w:rsidP="002F2307">
      <w:pPr>
        <w:spacing w:before="29" w:line="288" w:lineRule="auto"/>
        <w:ind w:firstLineChars="200" w:firstLine="480"/>
        <w:rPr>
          <w:color w:val="000000"/>
          <w:sz w:val="24"/>
        </w:rPr>
      </w:pPr>
      <w:r w:rsidRPr="00123880">
        <w:rPr>
          <w:color w:val="000000"/>
          <w:sz w:val="24"/>
        </w:rPr>
        <w:t>展望</w:t>
      </w:r>
      <w:r w:rsidRPr="00123880">
        <w:rPr>
          <w:color w:val="000000"/>
          <w:sz w:val="24"/>
        </w:rPr>
        <w:t>2017</w:t>
      </w:r>
      <w:r w:rsidRPr="00123880">
        <w:rPr>
          <w:color w:val="000000"/>
          <w:sz w:val="24"/>
        </w:rPr>
        <w:t>年下半年，我们对海外经济总体持谨慎乐观的态度。一方面，美联储加息缩表对流动性有负面影响，但是另一方面，海外经济尤其是美国仍然处于复苏阶段，企业盈利依然强劲，从而有望推动公司股价上涨。欧洲也逐步走出了政治不确定性的阴影，经济重新回到了复苏的轨道上来，欧洲央行虽然近期表态较为强硬，但是我们认为持续偏紧的概率不大，但复苏的进程也不会一蹴而就，中间难免会有一些波动。中国经济依然是影响香港市场的最主要因素，港股尽管上半年涨幅较大，但香港市场整体的估值水平较低，加上中国大陆资金持续流入香港市场，我们认为下半年结构性机会仍然存在，我们将继续关注供给侧改革、科技和一带一路领域的相关标的。我们仍坚持精选个股的投资策略，寻找业绩确定性高、可持续发展的公司，力争为投资者获取较为长期且</w:t>
      </w:r>
      <w:r w:rsidRPr="00123880">
        <w:rPr>
          <w:color w:val="000000"/>
          <w:sz w:val="24"/>
        </w:rPr>
        <w:lastRenderedPageBreak/>
        <w:t>可持续的回报。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2" w:name="_Toc247959457"/>
      <w:bookmarkStart w:id="83" w:name="_Toc225570083"/>
      <w:bookmarkStart w:id="84" w:name="_Toc352255979"/>
      <w:bookmarkStart w:id="85" w:name="_Toc352256047"/>
      <w:bookmarkStart w:id="86"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2"/>
      <w:bookmarkEnd w:id="83"/>
      <w:bookmarkEnd w:id="84"/>
      <w:bookmarkEnd w:id="85"/>
      <w:bookmarkEnd w:id="86"/>
    </w:p>
    <w:p w:rsidR="009E20D1" w:rsidRDefault="009B6B6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E20D1" w:rsidRDefault="009B6B6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7" w:name="_Toc247959458"/>
      <w:bookmarkStart w:id="88" w:name="_Toc225570084"/>
      <w:bookmarkStart w:id="89" w:name="_Toc352255980"/>
      <w:bookmarkStart w:id="90" w:name="_Toc352256048"/>
      <w:bookmarkStart w:id="91"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7"/>
      <w:bookmarkEnd w:id="88"/>
      <w:bookmarkEnd w:id="89"/>
      <w:bookmarkEnd w:id="90"/>
      <w:bookmarkEnd w:id="91"/>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本基金本报告期内曾连续二十个工作日以上出现基金资产净值低于五千万元的情形。截至本报告期末，本基金基金资产净值仍低于五千万元。</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92" w:name="_Toc225498263"/>
      <w:bookmarkStart w:id="93" w:name="_Toc352255982"/>
      <w:bookmarkStart w:id="94" w:name="_Toc352256050"/>
      <w:bookmarkStart w:id="95" w:name="_Toc352331228"/>
      <w:r w:rsidRPr="00123880">
        <w:rPr>
          <w:b/>
          <w:bCs/>
          <w:szCs w:val="24"/>
          <w:lang w:val="en-US"/>
        </w:rPr>
        <w:t xml:space="preserve">5  </w:t>
      </w:r>
      <w:r w:rsidRPr="00123880">
        <w:rPr>
          <w:b/>
          <w:bCs/>
          <w:szCs w:val="24"/>
          <w:lang w:val="en-US"/>
        </w:rPr>
        <w:t>托管人报告</w:t>
      </w:r>
      <w:bookmarkEnd w:id="92"/>
      <w:bookmarkEnd w:id="93"/>
      <w:bookmarkEnd w:id="94"/>
      <w:bookmarkEnd w:id="95"/>
    </w:p>
    <w:p w:rsidR="008A5A5D" w:rsidRPr="00123880" w:rsidRDefault="008A5A5D" w:rsidP="002F2307">
      <w:pPr>
        <w:pStyle w:val="20"/>
        <w:spacing w:before="29" w:after="0" w:line="288" w:lineRule="auto"/>
        <w:rPr>
          <w:rFonts w:ascii="Times New Roman" w:hAnsi="Times New Roman"/>
          <w:kern w:val="0"/>
          <w:szCs w:val="24"/>
        </w:rPr>
      </w:pPr>
      <w:bookmarkStart w:id="96" w:name="_Toc225498264"/>
      <w:bookmarkStart w:id="97" w:name="_Toc352255983"/>
      <w:bookmarkStart w:id="98" w:name="_Toc352256051"/>
      <w:bookmarkStart w:id="99"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6"/>
      <w:bookmarkEnd w:id="97"/>
      <w:bookmarkEnd w:id="98"/>
      <w:bookmarkEnd w:id="99"/>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0" w:name="_Toc225498265"/>
      <w:bookmarkStart w:id="101" w:name="_Toc352255984"/>
      <w:bookmarkStart w:id="102" w:name="_Toc352256052"/>
      <w:bookmarkStart w:id="103"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100"/>
      <w:r w:rsidRPr="00123880">
        <w:rPr>
          <w:rFonts w:ascii="Times New Roman" w:hAnsi="Times New Roman"/>
          <w:kern w:val="0"/>
          <w:szCs w:val="24"/>
        </w:rPr>
        <w:t>说明</w:t>
      </w:r>
      <w:bookmarkEnd w:id="101"/>
      <w:bookmarkEnd w:id="102"/>
      <w:bookmarkEnd w:id="103"/>
    </w:p>
    <w:p w:rsidR="009E20D1" w:rsidRDefault="009B6B6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w:t>
      </w:r>
      <w:r>
        <w:rPr>
          <w:color w:val="000000"/>
          <w:sz w:val="24"/>
        </w:rPr>
        <w:lastRenderedPageBreak/>
        <w:t>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报告期内，本基金未实施利润分配。</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4" w:name="_Toc225498266"/>
      <w:bookmarkStart w:id="105" w:name="_Toc352255985"/>
      <w:bookmarkStart w:id="106" w:name="_Toc352256053"/>
      <w:bookmarkStart w:id="107"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4"/>
      <w:bookmarkEnd w:id="105"/>
      <w:bookmarkEnd w:id="106"/>
      <w:bookmarkEnd w:id="107"/>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08" w:name="_Toc331410096"/>
      <w:r w:rsidRPr="00123880">
        <w:rPr>
          <w:b/>
          <w:bCs/>
          <w:szCs w:val="24"/>
          <w:lang w:val="en-US"/>
        </w:rPr>
        <w:t>6</w:t>
      </w:r>
      <w:bookmarkEnd w:id="108"/>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9" w:name="_Toc225498268"/>
      <w:bookmarkStart w:id="110"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9"/>
      <w:bookmarkEnd w:id="110"/>
    </w:p>
    <w:p w:rsidR="00882F0A" w:rsidRPr="00123880" w:rsidRDefault="00882F0A" w:rsidP="002F2307">
      <w:pPr>
        <w:spacing w:before="29" w:line="288" w:lineRule="auto"/>
        <w:rPr>
          <w:color w:val="000000"/>
          <w:sz w:val="24"/>
        </w:rPr>
      </w:pPr>
      <w:r w:rsidRPr="00123880">
        <w:rPr>
          <w:color w:val="000000"/>
          <w:sz w:val="24"/>
        </w:rPr>
        <w:t>会计主体：交银施罗德全球自然资源证券投资基金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6,078,984.66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13,228,900.55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39,122,362.02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26,641,411.59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39,122,362.02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26,641,411.59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529,863.12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448.20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330.67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642,429.80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63,524.08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31,061.05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46,437,611.88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39,901,703.86</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lastRenderedPageBreak/>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2017</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2,206,027.83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452,123.99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67,364.37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60,615.51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13,098.64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11,786.33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88,990.89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41,292.44</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2,375,481.73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565,818.27</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c>
          <w:tcPr>
            <w:tcW w:w="2479"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31,806,651.57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32,063,310.06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12,255,478.58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7,272,575.53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44,062,130.15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39,335,885.59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46,437,611.88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39,901,703.86</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1.385</w:t>
      </w:r>
      <w:r w:rsidRPr="00123880">
        <w:rPr>
          <w:kern w:val="0"/>
          <w:sz w:val="24"/>
        </w:rPr>
        <w:t>元，基金份额总额</w:t>
      </w:r>
      <w:r w:rsidRPr="00123880">
        <w:rPr>
          <w:kern w:val="0"/>
          <w:sz w:val="24"/>
        </w:rPr>
        <w:t>31,806,651.57</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1" w:name="_Toc225498269"/>
      <w:bookmarkStart w:id="112"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1"/>
      <w:bookmarkEnd w:id="112"/>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2017</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2017</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811D54">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lastRenderedPageBreak/>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lastRenderedPageBreak/>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lastRenderedPageBreak/>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lastRenderedPageBreak/>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6,063,366.70</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-104,013.84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18,443.79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11,038.58</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18,443.79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11,038.58</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3,114,374.68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-6,458,509.41</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2,242,472.36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-6,989,907.77</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811D54">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871,902.32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531,398.36</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3,165,478.28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6,222,925.46</w:t>
            </w:r>
          </w:p>
        </w:tc>
      </w:tr>
      <w:tr w:rsidR="00882F0A" w:rsidRPr="00123880" w:rsidTr="00811D54">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-276,809.31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117,544.84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41,879.26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2,986.69</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785,819.22</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499,959.23</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470,386.40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253,633.65</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91,464.01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49,317.64</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148,790.05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92,038.32</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6</w:t>
            </w:r>
            <w:r w:rsidRPr="00123880">
              <w:rPr>
                <w:color w:val="000000"/>
                <w:sz w:val="24"/>
              </w:rPr>
              <w:t>．其他费用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75,178.76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104,969.62</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5,277,547.48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-603,973.07</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sz w:val="24"/>
              </w:rPr>
              <w:t>减：所得税费用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11D54">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w:t>
            </w:r>
            <w:r w:rsidRPr="00123880">
              <w:rPr>
                <w:b/>
                <w:color w:val="000000"/>
                <w:sz w:val="24"/>
              </w:rPr>
              <w:lastRenderedPageBreak/>
              <w:t>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5,277,547.48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-603,973.07</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3" w:name="_Toc225498270"/>
      <w:bookmarkStart w:id="114" w:name="_Toc352255993"/>
      <w:bookmarkStart w:id="115" w:name="_Toc352256061"/>
      <w:bookmarkStart w:id="116"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3"/>
      <w:bookmarkEnd w:id="114"/>
      <w:bookmarkEnd w:id="115"/>
      <w:bookmarkEnd w:id="116"/>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2017</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2017</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2017</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32,063,310.06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7,272,575.53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39,335,885.59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5,277,547.48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5,277,547.48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-256,658.49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-294,644.43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-551,302.92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27,274,384.06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9,469,258.53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36,743,642.59</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-27,531,042.55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-9,763,902.96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-37,294,945.51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31,806,651.57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12,255,478.58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44,062,130.15</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2016</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26,648,861.69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3,795,845.97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30,444,707.66</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-603,973.07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-603,973.07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w:t>
            </w:r>
            <w:r w:rsidRPr="00123880">
              <w:rPr>
                <w:color w:val="000000"/>
                <w:sz w:val="24"/>
              </w:rPr>
              <w:lastRenderedPageBreak/>
              <w:t>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lastRenderedPageBreak/>
              <w:t>-388,789.63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-36,301.60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-425,091.23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2,103,029.21</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188,023.98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2,291,053.19</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-2,491,818.84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-224,325.58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-2,716,144.42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26,260,072.06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3,155,571.30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29,415,643.36</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7" w:name="_Toc225498271"/>
      <w:bookmarkStart w:id="118" w:name="_Toc352255994"/>
      <w:bookmarkStart w:id="119" w:name="_Toc352256062"/>
      <w:bookmarkStart w:id="120"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7"/>
      <w:bookmarkEnd w:id="118"/>
      <w:bookmarkEnd w:id="119"/>
      <w:bookmarkEnd w:id="120"/>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9E20D1" w:rsidRDefault="009B6B60">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 xml:space="preserve"> 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123880">
        <w:rPr>
          <w:color w:val="000000"/>
          <w:sz w:val="24"/>
        </w:rPr>
        <w:t>(</w:t>
      </w:r>
      <w:r w:rsidRPr="00123880">
        <w:rPr>
          <w:color w:val="000000"/>
          <w:sz w:val="24"/>
        </w:rPr>
        <w:t>包括股票存托凭证</w:t>
      </w:r>
      <w:r w:rsidRPr="00123880">
        <w:rPr>
          <w:color w:val="000000"/>
          <w:sz w:val="24"/>
        </w:rPr>
        <w:t>)</w:t>
      </w:r>
      <w:r w:rsidRPr="00123880">
        <w:rPr>
          <w:color w:val="00000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123880">
        <w:rPr>
          <w:color w:val="000000"/>
          <w:sz w:val="24"/>
        </w:rPr>
        <w:t>(</w:t>
      </w:r>
      <w:r w:rsidRPr="00123880">
        <w:rPr>
          <w:color w:val="000000"/>
          <w:sz w:val="24"/>
        </w:rPr>
        <w:t>含</w:t>
      </w:r>
      <w:r w:rsidRPr="00123880">
        <w:rPr>
          <w:color w:val="000000"/>
          <w:sz w:val="24"/>
        </w:rPr>
        <w:t>ETF)</w:t>
      </w:r>
      <w:r w:rsidRPr="00123880">
        <w:rPr>
          <w:color w:val="000000"/>
          <w:sz w:val="24"/>
        </w:rPr>
        <w:t>等权益类证券占基金资产净值的</w:t>
      </w:r>
      <w:r w:rsidRPr="00123880">
        <w:rPr>
          <w:color w:val="000000"/>
          <w:sz w:val="24"/>
        </w:rPr>
        <w:t>60%-100%</w:t>
      </w:r>
      <w:r w:rsidRPr="00123880">
        <w:rPr>
          <w:color w:val="000000"/>
          <w:sz w:val="24"/>
        </w:rPr>
        <w:t>，其中权益类资产中不低于</w:t>
      </w:r>
      <w:r w:rsidRPr="00123880">
        <w:rPr>
          <w:color w:val="000000"/>
          <w:sz w:val="24"/>
        </w:rPr>
        <w:t>80%</w:t>
      </w:r>
      <w:r w:rsidRPr="00123880">
        <w:rPr>
          <w:color w:val="000000"/>
          <w:sz w:val="24"/>
        </w:rPr>
        <w:t>配置于自然资源相关行业股票；债券、货币市场工具、现金及中国证监会允许基金投资</w:t>
      </w:r>
      <w:r w:rsidRPr="00123880">
        <w:rPr>
          <w:color w:val="000000"/>
          <w:sz w:val="24"/>
        </w:rPr>
        <w:lastRenderedPageBreak/>
        <w:t>的其他证券品种占基金资产的</w:t>
      </w:r>
      <w:r w:rsidRPr="00123880">
        <w:rPr>
          <w:color w:val="000000"/>
          <w:sz w:val="24"/>
        </w:rPr>
        <w:t>0%-40%</w:t>
      </w:r>
      <w:r w:rsidRPr="00123880">
        <w:rPr>
          <w:color w:val="000000"/>
          <w:sz w:val="24"/>
        </w:rPr>
        <w:t>。本基金的业绩比较基准为：</w:t>
      </w:r>
      <w:r w:rsidRPr="00123880">
        <w:rPr>
          <w:color w:val="000000"/>
          <w:sz w:val="24"/>
        </w:rPr>
        <w:t>MSCI</w:t>
      </w:r>
      <w:r w:rsidRPr="00123880">
        <w:rPr>
          <w:color w:val="000000"/>
          <w:sz w:val="24"/>
        </w:rPr>
        <w:t>全球原材料总收益指数收益率</w:t>
      </w:r>
      <w:r w:rsidRPr="00123880">
        <w:rPr>
          <w:color w:val="000000"/>
          <w:sz w:val="24"/>
        </w:rPr>
        <w:t>×65%</w:t>
      </w:r>
      <w:r w:rsidRPr="00123880">
        <w:rPr>
          <w:color w:val="000000"/>
          <w:sz w:val="24"/>
        </w:rPr>
        <w:t>＋</w:t>
      </w:r>
      <w:r w:rsidRPr="00123880">
        <w:rPr>
          <w:color w:val="000000"/>
          <w:sz w:val="24"/>
        </w:rPr>
        <w:t>MSCI</w:t>
      </w:r>
      <w:r w:rsidRPr="00123880">
        <w:rPr>
          <w:color w:val="000000"/>
          <w:sz w:val="24"/>
        </w:rPr>
        <w:t>全球能源总收益指数收益率</w:t>
      </w:r>
      <w:r w:rsidRPr="00123880">
        <w:rPr>
          <w:color w:val="000000"/>
          <w:sz w:val="24"/>
        </w:rPr>
        <w:t>×35%</w:t>
      </w:r>
      <w:r w:rsidRPr="00123880">
        <w:rPr>
          <w:color w:val="000000"/>
          <w:sz w:val="24"/>
        </w:rPr>
        <w:t>。</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）颁布的《证券投资基金会计核算业务指引》、《交银施罗德全球自然资源证券投资基金基金合同》和在财务报表附注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2017</w:t>
      </w:r>
      <w:r w:rsidRPr="00123880">
        <w:rPr>
          <w:color w:val="000000"/>
          <w:sz w:val="24"/>
        </w:rPr>
        <w:t>年上半年度财务报表符合企业会计准则的要求，真实、完整地反映了本基金</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2017</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9E20D1" w:rsidRDefault="009B6B6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号《关于金融机构同业往来等增值税政策的补充通知》及其他相关境内外税务法规和实务操作，主要税项列示如下：</w:t>
      </w:r>
    </w:p>
    <w:p w:rsidR="009E20D1" w:rsidRDefault="009B6B60">
      <w:pPr>
        <w:spacing w:before="29" w:line="288" w:lineRule="auto"/>
        <w:ind w:firstLineChars="200" w:firstLine="480"/>
        <w:rPr>
          <w:color w:val="000000"/>
          <w:sz w:val="24"/>
        </w:rPr>
      </w:pPr>
      <w:r>
        <w:rPr>
          <w:color w:val="000000"/>
          <w:sz w:val="24"/>
        </w:rPr>
        <w:lastRenderedPageBreak/>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日起，金融业由缴纳营业税改为缴纳增值税。对金融同业往来利息收入亦免征增值税。</w:t>
      </w:r>
    </w:p>
    <w:p w:rsidR="009E20D1" w:rsidRDefault="009B6B60">
      <w:pPr>
        <w:spacing w:before="29" w:line="288" w:lineRule="auto"/>
        <w:ind w:firstLineChars="200" w:firstLine="480"/>
        <w:rPr>
          <w:color w:val="000000"/>
          <w:sz w:val="24"/>
        </w:rPr>
      </w:pPr>
      <w:r>
        <w:rPr>
          <w:color w:val="000000"/>
          <w:sz w:val="24"/>
        </w:rPr>
        <w:t>(2)</w:t>
      </w:r>
      <w:r>
        <w:rPr>
          <w:color w:val="000000"/>
          <w:sz w:val="24"/>
        </w:rPr>
        <w:t>目前基金取得的源自境外的差价收入，其涉及的境外所得税税收政策，按照相关国家或地区税收法律和法规执行，在境内不予征收营业税</w:t>
      </w:r>
      <w:r>
        <w:rPr>
          <w:color w:val="000000"/>
          <w:sz w:val="24"/>
        </w:rPr>
        <w:t>(</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w:t>
      </w:r>
      <w:r>
        <w:rPr>
          <w:color w:val="000000"/>
          <w:sz w:val="24"/>
        </w:rPr>
        <w:t>)</w:t>
      </w:r>
      <w:r>
        <w:rPr>
          <w:color w:val="000000"/>
          <w:sz w:val="24"/>
        </w:rPr>
        <w:t>或增值税</w:t>
      </w:r>
      <w:r>
        <w:rPr>
          <w:color w:val="000000"/>
          <w:sz w:val="24"/>
        </w:rPr>
        <w:t>(</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w:t>
      </w:r>
      <w:r>
        <w:rPr>
          <w:color w:val="000000"/>
          <w:sz w:val="24"/>
        </w:rPr>
        <w:t>)</w:t>
      </w:r>
      <w:r>
        <w:rPr>
          <w:color w:val="000000"/>
          <w:sz w:val="24"/>
        </w:rPr>
        <w:t>且暂不征收企业所得税。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(3)</w:t>
      </w:r>
      <w:r w:rsidRPr="00123880">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9E20D1">
        <w:tc>
          <w:tcPr>
            <w:tcW w:w="5219" w:type="dxa"/>
            <w:vAlign w:val="center"/>
          </w:tcPr>
          <w:p w:rsidR="009E20D1" w:rsidRDefault="009B6B6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E20D1" w:rsidRDefault="009B6B60">
            <w:pPr>
              <w:jc w:val="left"/>
            </w:pPr>
            <w:r>
              <w:rPr>
                <w:color w:val="000000"/>
                <w:sz w:val="24"/>
              </w:rPr>
              <w:t>基金管理人、基金销售机构</w:t>
            </w:r>
          </w:p>
        </w:tc>
      </w:tr>
      <w:tr w:rsidR="009E20D1">
        <w:tc>
          <w:tcPr>
            <w:tcW w:w="5219" w:type="dxa"/>
            <w:vAlign w:val="center"/>
          </w:tcPr>
          <w:p w:rsidR="009E20D1" w:rsidRDefault="009B6B6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E20D1" w:rsidRDefault="009B6B60">
            <w:pPr>
              <w:jc w:val="left"/>
            </w:pPr>
            <w:r>
              <w:rPr>
                <w:color w:val="000000"/>
                <w:sz w:val="24"/>
              </w:rPr>
              <w:t>基金托管人、基金销售机构</w:t>
            </w:r>
          </w:p>
        </w:tc>
      </w:tr>
      <w:tr w:rsidR="009E20D1">
        <w:tc>
          <w:tcPr>
            <w:tcW w:w="5219" w:type="dxa"/>
            <w:vAlign w:val="center"/>
          </w:tcPr>
          <w:p w:rsidR="009E20D1" w:rsidRDefault="009B6B6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E20D1" w:rsidRDefault="009B6B60">
            <w:pPr>
              <w:jc w:val="left"/>
            </w:pPr>
            <w:r>
              <w:rPr>
                <w:color w:val="000000"/>
                <w:sz w:val="24"/>
              </w:rPr>
              <w:t>基金管理人的股东、基金销售机构</w:t>
            </w:r>
          </w:p>
        </w:tc>
      </w:tr>
      <w:tr w:rsidR="009E20D1">
        <w:tc>
          <w:tcPr>
            <w:tcW w:w="5219" w:type="dxa"/>
            <w:vAlign w:val="center"/>
          </w:tcPr>
          <w:p w:rsidR="009E20D1" w:rsidRDefault="009B6B60">
            <w:pPr>
              <w:jc w:val="left"/>
            </w:pPr>
            <w:r>
              <w:rPr>
                <w:color w:val="000000"/>
                <w:sz w:val="24"/>
              </w:rPr>
              <w:t>摩根大通银行</w:t>
            </w:r>
            <w:r>
              <w:rPr>
                <w:color w:val="000000"/>
                <w:sz w:val="24"/>
              </w:rPr>
              <w:t>(JPMorgan &amp;Chase Bank, N.A.)</w:t>
            </w:r>
          </w:p>
        </w:tc>
        <w:tc>
          <w:tcPr>
            <w:tcW w:w="3779" w:type="dxa"/>
            <w:vAlign w:val="center"/>
          </w:tcPr>
          <w:p w:rsidR="009E20D1" w:rsidRDefault="009B6B60">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470,386.40</w:t>
            </w:r>
          </w:p>
        </w:tc>
        <w:tc>
          <w:tcPr>
            <w:tcW w:w="3112" w:type="dxa"/>
            <w:vAlign w:val="center"/>
          </w:tcPr>
          <w:p w:rsidR="008A5A5D" w:rsidRPr="00123880" w:rsidRDefault="008A5A5D" w:rsidP="002F2307">
            <w:pPr>
              <w:spacing w:before="29" w:line="288" w:lineRule="auto"/>
              <w:jc w:val="right"/>
              <w:rPr>
                <w:sz w:val="24"/>
              </w:rPr>
            </w:pPr>
            <w:r w:rsidRPr="00123880">
              <w:rPr>
                <w:sz w:val="24"/>
              </w:rPr>
              <w:t>253,633.65</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154,448.49</w:t>
            </w:r>
          </w:p>
        </w:tc>
        <w:tc>
          <w:tcPr>
            <w:tcW w:w="3112" w:type="dxa"/>
            <w:vAlign w:val="center"/>
          </w:tcPr>
          <w:p w:rsidR="008A5A5D" w:rsidRPr="00123880" w:rsidRDefault="008A5A5D" w:rsidP="002F2307">
            <w:pPr>
              <w:spacing w:before="29" w:line="288" w:lineRule="auto"/>
              <w:jc w:val="right"/>
              <w:rPr>
                <w:sz w:val="24"/>
              </w:rPr>
            </w:pPr>
            <w:r w:rsidRPr="00123880">
              <w:rPr>
                <w:sz w:val="24"/>
              </w:rPr>
              <w:t>97,869.22</w:t>
            </w:r>
          </w:p>
        </w:tc>
      </w:tr>
    </w:tbl>
    <w:p w:rsidR="009E20D1" w:rsidRDefault="009B6B60">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91,464.01</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49,317.64</w:t>
            </w:r>
          </w:p>
        </w:tc>
      </w:tr>
    </w:tbl>
    <w:p w:rsidR="009E20D1" w:rsidRDefault="009B6B6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本报告期内及上年度可比期间未发生基金管理人运用固有资金投资本基金的情况。</w:t>
      </w:r>
    </w:p>
    <w:p w:rsidR="005146F7" w:rsidRPr="00123880" w:rsidRDefault="005146F7" w:rsidP="002F2307">
      <w:pPr>
        <w:tabs>
          <w:tab w:val="left" w:pos="426"/>
        </w:tabs>
        <w:spacing w:before="29" w:line="288" w:lineRule="auto"/>
        <w:jc w:val="left"/>
        <w:rPr>
          <w:kern w:val="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2017</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2016</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2016</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9E20D1">
        <w:tc>
          <w:tcPr>
            <w:tcW w:w="1526" w:type="dxa"/>
            <w:vAlign w:val="center"/>
          </w:tcPr>
          <w:p w:rsidR="009E20D1" w:rsidRDefault="009B6B60">
            <w:pPr>
              <w:jc w:val="left"/>
            </w:pPr>
            <w:r>
              <w:rPr>
                <w:sz w:val="24"/>
              </w:rPr>
              <w:lastRenderedPageBreak/>
              <w:t>中国建设银行</w:t>
            </w:r>
          </w:p>
        </w:tc>
        <w:tc>
          <w:tcPr>
            <w:tcW w:w="1851" w:type="dxa"/>
            <w:vAlign w:val="center"/>
          </w:tcPr>
          <w:p w:rsidR="009E20D1" w:rsidRDefault="009B6B60">
            <w:pPr>
              <w:jc w:val="right"/>
            </w:pPr>
            <w:r>
              <w:rPr>
                <w:sz w:val="24"/>
              </w:rPr>
              <w:t>4,783,068.09</w:t>
            </w:r>
          </w:p>
        </w:tc>
        <w:tc>
          <w:tcPr>
            <w:tcW w:w="1851" w:type="dxa"/>
            <w:vAlign w:val="center"/>
          </w:tcPr>
          <w:p w:rsidR="009E20D1" w:rsidRDefault="009B6B60">
            <w:pPr>
              <w:jc w:val="right"/>
            </w:pPr>
            <w:r>
              <w:rPr>
                <w:sz w:val="24"/>
              </w:rPr>
              <w:t>18,229.67</w:t>
            </w:r>
          </w:p>
        </w:tc>
        <w:tc>
          <w:tcPr>
            <w:tcW w:w="1851" w:type="dxa"/>
            <w:vAlign w:val="center"/>
          </w:tcPr>
          <w:p w:rsidR="009E20D1" w:rsidRDefault="009B6B60">
            <w:pPr>
              <w:jc w:val="right"/>
            </w:pPr>
            <w:r>
              <w:rPr>
                <w:sz w:val="24"/>
              </w:rPr>
              <w:t>1,583,908.51</w:t>
            </w:r>
          </w:p>
        </w:tc>
        <w:tc>
          <w:tcPr>
            <w:tcW w:w="1851" w:type="dxa"/>
            <w:vAlign w:val="center"/>
          </w:tcPr>
          <w:p w:rsidR="009E20D1" w:rsidRDefault="009B6B60">
            <w:pPr>
              <w:jc w:val="right"/>
            </w:pPr>
            <w:r>
              <w:rPr>
                <w:sz w:val="24"/>
              </w:rPr>
              <w:t>11,034.51</w:t>
            </w:r>
          </w:p>
        </w:tc>
      </w:tr>
      <w:tr w:rsidR="009E20D1">
        <w:tc>
          <w:tcPr>
            <w:tcW w:w="1526" w:type="dxa"/>
            <w:vAlign w:val="center"/>
          </w:tcPr>
          <w:p w:rsidR="009E20D1" w:rsidRDefault="009B6B60">
            <w:pPr>
              <w:jc w:val="left"/>
            </w:pPr>
            <w:r>
              <w:rPr>
                <w:sz w:val="24"/>
              </w:rPr>
              <w:t>摩根大通银行</w:t>
            </w:r>
          </w:p>
        </w:tc>
        <w:tc>
          <w:tcPr>
            <w:tcW w:w="1851" w:type="dxa"/>
            <w:vAlign w:val="center"/>
          </w:tcPr>
          <w:p w:rsidR="009E20D1" w:rsidRDefault="009B6B60">
            <w:pPr>
              <w:jc w:val="right"/>
            </w:pPr>
            <w:r>
              <w:rPr>
                <w:sz w:val="24"/>
              </w:rPr>
              <w:t>1,295,916.57</w:t>
            </w:r>
          </w:p>
        </w:tc>
        <w:tc>
          <w:tcPr>
            <w:tcW w:w="1851" w:type="dxa"/>
            <w:vAlign w:val="center"/>
          </w:tcPr>
          <w:p w:rsidR="009E20D1" w:rsidRDefault="009B6B60">
            <w:pPr>
              <w:jc w:val="right"/>
            </w:pPr>
            <w:r>
              <w:rPr>
                <w:sz w:val="24"/>
              </w:rPr>
              <w:t>-</w:t>
            </w:r>
          </w:p>
        </w:tc>
        <w:tc>
          <w:tcPr>
            <w:tcW w:w="1851" w:type="dxa"/>
            <w:vAlign w:val="center"/>
          </w:tcPr>
          <w:p w:rsidR="009E20D1" w:rsidRDefault="009B6B60">
            <w:pPr>
              <w:jc w:val="right"/>
            </w:pPr>
            <w:r>
              <w:rPr>
                <w:sz w:val="24"/>
              </w:rPr>
              <w:t>7,982,137.26</w:t>
            </w:r>
          </w:p>
        </w:tc>
        <w:tc>
          <w:tcPr>
            <w:tcW w:w="1851" w:type="dxa"/>
            <w:vAlign w:val="center"/>
          </w:tcPr>
          <w:p w:rsidR="009E20D1" w:rsidRDefault="009B6B60">
            <w:pPr>
              <w:jc w:val="right"/>
            </w:pPr>
            <w:r>
              <w:rPr>
                <w:sz w:val="24"/>
              </w:rPr>
              <w:t>-</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color w:val="000000"/>
          <w:sz w:val="24"/>
        </w:rPr>
      </w:pPr>
      <w:r w:rsidRPr="00123880">
        <w:rPr>
          <w:b/>
          <w:bCs/>
          <w:color w:val="000000"/>
          <w:kern w:val="0"/>
          <w:sz w:val="24"/>
        </w:rPr>
        <w:t>6.4.8.7</w:t>
      </w:r>
      <w:r w:rsidRPr="00123880">
        <w:rPr>
          <w:b/>
          <w:color w:val="000000"/>
          <w:sz w:val="24"/>
        </w:rPr>
        <w:t>其他关联交易事项的说明</w:t>
      </w:r>
    </w:p>
    <w:p w:rsidR="008A5A5D" w:rsidRPr="00123880" w:rsidRDefault="008A5A5D" w:rsidP="00383F57">
      <w:pPr>
        <w:spacing w:before="29" w:line="288" w:lineRule="auto"/>
        <w:rPr>
          <w:color w:val="000000"/>
          <w:sz w:val="24"/>
        </w:rPr>
      </w:pPr>
      <w:r w:rsidRPr="00123880">
        <w:rPr>
          <w:color w:val="000000"/>
          <w:sz w:val="24"/>
        </w:rPr>
        <w:t>本基金本报告期内及上年度可比期间无其他关联交易事项。</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2017</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383F57">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52255995"/>
      <w:bookmarkStart w:id="123" w:name="_Toc352256063"/>
      <w:bookmarkStart w:id="124" w:name="_Toc352331241"/>
      <w:r w:rsidRPr="00123880">
        <w:rPr>
          <w:b/>
          <w:bCs/>
          <w:szCs w:val="24"/>
          <w:lang w:val="en-US"/>
        </w:rPr>
        <w:t>7</w:t>
      </w:r>
      <w:r w:rsidRPr="00123880">
        <w:rPr>
          <w:b/>
          <w:bCs/>
          <w:szCs w:val="24"/>
          <w:lang w:val="en-US"/>
        </w:rPr>
        <w:t>投资组合报告</w:t>
      </w:r>
      <w:bookmarkEnd w:id="121"/>
      <w:bookmarkEnd w:id="122"/>
      <w:bookmarkEnd w:id="123"/>
      <w:bookmarkEnd w:id="124"/>
    </w:p>
    <w:p w:rsidR="008A5A5D" w:rsidRPr="00123880" w:rsidRDefault="008A5A5D" w:rsidP="002F2307">
      <w:pPr>
        <w:pStyle w:val="20"/>
        <w:spacing w:before="29" w:after="0" w:line="288" w:lineRule="auto"/>
        <w:rPr>
          <w:rFonts w:ascii="Times New Roman" w:hAnsi="Times New Roman"/>
          <w:kern w:val="0"/>
          <w:szCs w:val="24"/>
        </w:rPr>
      </w:pPr>
      <w:bookmarkStart w:id="125" w:name="_Toc225498273"/>
      <w:bookmarkStart w:id="126" w:name="_Toc352255996"/>
      <w:bookmarkStart w:id="127" w:name="_Toc352256064"/>
      <w:bookmarkStart w:id="128"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5"/>
      <w:bookmarkEnd w:id="126"/>
      <w:bookmarkEnd w:id="127"/>
      <w:bookmarkEnd w:id="128"/>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39,122,362.02</w:t>
            </w:r>
          </w:p>
        </w:tc>
        <w:tc>
          <w:tcPr>
            <w:tcW w:w="1980" w:type="dxa"/>
            <w:vAlign w:val="center"/>
          </w:tcPr>
          <w:p w:rsidR="008A5A5D" w:rsidRPr="00123880" w:rsidRDefault="008A5A5D" w:rsidP="002F2307">
            <w:pPr>
              <w:spacing w:before="29" w:line="288" w:lineRule="auto"/>
              <w:jc w:val="right"/>
              <w:rPr>
                <w:sz w:val="24"/>
              </w:rPr>
            </w:pPr>
            <w:r w:rsidRPr="00123880">
              <w:rPr>
                <w:sz w:val="24"/>
              </w:rPr>
              <w:t>84.25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39,122,362.02</w:t>
            </w:r>
          </w:p>
        </w:tc>
        <w:tc>
          <w:tcPr>
            <w:tcW w:w="1980" w:type="dxa"/>
            <w:vAlign w:val="center"/>
          </w:tcPr>
          <w:p w:rsidR="008A5A5D" w:rsidRPr="00123880" w:rsidRDefault="008A5A5D" w:rsidP="002F2307">
            <w:pPr>
              <w:spacing w:before="29" w:line="288" w:lineRule="auto"/>
              <w:jc w:val="right"/>
              <w:rPr>
                <w:sz w:val="24"/>
              </w:rPr>
            </w:pPr>
            <w:r w:rsidRPr="00123880">
              <w:rPr>
                <w:sz w:val="24"/>
              </w:rPr>
              <w:t>84.25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w:t>
            </w:r>
          </w:p>
        </w:tc>
        <w:tc>
          <w:tcPr>
            <w:tcW w:w="1980" w:type="dxa"/>
            <w:vAlign w:val="center"/>
          </w:tcPr>
          <w:p w:rsidR="008A5A5D" w:rsidRPr="00123880" w:rsidRDefault="008A5A5D"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lastRenderedPageBreak/>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6,078,984.66</w:t>
            </w:r>
          </w:p>
        </w:tc>
        <w:tc>
          <w:tcPr>
            <w:tcW w:w="1980" w:type="dxa"/>
            <w:vAlign w:val="center"/>
          </w:tcPr>
          <w:p w:rsidR="00380273" w:rsidRPr="00123880" w:rsidRDefault="00380273" w:rsidP="002F2307">
            <w:pPr>
              <w:spacing w:before="29" w:line="288" w:lineRule="auto"/>
              <w:jc w:val="right"/>
              <w:rPr>
                <w:sz w:val="24"/>
              </w:rPr>
            </w:pPr>
            <w:r w:rsidRPr="00123880">
              <w:rPr>
                <w:sz w:val="24"/>
              </w:rPr>
              <w:t>13.09</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1,236,265.20</w:t>
            </w:r>
          </w:p>
        </w:tc>
        <w:tc>
          <w:tcPr>
            <w:tcW w:w="1980" w:type="dxa"/>
            <w:vAlign w:val="center"/>
          </w:tcPr>
          <w:p w:rsidR="00380273" w:rsidRPr="00123880" w:rsidRDefault="00380273" w:rsidP="002F2307">
            <w:pPr>
              <w:spacing w:before="29" w:line="288" w:lineRule="auto"/>
              <w:jc w:val="right"/>
              <w:rPr>
                <w:sz w:val="24"/>
              </w:rPr>
            </w:pPr>
            <w:r w:rsidRPr="00123880">
              <w:rPr>
                <w:sz w:val="24"/>
              </w:rPr>
              <w:t>2.66</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46,437,611.88</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9E20D1">
        <w:tc>
          <w:tcPr>
            <w:tcW w:w="1998" w:type="dxa"/>
            <w:vAlign w:val="center"/>
          </w:tcPr>
          <w:p w:rsidR="009E20D1" w:rsidRDefault="009B6B60">
            <w:pPr>
              <w:jc w:val="left"/>
            </w:pPr>
            <w:r>
              <w:rPr>
                <w:color w:val="000000"/>
                <w:sz w:val="24"/>
              </w:rPr>
              <w:t>香港</w:t>
            </w:r>
          </w:p>
        </w:tc>
        <w:tc>
          <w:tcPr>
            <w:tcW w:w="3459" w:type="dxa"/>
            <w:vAlign w:val="center"/>
          </w:tcPr>
          <w:p w:rsidR="009E20D1" w:rsidRDefault="009B6B60">
            <w:pPr>
              <w:jc w:val="right"/>
            </w:pPr>
            <w:r>
              <w:rPr>
                <w:color w:val="000000"/>
                <w:sz w:val="24"/>
              </w:rPr>
              <w:t>39,122,362.02</w:t>
            </w:r>
          </w:p>
        </w:tc>
        <w:tc>
          <w:tcPr>
            <w:tcW w:w="3541" w:type="dxa"/>
            <w:vAlign w:val="center"/>
          </w:tcPr>
          <w:p w:rsidR="009E20D1" w:rsidRDefault="009B6B60">
            <w:pPr>
              <w:jc w:val="right"/>
            </w:pPr>
            <w:r>
              <w:rPr>
                <w:color w:val="000000"/>
                <w:sz w:val="24"/>
              </w:rPr>
              <w:t>88.79</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39,122,362.02</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88.79</w:t>
            </w:r>
          </w:p>
        </w:tc>
      </w:tr>
    </w:tbl>
    <w:p w:rsidR="009E20D1" w:rsidRDefault="009B6B60">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29" w:name="_Toc224618378"/>
      <w:bookmarkStart w:id="130" w:name="_Toc248233025"/>
      <w:bookmarkStart w:id="131" w:name="_Toc249790557"/>
      <w:bookmarkStart w:id="132" w:name="_Toc286929758"/>
      <w:bookmarkStart w:id="133" w:name="_Toc352255997"/>
      <w:bookmarkStart w:id="134" w:name="_Toc352256065"/>
      <w:bookmarkStart w:id="135"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29"/>
      <w:bookmarkEnd w:id="130"/>
      <w:bookmarkEnd w:id="131"/>
      <w:bookmarkEnd w:id="132"/>
      <w:bookmarkEnd w:id="133"/>
      <w:bookmarkEnd w:id="134"/>
      <w:bookmarkEnd w:id="135"/>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9E20D1">
        <w:tc>
          <w:tcPr>
            <w:tcW w:w="3561" w:type="dxa"/>
            <w:vAlign w:val="center"/>
          </w:tcPr>
          <w:p w:rsidR="009E20D1" w:rsidRDefault="009B6B60">
            <w:pPr>
              <w:jc w:val="left"/>
            </w:pPr>
            <w:r>
              <w:rPr>
                <w:color w:val="000000"/>
                <w:sz w:val="24"/>
              </w:rPr>
              <w:t>能源</w:t>
            </w:r>
          </w:p>
        </w:tc>
        <w:tc>
          <w:tcPr>
            <w:tcW w:w="3000" w:type="dxa"/>
            <w:vAlign w:val="center"/>
          </w:tcPr>
          <w:p w:rsidR="009E20D1" w:rsidRDefault="009B6B60">
            <w:pPr>
              <w:jc w:val="right"/>
            </w:pPr>
            <w:r>
              <w:rPr>
                <w:color w:val="000000"/>
                <w:sz w:val="24"/>
              </w:rPr>
              <w:t>6,199,567.77</w:t>
            </w:r>
          </w:p>
        </w:tc>
        <w:tc>
          <w:tcPr>
            <w:tcW w:w="2437" w:type="dxa"/>
            <w:vAlign w:val="center"/>
          </w:tcPr>
          <w:p w:rsidR="009E20D1" w:rsidRDefault="009B6B60">
            <w:pPr>
              <w:jc w:val="right"/>
            </w:pPr>
            <w:r>
              <w:rPr>
                <w:color w:val="000000"/>
                <w:sz w:val="24"/>
              </w:rPr>
              <w:t>14.07</w:t>
            </w:r>
          </w:p>
        </w:tc>
      </w:tr>
      <w:tr w:rsidR="009E20D1">
        <w:tc>
          <w:tcPr>
            <w:tcW w:w="3561" w:type="dxa"/>
            <w:vAlign w:val="center"/>
          </w:tcPr>
          <w:p w:rsidR="009E20D1" w:rsidRDefault="009B6B60">
            <w:pPr>
              <w:jc w:val="left"/>
            </w:pPr>
            <w:r>
              <w:rPr>
                <w:color w:val="000000"/>
                <w:sz w:val="24"/>
              </w:rPr>
              <w:t>工业</w:t>
            </w:r>
          </w:p>
        </w:tc>
        <w:tc>
          <w:tcPr>
            <w:tcW w:w="3000" w:type="dxa"/>
            <w:vAlign w:val="center"/>
          </w:tcPr>
          <w:p w:rsidR="009E20D1" w:rsidRDefault="009B6B60">
            <w:pPr>
              <w:jc w:val="right"/>
            </w:pPr>
            <w:r>
              <w:rPr>
                <w:color w:val="000000"/>
                <w:sz w:val="24"/>
              </w:rPr>
              <w:t>6,094,129.99</w:t>
            </w:r>
          </w:p>
        </w:tc>
        <w:tc>
          <w:tcPr>
            <w:tcW w:w="2437" w:type="dxa"/>
            <w:vAlign w:val="center"/>
          </w:tcPr>
          <w:p w:rsidR="009E20D1" w:rsidRDefault="009B6B60">
            <w:pPr>
              <w:jc w:val="right"/>
            </w:pPr>
            <w:r>
              <w:rPr>
                <w:color w:val="000000"/>
                <w:sz w:val="24"/>
              </w:rPr>
              <w:t>13.83</w:t>
            </w:r>
          </w:p>
        </w:tc>
      </w:tr>
      <w:tr w:rsidR="009E20D1">
        <w:tc>
          <w:tcPr>
            <w:tcW w:w="3561" w:type="dxa"/>
            <w:vAlign w:val="center"/>
          </w:tcPr>
          <w:p w:rsidR="009E20D1" w:rsidRDefault="009B6B60">
            <w:pPr>
              <w:jc w:val="left"/>
            </w:pPr>
            <w:r>
              <w:rPr>
                <w:color w:val="000000"/>
                <w:sz w:val="24"/>
              </w:rPr>
              <w:t>材料</w:t>
            </w:r>
          </w:p>
        </w:tc>
        <w:tc>
          <w:tcPr>
            <w:tcW w:w="3000" w:type="dxa"/>
            <w:vAlign w:val="center"/>
          </w:tcPr>
          <w:p w:rsidR="009E20D1" w:rsidRDefault="009B6B60">
            <w:pPr>
              <w:jc w:val="right"/>
            </w:pPr>
            <w:r>
              <w:rPr>
                <w:color w:val="000000"/>
                <w:sz w:val="24"/>
              </w:rPr>
              <w:t>5,347,387.55</w:t>
            </w:r>
          </w:p>
        </w:tc>
        <w:tc>
          <w:tcPr>
            <w:tcW w:w="2437" w:type="dxa"/>
            <w:vAlign w:val="center"/>
          </w:tcPr>
          <w:p w:rsidR="009E20D1" w:rsidRDefault="009B6B60">
            <w:pPr>
              <w:jc w:val="right"/>
            </w:pPr>
            <w:r>
              <w:rPr>
                <w:color w:val="000000"/>
                <w:sz w:val="24"/>
              </w:rPr>
              <w:t>12.14</w:t>
            </w:r>
          </w:p>
        </w:tc>
      </w:tr>
      <w:tr w:rsidR="009E20D1">
        <w:tc>
          <w:tcPr>
            <w:tcW w:w="3561" w:type="dxa"/>
            <w:vAlign w:val="center"/>
          </w:tcPr>
          <w:p w:rsidR="009E20D1" w:rsidRDefault="009B6B60">
            <w:pPr>
              <w:jc w:val="left"/>
            </w:pPr>
            <w:r>
              <w:rPr>
                <w:color w:val="000000"/>
                <w:sz w:val="24"/>
              </w:rPr>
              <w:t>非必需消费品</w:t>
            </w:r>
          </w:p>
        </w:tc>
        <w:tc>
          <w:tcPr>
            <w:tcW w:w="3000" w:type="dxa"/>
            <w:vAlign w:val="center"/>
          </w:tcPr>
          <w:p w:rsidR="009E20D1" w:rsidRDefault="009B6B60">
            <w:pPr>
              <w:jc w:val="right"/>
            </w:pPr>
            <w:r>
              <w:rPr>
                <w:color w:val="000000"/>
                <w:sz w:val="24"/>
              </w:rPr>
              <w:t>5,005,474.10</w:t>
            </w:r>
          </w:p>
        </w:tc>
        <w:tc>
          <w:tcPr>
            <w:tcW w:w="2437" w:type="dxa"/>
            <w:vAlign w:val="center"/>
          </w:tcPr>
          <w:p w:rsidR="009E20D1" w:rsidRDefault="009B6B60">
            <w:pPr>
              <w:jc w:val="right"/>
            </w:pPr>
            <w:r>
              <w:rPr>
                <w:color w:val="000000"/>
                <w:sz w:val="24"/>
              </w:rPr>
              <w:t>11.36</w:t>
            </w:r>
          </w:p>
        </w:tc>
      </w:tr>
      <w:tr w:rsidR="009E20D1">
        <w:tc>
          <w:tcPr>
            <w:tcW w:w="3561" w:type="dxa"/>
            <w:vAlign w:val="center"/>
          </w:tcPr>
          <w:p w:rsidR="009E20D1" w:rsidRDefault="009B6B60">
            <w:pPr>
              <w:jc w:val="left"/>
            </w:pPr>
            <w:r>
              <w:rPr>
                <w:color w:val="000000"/>
                <w:sz w:val="24"/>
              </w:rPr>
              <w:t>公共事业</w:t>
            </w:r>
          </w:p>
        </w:tc>
        <w:tc>
          <w:tcPr>
            <w:tcW w:w="3000" w:type="dxa"/>
            <w:vAlign w:val="center"/>
          </w:tcPr>
          <w:p w:rsidR="009E20D1" w:rsidRDefault="009B6B60">
            <w:pPr>
              <w:jc w:val="right"/>
            </w:pPr>
            <w:r>
              <w:rPr>
                <w:color w:val="000000"/>
                <w:sz w:val="24"/>
              </w:rPr>
              <w:t>4,815,425.75</w:t>
            </w:r>
          </w:p>
        </w:tc>
        <w:tc>
          <w:tcPr>
            <w:tcW w:w="2437" w:type="dxa"/>
            <w:vAlign w:val="center"/>
          </w:tcPr>
          <w:p w:rsidR="009E20D1" w:rsidRDefault="009B6B60">
            <w:pPr>
              <w:jc w:val="right"/>
            </w:pPr>
            <w:r>
              <w:rPr>
                <w:color w:val="000000"/>
                <w:sz w:val="24"/>
              </w:rPr>
              <w:t>10.93</w:t>
            </w:r>
          </w:p>
        </w:tc>
      </w:tr>
      <w:tr w:rsidR="009E20D1">
        <w:tc>
          <w:tcPr>
            <w:tcW w:w="3561" w:type="dxa"/>
            <w:vAlign w:val="center"/>
          </w:tcPr>
          <w:p w:rsidR="009E20D1" w:rsidRDefault="009B6B60">
            <w:pPr>
              <w:jc w:val="left"/>
            </w:pPr>
            <w:r>
              <w:rPr>
                <w:color w:val="000000"/>
                <w:sz w:val="24"/>
              </w:rPr>
              <w:t>信息技术</w:t>
            </w:r>
          </w:p>
        </w:tc>
        <w:tc>
          <w:tcPr>
            <w:tcW w:w="3000" w:type="dxa"/>
            <w:vAlign w:val="center"/>
          </w:tcPr>
          <w:p w:rsidR="009E20D1" w:rsidRDefault="009B6B60">
            <w:pPr>
              <w:jc w:val="right"/>
            </w:pPr>
            <w:r>
              <w:rPr>
                <w:color w:val="000000"/>
                <w:sz w:val="24"/>
              </w:rPr>
              <w:t>4,156,765.07</w:t>
            </w:r>
          </w:p>
        </w:tc>
        <w:tc>
          <w:tcPr>
            <w:tcW w:w="2437" w:type="dxa"/>
            <w:vAlign w:val="center"/>
          </w:tcPr>
          <w:p w:rsidR="009E20D1" w:rsidRDefault="009B6B60">
            <w:pPr>
              <w:jc w:val="right"/>
            </w:pPr>
            <w:r>
              <w:rPr>
                <w:color w:val="000000"/>
                <w:sz w:val="24"/>
              </w:rPr>
              <w:t>9.43</w:t>
            </w:r>
          </w:p>
        </w:tc>
      </w:tr>
      <w:tr w:rsidR="009E20D1">
        <w:tc>
          <w:tcPr>
            <w:tcW w:w="3561" w:type="dxa"/>
            <w:vAlign w:val="center"/>
          </w:tcPr>
          <w:p w:rsidR="009E20D1" w:rsidRDefault="009B6B60">
            <w:pPr>
              <w:jc w:val="left"/>
            </w:pPr>
            <w:r>
              <w:rPr>
                <w:color w:val="000000"/>
                <w:sz w:val="24"/>
              </w:rPr>
              <w:t>保健</w:t>
            </w:r>
          </w:p>
        </w:tc>
        <w:tc>
          <w:tcPr>
            <w:tcW w:w="3000" w:type="dxa"/>
            <w:vAlign w:val="center"/>
          </w:tcPr>
          <w:p w:rsidR="009E20D1" w:rsidRDefault="009B6B60">
            <w:pPr>
              <w:jc w:val="right"/>
            </w:pPr>
            <w:r>
              <w:rPr>
                <w:color w:val="000000"/>
                <w:sz w:val="24"/>
              </w:rPr>
              <w:t>2,967,878.19</w:t>
            </w:r>
          </w:p>
        </w:tc>
        <w:tc>
          <w:tcPr>
            <w:tcW w:w="2437" w:type="dxa"/>
            <w:vAlign w:val="center"/>
          </w:tcPr>
          <w:p w:rsidR="009E20D1" w:rsidRDefault="009B6B60">
            <w:pPr>
              <w:jc w:val="right"/>
            </w:pPr>
            <w:r>
              <w:rPr>
                <w:color w:val="000000"/>
                <w:sz w:val="24"/>
              </w:rPr>
              <w:t>6.74</w:t>
            </w:r>
          </w:p>
        </w:tc>
      </w:tr>
      <w:tr w:rsidR="009E20D1">
        <w:tc>
          <w:tcPr>
            <w:tcW w:w="3561" w:type="dxa"/>
            <w:vAlign w:val="center"/>
          </w:tcPr>
          <w:p w:rsidR="009E20D1" w:rsidRDefault="009B6B60">
            <w:pPr>
              <w:jc w:val="left"/>
            </w:pPr>
            <w:r>
              <w:rPr>
                <w:color w:val="000000"/>
                <w:sz w:val="24"/>
              </w:rPr>
              <w:lastRenderedPageBreak/>
              <w:t>必需消费品</w:t>
            </w:r>
          </w:p>
        </w:tc>
        <w:tc>
          <w:tcPr>
            <w:tcW w:w="3000" w:type="dxa"/>
            <w:vAlign w:val="center"/>
          </w:tcPr>
          <w:p w:rsidR="009E20D1" w:rsidRDefault="009B6B60">
            <w:pPr>
              <w:jc w:val="right"/>
            </w:pPr>
            <w:r>
              <w:rPr>
                <w:color w:val="000000"/>
                <w:sz w:val="24"/>
              </w:rPr>
              <w:t>2,513,150.65</w:t>
            </w:r>
          </w:p>
        </w:tc>
        <w:tc>
          <w:tcPr>
            <w:tcW w:w="2437" w:type="dxa"/>
            <w:vAlign w:val="center"/>
          </w:tcPr>
          <w:p w:rsidR="009E20D1" w:rsidRDefault="009B6B60">
            <w:pPr>
              <w:jc w:val="right"/>
            </w:pPr>
            <w:r>
              <w:rPr>
                <w:color w:val="000000"/>
                <w:sz w:val="24"/>
              </w:rPr>
              <w:t>5.70</w:t>
            </w:r>
          </w:p>
        </w:tc>
      </w:tr>
      <w:tr w:rsidR="009E20D1">
        <w:tc>
          <w:tcPr>
            <w:tcW w:w="3561" w:type="dxa"/>
            <w:vAlign w:val="center"/>
          </w:tcPr>
          <w:p w:rsidR="009E20D1" w:rsidRDefault="009B6B60">
            <w:pPr>
              <w:jc w:val="left"/>
            </w:pPr>
            <w:r>
              <w:rPr>
                <w:color w:val="000000"/>
                <w:sz w:val="24"/>
              </w:rPr>
              <w:t>金融</w:t>
            </w:r>
          </w:p>
        </w:tc>
        <w:tc>
          <w:tcPr>
            <w:tcW w:w="3000" w:type="dxa"/>
            <w:vAlign w:val="center"/>
          </w:tcPr>
          <w:p w:rsidR="009E20D1" w:rsidRDefault="009B6B60">
            <w:pPr>
              <w:jc w:val="right"/>
            </w:pPr>
            <w:r>
              <w:rPr>
                <w:color w:val="000000"/>
                <w:sz w:val="24"/>
              </w:rPr>
              <w:t>2,022,582.95</w:t>
            </w:r>
          </w:p>
        </w:tc>
        <w:tc>
          <w:tcPr>
            <w:tcW w:w="2437" w:type="dxa"/>
            <w:vAlign w:val="center"/>
          </w:tcPr>
          <w:p w:rsidR="009E20D1" w:rsidRDefault="009B6B60">
            <w:pPr>
              <w:jc w:val="right"/>
            </w:pPr>
            <w:r>
              <w:rPr>
                <w:color w:val="000000"/>
                <w:sz w:val="24"/>
              </w:rPr>
              <w:t>4.59</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39,122,362.02</w:t>
            </w:r>
          </w:p>
        </w:tc>
        <w:tc>
          <w:tcPr>
            <w:tcW w:w="2534" w:type="dxa"/>
            <w:vAlign w:val="center"/>
          </w:tcPr>
          <w:p w:rsidR="008A5A5D" w:rsidRPr="00123880" w:rsidRDefault="008A5A5D" w:rsidP="002F2307">
            <w:pPr>
              <w:spacing w:before="29" w:line="288" w:lineRule="auto"/>
              <w:jc w:val="right"/>
              <w:rPr>
                <w:sz w:val="24"/>
              </w:rPr>
            </w:pPr>
            <w:r w:rsidRPr="00123880">
              <w:rPr>
                <w:sz w:val="24"/>
              </w:rPr>
              <w:t>88.79</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6" w:name="_Toc352255998"/>
      <w:bookmarkStart w:id="137" w:name="_Toc352256066"/>
      <w:bookmarkStart w:id="138"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6"/>
      <w:bookmarkEnd w:id="137"/>
      <w:bookmarkEnd w:id="138"/>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9E20D1">
        <w:tc>
          <w:tcPr>
            <w:tcW w:w="653" w:type="dxa"/>
            <w:vAlign w:val="center"/>
          </w:tcPr>
          <w:p w:rsidR="009E20D1" w:rsidRDefault="009B6B60">
            <w:pPr>
              <w:jc w:val="center"/>
            </w:pPr>
            <w:r>
              <w:rPr>
                <w:color w:val="000000"/>
                <w:sz w:val="24"/>
              </w:rPr>
              <w:t>1</w:t>
            </w:r>
          </w:p>
        </w:tc>
        <w:tc>
          <w:tcPr>
            <w:tcW w:w="871" w:type="dxa"/>
            <w:vAlign w:val="center"/>
          </w:tcPr>
          <w:p w:rsidR="009E20D1" w:rsidRDefault="009B6B60">
            <w:pPr>
              <w:jc w:val="center"/>
            </w:pPr>
            <w:r>
              <w:rPr>
                <w:color w:val="000000"/>
                <w:sz w:val="24"/>
              </w:rPr>
              <w:t>Tencent Holdings Limited</w:t>
            </w:r>
          </w:p>
        </w:tc>
        <w:tc>
          <w:tcPr>
            <w:tcW w:w="976" w:type="dxa"/>
            <w:vAlign w:val="center"/>
          </w:tcPr>
          <w:p w:rsidR="009E20D1" w:rsidRDefault="009B6B60">
            <w:pPr>
              <w:jc w:val="center"/>
            </w:pPr>
            <w:r>
              <w:rPr>
                <w:color w:val="000000"/>
                <w:sz w:val="24"/>
              </w:rPr>
              <w:t>腾讯控股有限公司</w:t>
            </w:r>
          </w:p>
        </w:tc>
        <w:tc>
          <w:tcPr>
            <w:tcW w:w="1138" w:type="dxa"/>
            <w:vAlign w:val="center"/>
          </w:tcPr>
          <w:p w:rsidR="009E20D1" w:rsidRDefault="009B6B60">
            <w:pPr>
              <w:jc w:val="center"/>
            </w:pPr>
            <w:r>
              <w:rPr>
                <w:color w:val="000000"/>
                <w:sz w:val="24"/>
              </w:rPr>
              <w:t>700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15,000</w:t>
            </w:r>
          </w:p>
        </w:tc>
        <w:tc>
          <w:tcPr>
            <w:tcW w:w="1624" w:type="dxa"/>
            <w:vAlign w:val="center"/>
          </w:tcPr>
          <w:p w:rsidR="009E20D1" w:rsidRDefault="009B6B60">
            <w:pPr>
              <w:jc w:val="right"/>
            </w:pPr>
            <w:r>
              <w:rPr>
                <w:color w:val="000000"/>
                <w:sz w:val="24"/>
              </w:rPr>
              <w:t>3,634,349.08</w:t>
            </w:r>
          </w:p>
        </w:tc>
        <w:tc>
          <w:tcPr>
            <w:tcW w:w="959" w:type="dxa"/>
            <w:vAlign w:val="center"/>
          </w:tcPr>
          <w:p w:rsidR="009E20D1" w:rsidRDefault="009B6B60">
            <w:pPr>
              <w:jc w:val="right"/>
            </w:pPr>
            <w:r>
              <w:rPr>
                <w:color w:val="000000"/>
                <w:sz w:val="24"/>
              </w:rPr>
              <w:t>8.25</w:t>
            </w:r>
          </w:p>
        </w:tc>
      </w:tr>
      <w:tr w:rsidR="009E20D1">
        <w:tc>
          <w:tcPr>
            <w:tcW w:w="653" w:type="dxa"/>
            <w:vAlign w:val="center"/>
          </w:tcPr>
          <w:p w:rsidR="009E20D1" w:rsidRDefault="009B6B60">
            <w:pPr>
              <w:jc w:val="center"/>
            </w:pPr>
            <w:r>
              <w:rPr>
                <w:color w:val="000000"/>
                <w:sz w:val="24"/>
              </w:rPr>
              <w:t>2</w:t>
            </w:r>
          </w:p>
        </w:tc>
        <w:tc>
          <w:tcPr>
            <w:tcW w:w="871" w:type="dxa"/>
            <w:vAlign w:val="center"/>
          </w:tcPr>
          <w:p w:rsidR="009E20D1" w:rsidRDefault="009B6B60">
            <w:pPr>
              <w:jc w:val="center"/>
            </w:pPr>
            <w:r>
              <w:rPr>
                <w:color w:val="000000"/>
                <w:sz w:val="24"/>
              </w:rPr>
              <w:t>CSPC Pharmaceutical Group Limited</w:t>
            </w:r>
          </w:p>
        </w:tc>
        <w:tc>
          <w:tcPr>
            <w:tcW w:w="976" w:type="dxa"/>
            <w:vAlign w:val="center"/>
          </w:tcPr>
          <w:p w:rsidR="009E20D1" w:rsidRDefault="009B6B60">
            <w:pPr>
              <w:jc w:val="center"/>
            </w:pPr>
            <w:r>
              <w:rPr>
                <w:color w:val="000000"/>
                <w:sz w:val="24"/>
              </w:rPr>
              <w:t>石药集团有限公司</w:t>
            </w:r>
          </w:p>
        </w:tc>
        <w:tc>
          <w:tcPr>
            <w:tcW w:w="1138" w:type="dxa"/>
            <w:vAlign w:val="center"/>
          </w:tcPr>
          <w:p w:rsidR="009E20D1" w:rsidRDefault="009B6B60">
            <w:pPr>
              <w:jc w:val="center"/>
            </w:pPr>
            <w:r>
              <w:rPr>
                <w:color w:val="000000"/>
                <w:sz w:val="24"/>
              </w:rPr>
              <w:t>1093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300,000</w:t>
            </w:r>
          </w:p>
        </w:tc>
        <w:tc>
          <w:tcPr>
            <w:tcW w:w="1624" w:type="dxa"/>
            <w:vAlign w:val="center"/>
          </w:tcPr>
          <w:p w:rsidR="009E20D1" w:rsidRDefault="009B6B60">
            <w:pPr>
              <w:jc w:val="right"/>
            </w:pPr>
            <w:r>
              <w:rPr>
                <w:color w:val="000000"/>
                <w:sz w:val="24"/>
              </w:rPr>
              <w:t>2,967,878.19</w:t>
            </w:r>
          </w:p>
        </w:tc>
        <w:tc>
          <w:tcPr>
            <w:tcW w:w="959" w:type="dxa"/>
            <w:vAlign w:val="center"/>
          </w:tcPr>
          <w:p w:rsidR="009E20D1" w:rsidRDefault="009B6B60">
            <w:pPr>
              <w:jc w:val="right"/>
            </w:pPr>
            <w:r>
              <w:rPr>
                <w:color w:val="000000"/>
                <w:sz w:val="24"/>
              </w:rPr>
              <w:t>6.74</w:t>
            </w:r>
          </w:p>
        </w:tc>
      </w:tr>
      <w:tr w:rsidR="009E20D1">
        <w:tc>
          <w:tcPr>
            <w:tcW w:w="653" w:type="dxa"/>
            <w:vAlign w:val="center"/>
          </w:tcPr>
          <w:p w:rsidR="009E20D1" w:rsidRDefault="009B6B60">
            <w:pPr>
              <w:jc w:val="center"/>
            </w:pPr>
            <w:r>
              <w:rPr>
                <w:color w:val="000000"/>
                <w:sz w:val="24"/>
              </w:rPr>
              <w:t>3</w:t>
            </w:r>
          </w:p>
        </w:tc>
        <w:tc>
          <w:tcPr>
            <w:tcW w:w="871" w:type="dxa"/>
            <w:vAlign w:val="center"/>
          </w:tcPr>
          <w:p w:rsidR="009E20D1" w:rsidRDefault="009B6B60">
            <w:pPr>
              <w:jc w:val="center"/>
            </w:pPr>
            <w:r>
              <w:rPr>
                <w:color w:val="000000"/>
                <w:sz w:val="24"/>
              </w:rPr>
              <w:t>Zijin Mining Group Co.,Ltd.</w:t>
            </w:r>
          </w:p>
        </w:tc>
        <w:tc>
          <w:tcPr>
            <w:tcW w:w="976" w:type="dxa"/>
            <w:vAlign w:val="center"/>
          </w:tcPr>
          <w:p w:rsidR="009E20D1" w:rsidRDefault="009B6B60">
            <w:pPr>
              <w:jc w:val="center"/>
            </w:pPr>
            <w:r>
              <w:rPr>
                <w:color w:val="000000"/>
                <w:sz w:val="24"/>
              </w:rPr>
              <w:t>紫金矿业集团股份有限公司</w:t>
            </w:r>
          </w:p>
        </w:tc>
        <w:tc>
          <w:tcPr>
            <w:tcW w:w="1138" w:type="dxa"/>
            <w:vAlign w:val="center"/>
          </w:tcPr>
          <w:p w:rsidR="009E20D1" w:rsidRDefault="009B6B60">
            <w:pPr>
              <w:jc w:val="center"/>
            </w:pPr>
            <w:r>
              <w:rPr>
                <w:color w:val="000000"/>
                <w:sz w:val="24"/>
              </w:rPr>
              <w:t>2899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1,200,000</w:t>
            </w:r>
          </w:p>
        </w:tc>
        <w:tc>
          <w:tcPr>
            <w:tcW w:w="1624" w:type="dxa"/>
            <w:vAlign w:val="center"/>
          </w:tcPr>
          <w:p w:rsidR="009E20D1" w:rsidRDefault="009B6B60">
            <w:pPr>
              <w:jc w:val="right"/>
            </w:pPr>
            <w:r>
              <w:rPr>
                <w:color w:val="000000"/>
                <w:sz w:val="24"/>
              </w:rPr>
              <w:t>2,686,710.78</w:t>
            </w:r>
          </w:p>
        </w:tc>
        <w:tc>
          <w:tcPr>
            <w:tcW w:w="959" w:type="dxa"/>
            <w:vAlign w:val="center"/>
          </w:tcPr>
          <w:p w:rsidR="009E20D1" w:rsidRDefault="009B6B60">
            <w:pPr>
              <w:jc w:val="right"/>
            </w:pPr>
            <w:r>
              <w:rPr>
                <w:color w:val="000000"/>
                <w:sz w:val="24"/>
              </w:rPr>
              <w:t>6.10</w:t>
            </w:r>
          </w:p>
        </w:tc>
      </w:tr>
      <w:tr w:rsidR="009E20D1">
        <w:tc>
          <w:tcPr>
            <w:tcW w:w="653" w:type="dxa"/>
            <w:vAlign w:val="center"/>
          </w:tcPr>
          <w:p w:rsidR="009E20D1" w:rsidRDefault="009B6B60">
            <w:pPr>
              <w:jc w:val="center"/>
            </w:pPr>
            <w:r>
              <w:rPr>
                <w:color w:val="000000"/>
                <w:sz w:val="24"/>
              </w:rPr>
              <w:t>4</w:t>
            </w:r>
          </w:p>
        </w:tc>
        <w:tc>
          <w:tcPr>
            <w:tcW w:w="871" w:type="dxa"/>
            <w:vAlign w:val="center"/>
          </w:tcPr>
          <w:p w:rsidR="009E20D1" w:rsidRDefault="009B6B60">
            <w:pPr>
              <w:jc w:val="center"/>
            </w:pPr>
            <w:r>
              <w:rPr>
                <w:color w:val="000000"/>
                <w:sz w:val="24"/>
              </w:rPr>
              <w:t>Yanzhou Coal Mining Company Limited</w:t>
            </w:r>
          </w:p>
        </w:tc>
        <w:tc>
          <w:tcPr>
            <w:tcW w:w="976" w:type="dxa"/>
            <w:vAlign w:val="center"/>
          </w:tcPr>
          <w:p w:rsidR="009E20D1" w:rsidRDefault="009B6B60">
            <w:pPr>
              <w:jc w:val="center"/>
            </w:pPr>
            <w:r>
              <w:rPr>
                <w:color w:val="000000"/>
                <w:sz w:val="24"/>
              </w:rPr>
              <w:t>兖州煤业股份有限公司</w:t>
            </w:r>
          </w:p>
        </w:tc>
        <w:tc>
          <w:tcPr>
            <w:tcW w:w="1138" w:type="dxa"/>
            <w:vAlign w:val="center"/>
          </w:tcPr>
          <w:p w:rsidR="009E20D1" w:rsidRDefault="009B6B60">
            <w:pPr>
              <w:jc w:val="center"/>
            </w:pPr>
            <w:r>
              <w:rPr>
                <w:color w:val="000000"/>
                <w:sz w:val="24"/>
              </w:rPr>
              <w:t>1171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400,000</w:t>
            </w:r>
          </w:p>
        </w:tc>
        <w:tc>
          <w:tcPr>
            <w:tcW w:w="1624" w:type="dxa"/>
            <w:vAlign w:val="center"/>
          </w:tcPr>
          <w:p w:rsidR="009E20D1" w:rsidRDefault="009B6B60">
            <w:pPr>
              <w:jc w:val="right"/>
            </w:pPr>
            <w:r>
              <w:rPr>
                <w:color w:val="000000"/>
                <w:sz w:val="24"/>
              </w:rPr>
              <w:t>2,429,841.79</w:t>
            </w:r>
          </w:p>
        </w:tc>
        <w:tc>
          <w:tcPr>
            <w:tcW w:w="959" w:type="dxa"/>
            <w:vAlign w:val="center"/>
          </w:tcPr>
          <w:p w:rsidR="009E20D1" w:rsidRDefault="009B6B60">
            <w:pPr>
              <w:jc w:val="right"/>
            </w:pPr>
            <w:r>
              <w:rPr>
                <w:color w:val="000000"/>
                <w:sz w:val="24"/>
              </w:rPr>
              <w:t>5.51</w:t>
            </w:r>
          </w:p>
        </w:tc>
      </w:tr>
      <w:tr w:rsidR="009E20D1">
        <w:tc>
          <w:tcPr>
            <w:tcW w:w="653" w:type="dxa"/>
            <w:vAlign w:val="center"/>
          </w:tcPr>
          <w:p w:rsidR="009E20D1" w:rsidRDefault="009B6B60">
            <w:pPr>
              <w:jc w:val="center"/>
            </w:pPr>
            <w:r>
              <w:rPr>
                <w:color w:val="000000"/>
                <w:sz w:val="24"/>
              </w:rPr>
              <w:t>5</w:t>
            </w:r>
          </w:p>
        </w:tc>
        <w:tc>
          <w:tcPr>
            <w:tcW w:w="871" w:type="dxa"/>
            <w:vAlign w:val="center"/>
          </w:tcPr>
          <w:p w:rsidR="009E20D1" w:rsidRDefault="009B6B60">
            <w:pPr>
              <w:jc w:val="center"/>
            </w:pPr>
            <w:r>
              <w:rPr>
                <w:color w:val="000000"/>
                <w:sz w:val="24"/>
              </w:rPr>
              <w:t>China State Construction International Holdings Limited</w:t>
            </w:r>
          </w:p>
        </w:tc>
        <w:tc>
          <w:tcPr>
            <w:tcW w:w="976" w:type="dxa"/>
            <w:vAlign w:val="center"/>
          </w:tcPr>
          <w:p w:rsidR="009E20D1" w:rsidRDefault="009B6B60">
            <w:pPr>
              <w:jc w:val="center"/>
            </w:pPr>
            <w:r>
              <w:rPr>
                <w:color w:val="000000"/>
                <w:sz w:val="24"/>
              </w:rPr>
              <w:t>中国建筑国际集团有限公司</w:t>
            </w:r>
          </w:p>
        </w:tc>
        <w:tc>
          <w:tcPr>
            <w:tcW w:w="1138" w:type="dxa"/>
            <w:vAlign w:val="center"/>
          </w:tcPr>
          <w:p w:rsidR="009E20D1" w:rsidRDefault="009B6B60">
            <w:pPr>
              <w:jc w:val="center"/>
            </w:pPr>
            <w:r>
              <w:rPr>
                <w:color w:val="000000"/>
                <w:sz w:val="24"/>
              </w:rPr>
              <w:t>3311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200,000</w:t>
            </w:r>
          </w:p>
        </w:tc>
        <w:tc>
          <w:tcPr>
            <w:tcW w:w="1624" w:type="dxa"/>
            <w:vAlign w:val="center"/>
          </w:tcPr>
          <w:p w:rsidR="009E20D1" w:rsidRDefault="009B6B60">
            <w:pPr>
              <w:jc w:val="right"/>
            </w:pPr>
            <w:r>
              <w:rPr>
                <w:color w:val="000000"/>
                <w:sz w:val="24"/>
              </w:rPr>
              <w:t>2,318,763.31</w:t>
            </w:r>
          </w:p>
        </w:tc>
        <w:tc>
          <w:tcPr>
            <w:tcW w:w="959" w:type="dxa"/>
            <w:vAlign w:val="center"/>
          </w:tcPr>
          <w:p w:rsidR="009E20D1" w:rsidRDefault="009B6B60">
            <w:pPr>
              <w:jc w:val="right"/>
            </w:pPr>
            <w:r>
              <w:rPr>
                <w:color w:val="000000"/>
                <w:sz w:val="24"/>
              </w:rPr>
              <w:t>5.26</w:t>
            </w:r>
          </w:p>
        </w:tc>
      </w:tr>
      <w:tr w:rsidR="009E20D1">
        <w:tc>
          <w:tcPr>
            <w:tcW w:w="653" w:type="dxa"/>
            <w:vAlign w:val="center"/>
          </w:tcPr>
          <w:p w:rsidR="009E20D1" w:rsidRDefault="009B6B60">
            <w:pPr>
              <w:jc w:val="center"/>
            </w:pPr>
            <w:r>
              <w:rPr>
                <w:color w:val="000000"/>
                <w:sz w:val="24"/>
              </w:rPr>
              <w:t>6</w:t>
            </w:r>
          </w:p>
        </w:tc>
        <w:tc>
          <w:tcPr>
            <w:tcW w:w="871" w:type="dxa"/>
            <w:vAlign w:val="center"/>
          </w:tcPr>
          <w:p w:rsidR="009E20D1" w:rsidRDefault="009B6B60">
            <w:pPr>
              <w:jc w:val="center"/>
            </w:pPr>
            <w:r>
              <w:rPr>
                <w:color w:val="000000"/>
                <w:sz w:val="24"/>
              </w:rPr>
              <w:t xml:space="preserve">China Shenhua Energy </w:t>
            </w:r>
            <w:r>
              <w:rPr>
                <w:color w:val="000000"/>
                <w:sz w:val="24"/>
              </w:rPr>
              <w:lastRenderedPageBreak/>
              <w:t>Company Limited</w:t>
            </w:r>
          </w:p>
        </w:tc>
        <w:tc>
          <w:tcPr>
            <w:tcW w:w="976" w:type="dxa"/>
            <w:vAlign w:val="center"/>
          </w:tcPr>
          <w:p w:rsidR="009E20D1" w:rsidRDefault="009B6B60">
            <w:pPr>
              <w:jc w:val="center"/>
            </w:pPr>
            <w:r>
              <w:rPr>
                <w:color w:val="000000"/>
                <w:sz w:val="24"/>
              </w:rPr>
              <w:lastRenderedPageBreak/>
              <w:t>中国神华能源股份有限公司</w:t>
            </w:r>
          </w:p>
        </w:tc>
        <w:tc>
          <w:tcPr>
            <w:tcW w:w="1138" w:type="dxa"/>
            <w:vAlign w:val="center"/>
          </w:tcPr>
          <w:p w:rsidR="009E20D1" w:rsidRDefault="009B6B60">
            <w:pPr>
              <w:jc w:val="center"/>
            </w:pPr>
            <w:r>
              <w:rPr>
                <w:color w:val="000000"/>
                <w:sz w:val="24"/>
              </w:rPr>
              <w:t>1088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150,000</w:t>
            </w:r>
          </w:p>
        </w:tc>
        <w:tc>
          <w:tcPr>
            <w:tcW w:w="1624" w:type="dxa"/>
            <w:vAlign w:val="center"/>
          </w:tcPr>
          <w:p w:rsidR="009E20D1" w:rsidRDefault="009B6B60">
            <w:pPr>
              <w:jc w:val="right"/>
            </w:pPr>
            <w:r>
              <w:rPr>
                <w:color w:val="000000"/>
                <w:sz w:val="24"/>
              </w:rPr>
              <w:t>2,262,356.27</w:t>
            </w:r>
          </w:p>
        </w:tc>
        <w:tc>
          <w:tcPr>
            <w:tcW w:w="959" w:type="dxa"/>
            <w:vAlign w:val="center"/>
          </w:tcPr>
          <w:p w:rsidR="009E20D1" w:rsidRDefault="009B6B60">
            <w:pPr>
              <w:jc w:val="right"/>
            </w:pPr>
            <w:r>
              <w:rPr>
                <w:color w:val="000000"/>
                <w:sz w:val="24"/>
              </w:rPr>
              <w:t>5.13</w:t>
            </w:r>
          </w:p>
        </w:tc>
      </w:tr>
      <w:tr w:rsidR="009E20D1">
        <w:tc>
          <w:tcPr>
            <w:tcW w:w="653" w:type="dxa"/>
            <w:vAlign w:val="center"/>
          </w:tcPr>
          <w:p w:rsidR="009E20D1" w:rsidRDefault="009B6B60">
            <w:pPr>
              <w:jc w:val="center"/>
            </w:pPr>
            <w:r>
              <w:rPr>
                <w:color w:val="000000"/>
                <w:sz w:val="24"/>
              </w:rPr>
              <w:t>7</w:t>
            </w:r>
          </w:p>
        </w:tc>
        <w:tc>
          <w:tcPr>
            <w:tcW w:w="871" w:type="dxa"/>
            <w:vAlign w:val="center"/>
          </w:tcPr>
          <w:p w:rsidR="009E20D1" w:rsidRDefault="009B6B60">
            <w:pPr>
              <w:jc w:val="center"/>
            </w:pPr>
            <w:r>
              <w:rPr>
                <w:color w:val="000000"/>
                <w:sz w:val="24"/>
              </w:rPr>
              <w:t>SITC International Holdings Company Limited</w:t>
            </w:r>
          </w:p>
        </w:tc>
        <w:tc>
          <w:tcPr>
            <w:tcW w:w="976" w:type="dxa"/>
            <w:vAlign w:val="center"/>
          </w:tcPr>
          <w:p w:rsidR="009E20D1" w:rsidRDefault="009B6B60">
            <w:pPr>
              <w:jc w:val="center"/>
            </w:pPr>
            <w:r>
              <w:rPr>
                <w:color w:val="000000"/>
                <w:sz w:val="24"/>
              </w:rPr>
              <w:t>海丰国际控股有限公司</w:t>
            </w:r>
          </w:p>
        </w:tc>
        <w:tc>
          <w:tcPr>
            <w:tcW w:w="1138" w:type="dxa"/>
            <w:vAlign w:val="center"/>
          </w:tcPr>
          <w:p w:rsidR="009E20D1" w:rsidRDefault="009B6B60">
            <w:pPr>
              <w:jc w:val="center"/>
            </w:pPr>
            <w:r>
              <w:rPr>
                <w:color w:val="000000"/>
                <w:sz w:val="24"/>
              </w:rPr>
              <w:t>1308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400,000</w:t>
            </w:r>
          </w:p>
        </w:tc>
        <w:tc>
          <w:tcPr>
            <w:tcW w:w="1624" w:type="dxa"/>
            <w:vAlign w:val="center"/>
          </w:tcPr>
          <w:p w:rsidR="009E20D1" w:rsidRDefault="009B6B60">
            <w:pPr>
              <w:jc w:val="right"/>
            </w:pPr>
            <w:r>
              <w:rPr>
                <w:color w:val="000000"/>
                <w:sz w:val="24"/>
              </w:rPr>
              <w:t>2,131,318.37</w:t>
            </w:r>
          </w:p>
        </w:tc>
        <w:tc>
          <w:tcPr>
            <w:tcW w:w="959" w:type="dxa"/>
            <w:vAlign w:val="center"/>
          </w:tcPr>
          <w:p w:rsidR="009E20D1" w:rsidRDefault="009B6B60">
            <w:pPr>
              <w:jc w:val="right"/>
            </w:pPr>
            <w:r>
              <w:rPr>
                <w:color w:val="000000"/>
                <w:sz w:val="24"/>
              </w:rPr>
              <w:t>4.84</w:t>
            </w:r>
          </w:p>
        </w:tc>
      </w:tr>
      <w:tr w:rsidR="009E20D1">
        <w:tc>
          <w:tcPr>
            <w:tcW w:w="653" w:type="dxa"/>
            <w:vAlign w:val="center"/>
          </w:tcPr>
          <w:p w:rsidR="009E20D1" w:rsidRDefault="009B6B60">
            <w:pPr>
              <w:jc w:val="center"/>
            </w:pPr>
            <w:r>
              <w:rPr>
                <w:color w:val="000000"/>
                <w:sz w:val="24"/>
              </w:rPr>
              <w:t>8</w:t>
            </w:r>
          </w:p>
        </w:tc>
        <w:tc>
          <w:tcPr>
            <w:tcW w:w="871" w:type="dxa"/>
            <w:vAlign w:val="center"/>
          </w:tcPr>
          <w:p w:rsidR="009E20D1" w:rsidRDefault="009B6B60">
            <w:pPr>
              <w:jc w:val="center"/>
            </w:pPr>
            <w:r>
              <w:rPr>
                <w:color w:val="000000"/>
                <w:sz w:val="24"/>
              </w:rPr>
              <w:t>Fuyao Glass Industry Group Co.,Ltd.</w:t>
            </w:r>
          </w:p>
        </w:tc>
        <w:tc>
          <w:tcPr>
            <w:tcW w:w="976" w:type="dxa"/>
            <w:vAlign w:val="center"/>
          </w:tcPr>
          <w:p w:rsidR="009E20D1" w:rsidRDefault="009B6B60">
            <w:pPr>
              <w:jc w:val="center"/>
            </w:pPr>
            <w:r>
              <w:rPr>
                <w:color w:val="000000"/>
                <w:sz w:val="24"/>
              </w:rPr>
              <w:t>福耀玻璃工业集团股份有限公司</w:t>
            </w:r>
          </w:p>
        </w:tc>
        <w:tc>
          <w:tcPr>
            <w:tcW w:w="1138" w:type="dxa"/>
            <w:vAlign w:val="center"/>
          </w:tcPr>
          <w:p w:rsidR="009E20D1" w:rsidRDefault="009B6B60">
            <w:pPr>
              <w:jc w:val="center"/>
            </w:pPr>
            <w:r>
              <w:rPr>
                <w:color w:val="000000"/>
                <w:sz w:val="24"/>
              </w:rPr>
              <w:t>3606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80,000</w:t>
            </w:r>
          </w:p>
        </w:tc>
        <w:tc>
          <w:tcPr>
            <w:tcW w:w="1624" w:type="dxa"/>
            <w:vAlign w:val="center"/>
          </w:tcPr>
          <w:p w:rsidR="009E20D1" w:rsidRDefault="009B6B60">
            <w:pPr>
              <w:jc w:val="right"/>
            </w:pPr>
            <w:r>
              <w:rPr>
                <w:color w:val="000000"/>
                <w:sz w:val="24"/>
              </w:rPr>
              <w:t>2,075,779.13</w:t>
            </w:r>
          </w:p>
        </w:tc>
        <w:tc>
          <w:tcPr>
            <w:tcW w:w="959" w:type="dxa"/>
            <w:vAlign w:val="center"/>
          </w:tcPr>
          <w:p w:rsidR="009E20D1" w:rsidRDefault="009B6B60">
            <w:pPr>
              <w:jc w:val="right"/>
            </w:pPr>
            <w:r>
              <w:rPr>
                <w:color w:val="000000"/>
                <w:sz w:val="24"/>
              </w:rPr>
              <w:t>4.71</w:t>
            </w:r>
          </w:p>
        </w:tc>
      </w:tr>
      <w:tr w:rsidR="009E20D1">
        <w:tc>
          <w:tcPr>
            <w:tcW w:w="653" w:type="dxa"/>
            <w:vAlign w:val="center"/>
          </w:tcPr>
          <w:p w:rsidR="009E20D1" w:rsidRDefault="009B6B60">
            <w:pPr>
              <w:jc w:val="center"/>
            </w:pPr>
            <w:r>
              <w:rPr>
                <w:color w:val="000000"/>
                <w:sz w:val="24"/>
              </w:rPr>
              <w:t>9</w:t>
            </w:r>
          </w:p>
        </w:tc>
        <w:tc>
          <w:tcPr>
            <w:tcW w:w="871" w:type="dxa"/>
            <w:vAlign w:val="center"/>
          </w:tcPr>
          <w:p w:rsidR="009E20D1" w:rsidRDefault="009B6B60">
            <w:pPr>
              <w:jc w:val="center"/>
            </w:pPr>
            <w:r>
              <w:rPr>
                <w:color w:val="000000"/>
                <w:sz w:val="24"/>
              </w:rPr>
              <w:t>Guangzhou Automobile Group Co.,Ltd.</w:t>
            </w:r>
          </w:p>
        </w:tc>
        <w:tc>
          <w:tcPr>
            <w:tcW w:w="976" w:type="dxa"/>
            <w:vAlign w:val="center"/>
          </w:tcPr>
          <w:p w:rsidR="009E20D1" w:rsidRDefault="009B6B60">
            <w:pPr>
              <w:jc w:val="center"/>
            </w:pPr>
            <w:r>
              <w:rPr>
                <w:color w:val="000000"/>
                <w:sz w:val="24"/>
              </w:rPr>
              <w:t>广州汽车集团股份有限公司</w:t>
            </w:r>
          </w:p>
        </w:tc>
        <w:tc>
          <w:tcPr>
            <w:tcW w:w="1138" w:type="dxa"/>
            <w:vAlign w:val="center"/>
          </w:tcPr>
          <w:p w:rsidR="009E20D1" w:rsidRDefault="009B6B60">
            <w:pPr>
              <w:jc w:val="center"/>
            </w:pPr>
            <w:r>
              <w:rPr>
                <w:color w:val="000000"/>
                <w:sz w:val="24"/>
              </w:rPr>
              <w:t>2238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150,000</w:t>
            </w:r>
          </w:p>
        </w:tc>
        <w:tc>
          <w:tcPr>
            <w:tcW w:w="1624" w:type="dxa"/>
            <w:vAlign w:val="center"/>
          </w:tcPr>
          <w:p w:rsidR="009E20D1" w:rsidRDefault="009B6B60">
            <w:pPr>
              <w:jc w:val="right"/>
            </w:pPr>
            <w:r>
              <w:rPr>
                <w:color w:val="000000"/>
                <w:sz w:val="24"/>
              </w:rPr>
              <w:t>1,783,330.32</w:t>
            </w:r>
          </w:p>
        </w:tc>
        <w:tc>
          <w:tcPr>
            <w:tcW w:w="959" w:type="dxa"/>
            <w:vAlign w:val="center"/>
          </w:tcPr>
          <w:p w:rsidR="009E20D1" w:rsidRDefault="009B6B60">
            <w:pPr>
              <w:jc w:val="right"/>
            </w:pPr>
            <w:r>
              <w:rPr>
                <w:color w:val="000000"/>
                <w:sz w:val="24"/>
              </w:rPr>
              <w:t>4.05</w:t>
            </w:r>
          </w:p>
        </w:tc>
      </w:tr>
      <w:tr w:rsidR="009E20D1">
        <w:tc>
          <w:tcPr>
            <w:tcW w:w="653" w:type="dxa"/>
            <w:vAlign w:val="center"/>
          </w:tcPr>
          <w:p w:rsidR="009E20D1" w:rsidRDefault="009B6B60">
            <w:pPr>
              <w:jc w:val="center"/>
            </w:pPr>
            <w:r>
              <w:rPr>
                <w:color w:val="000000"/>
                <w:sz w:val="24"/>
              </w:rPr>
              <w:t>10</w:t>
            </w:r>
          </w:p>
        </w:tc>
        <w:tc>
          <w:tcPr>
            <w:tcW w:w="871" w:type="dxa"/>
            <w:vAlign w:val="center"/>
          </w:tcPr>
          <w:p w:rsidR="009E20D1" w:rsidRDefault="009B6B60">
            <w:pPr>
              <w:jc w:val="center"/>
            </w:pPr>
            <w:r>
              <w:rPr>
                <w:color w:val="000000"/>
                <w:sz w:val="24"/>
              </w:rPr>
              <w:t>Yihai International Holding Ltd.</w:t>
            </w:r>
          </w:p>
        </w:tc>
        <w:tc>
          <w:tcPr>
            <w:tcW w:w="976" w:type="dxa"/>
            <w:vAlign w:val="center"/>
          </w:tcPr>
          <w:p w:rsidR="009E20D1" w:rsidRDefault="009B6B60">
            <w:pPr>
              <w:jc w:val="center"/>
            </w:pPr>
            <w:r>
              <w:rPr>
                <w:color w:val="000000"/>
                <w:sz w:val="24"/>
              </w:rPr>
              <w:t>颐海国际控股有限公司</w:t>
            </w:r>
          </w:p>
        </w:tc>
        <w:tc>
          <w:tcPr>
            <w:tcW w:w="1138" w:type="dxa"/>
            <w:vAlign w:val="center"/>
          </w:tcPr>
          <w:p w:rsidR="009E20D1" w:rsidRDefault="009B6B60">
            <w:pPr>
              <w:jc w:val="center"/>
            </w:pPr>
            <w:r>
              <w:rPr>
                <w:color w:val="000000"/>
                <w:sz w:val="24"/>
              </w:rPr>
              <w:t>1579 HK</w:t>
            </w:r>
          </w:p>
        </w:tc>
        <w:tc>
          <w:tcPr>
            <w:tcW w:w="815" w:type="dxa"/>
            <w:vAlign w:val="center"/>
          </w:tcPr>
          <w:p w:rsidR="009E20D1" w:rsidRDefault="009B6B60">
            <w:pPr>
              <w:jc w:val="center"/>
            </w:pPr>
            <w:r>
              <w:rPr>
                <w:color w:val="000000"/>
                <w:sz w:val="24"/>
              </w:rPr>
              <w:t>香港证券交易所</w:t>
            </w:r>
          </w:p>
        </w:tc>
        <w:tc>
          <w:tcPr>
            <w:tcW w:w="986" w:type="dxa"/>
            <w:vAlign w:val="center"/>
          </w:tcPr>
          <w:p w:rsidR="009E20D1" w:rsidRDefault="009B6B60">
            <w:pPr>
              <w:jc w:val="center"/>
            </w:pPr>
            <w:r>
              <w:rPr>
                <w:color w:val="000000"/>
                <w:sz w:val="24"/>
              </w:rPr>
              <w:t>香港</w:t>
            </w:r>
          </w:p>
        </w:tc>
        <w:tc>
          <w:tcPr>
            <w:tcW w:w="976" w:type="dxa"/>
            <w:vAlign w:val="center"/>
          </w:tcPr>
          <w:p w:rsidR="009E20D1" w:rsidRDefault="009B6B60">
            <w:pPr>
              <w:jc w:val="right"/>
            </w:pPr>
            <w:r>
              <w:rPr>
                <w:color w:val="000000"/>
                <w:sz w:val="24"/>
              </w:rPr>
              <w:t>400,000</w:t>
            </w:r>
          </w:p>
        </w:tc>
        <w:tc>
          <w:tcPr>
            <w:tcW w:w="1624" w:type="dxa"/>
            <w:vAlign w:val="center"/>
          </w:tcPr>
          <w:p w:rsidR="009E20D1" w:rsidRDefault="009B6B60">
            <w:pPr>
              <w:jc w:val="right"/>
            </w:pPr>
            <w:r>
              <w:rPr>
                <w:color w:val="000000"/>
                <w:sz w:val="24"/>
              </w:rPr>
              <w:t>1,700,889.25</w:t>
            </w:r>
          </w:p>
        </w:tc>
        <w:tc>
          <w:tcPr>
            <w:tcW w:w="959" w:type="dxa"/>
            <w:vAlign w:val="center"/>
          </w:tcPr>
          <w:p w:rsidR="009E20D1" w:rsidRDefault="009B6B60">
            <w:pPr>
              <w:jc w:val="right"/>
            </w:pPr>
            <w:r>
              <w:rPr>
                <w:color w:val="000000"/>
                <w:sz w:val="24"/>
              </w:rPr>
              <w:t>3.86</w:t>
            </w:r>
          </w:p>
        </w:tc>
      </w:tr>
    </w:tbl>
    <w:p w:rsidR="00B22411" w:rsidRPr="00123880" w:rsidRDefault="00B22411" w:rsidP="002F2307">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9" w:name="_Toc224618380"/>
      <w:bookmarkStart w:id="140" w:name="_Toc248233027"/>
      <w:bookmarkStart w:id="141" w:name="_Toc249790559"/>
      <w:bookmarkStart w:id="142" w:name="_Toc286929760"/>
      <w:bookmarkStart w:id="143" w:name="_Toc352255999"/>
      <w:bookmarkStart w:id="144" w:name="_Toc352256067"/>
      <w:bookmarkStart w:id="145"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39"/>
      <w:bookmarkEnd w:id="140"/>
      <w:bookmarkEnd w:id="141"/>
      <w:bookmarkEnd w:id="142"/>
      <w:bookmarkEnd w:id="143"/>
      <w:bookmarkEnd w:id="144"/>
      <w:bookmarkEnd w:id="145"/>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9E20D1">
        <w:tc>
          <w:tcPr>
            <w:tcW w:w="540" w:type="dxa"/>
            <w:vAlign w:val="center"/>
          </w:tcPr>
          <w:p w:rsidR="009E20D1" w:rsidRDefault="009B6B60">
            <w:pPr>
              <w:jc w:val="center"/>
            </w:pPr>
            <w:r>
              <w:rPr>
                <w:color w:val="000000"/>
                <w:sz w:val="24"/>
              </w:rPr>
              <w:t>1</w:t>
            </w:r>
          </w:p>
        </w:tc>
        <w:tc>
          <w:tcPr>
            <w:tcW w:w="2309" w:type="dxa"/>
            <w:vAlign w:val="center"/>
          </w:tcPr>
          <w:p w:rsidR="009E20D1" w:rsidRDefault="009B6B60">
            <w:pPr>
              <w:jc w:val="center"/>
            </w:pPr>
            <w:r>
              <w:rPr>
                <w:color w:val="000000"/>
                <w:sz w:val="24"/>
              </w:rPr>
              <w:t>ENN Energy Holdings Limited</w:t>
            </w:r>
          </w:p>
        </w:tc>
        <w:tc>
          <w:tcPr>
            <w:tcW w:w="2478" w:type="dxa"/>
            <w:vAlign w:val="center"/>
          </w:tcPr>
          <w:p w:rsidR="009E20D1" w:rsidRDefault="009B6B60">
            <w:pPr>
              <w:jc w:val="center"/>
            </w:pPr>
            <w:r>
              <w:rPr>
                <w:color w:val="000000"/>
                <w:sz w:val="24"/>
              </w:rPr>
              <w:t>2688 HK</w:t>
            </w:r>
          </w:p>
        </w:tc>
        <w:tc>
          <w:tcPr>
            <w:tcW w:w="2201" w:type="dxa"/>
            <w:vAlign w:val="center"/>
          </w:tcPr>
          <w:p w:rsidR="009E20D1" w:rsidRDefault="009B6B60">
            <w:pPr>
              <w:jc w:val="center"/>
            </w:pPr>
            <w:r>
              <w:rPr>
                <w:color w:val="000000"/>
                <w:sz w:val="24"/>
              </w:rPr>
              <w:t>2,638,612.14</w:t>
            </w:r>
          </w:p>
        </w:tc>
        <w:tc>
          <w:tcPr>
            <w:tcW w:w="1470" w:type="dxa"/>
            <w:vAlign w:val="center"/>
          </w:tcPr>
          <w:p w:rsidR="009E20D1" w:rsidRDefault="009B6B60">
            <w:pPr>
              <w:jc w:val="center"/>
            </w:pPr>
            <w:r>
              <w:rPr>
                <w:color w:val="000000"/>
                <w:sz w:val="24"/>
              </w:rPr>
              <w:t>6.71</w:t>
            </w:r>
          </w:p>
        </w:tc>
      </w:tr>
      <w:tr w:rsidR="009E20D1">
        <w:tc>
          <w:tcPr>
            <w:tcW w:w="540" w:type="dxa"/>
            <w:vAlign w:val="center"/>
          </w:tcPr>
          <w:p w:rsidR="009E20D1" w:rsidRDefault="009B6B60">
            <w:pPr>
              <w:jc w:val="center"/>
            </w:pPr>
            <w:r>
              <w:rPr>
                <w:color w:val="000000"/>
                <w:sz w:val="24"/>
              </w:rPr>
              <w:t>2</w:t>
            </w:r>
          </w:p>
        </w:tc>
        <w:tc>
          <w:tcPr>
            <w:tcW w:w="2309" w:type="dxa"/>
            <w:vAlign w:val="center"/>
          </w:tcPr>
          <w:p w:rsidR="009E20D1" w:rsidRDefault="009B6B60">
            <w:pPr>
              <w:jc w:val="center"/>
            </w:pPr>
            <w:r>
              <w:rPr>
                <w:color w:val="000000"/>
                <w:sz w:val="24"/>
              </w:rPr>
              <w:t>Hong Kong Exchanges And Clearing Limited</w:t>
            </w:r>
          </w:p>
        </w:tc>
        <w:tc>
          <w:tcPr>
            <w:tcW w:w="2478" w:type="dxa"/>
            <w:vAlign w:val="center"/>
          </w:tcPr>
          <w:p w:rsidR="009E20D1" w:rsidRDefault="009B6B60">
            <w:pPr>
              <w:jc w:val="center"/>
            </w:pPr>
            <w:r>
              <w:rPr>
                <w:color w:val="000000"/>
                <w:sz w:val="24"/>
              </w:rPr>
              <w:t>388 HK</w:t>
            </w:r>
          </w:p>
        </w:tc>
        <w:tc>
          <w:tcPr>
            <w:tcW w:w="2201" w:type="dxa"/>
            <w:vAlign w:val="center"/>
          </w:tcPr>
          <w:p w:rsidR="009E20D1" w:rsidRDefault="009B6B60">
            <w:pPr>
              <w:jc w:val="center"/>
            </w:pPr>
            <w:r>
              <w:rPr>
                <w:color w:val="000000"/>
                <w:sz w:val="24"/>
              </w:rPr>
              <w:t>2,531,898.38</w:t>
            </w:r>
          </w:p>
        </w:tc>
        <w:tc>
          <w:tcPr>
            <w:tcW w:w="1470" w:type="dxa"/>
            <w:vAlign w:val="center"/>
          </w:tcPr>
          <w:p w:rsidR="009E20D1" w:rsidRDefault="009B6B60">
            <w:pPr>
              <w:jc w:val="center"/>
            </w:pPr>
            <w:r>
              <w:rPr>
                <w:color w:val="000000"/>
                <w:sz w:val="24"/>
              </w:rPr>
              <w:t>6.44</w:t>
            </w:r>
          </w:p>
        </w:tc>
      </w:tr>
      <w:tr w:rsidR="009E20D1">
        <w:tc>
          <w:tcPr>
            <w:tcW w:w="540" w:type="dxa"/>
            <w:vAlign w:val="center"/>
          </w:tcPr>
          <w:p w:rsidR="009E20D1" w:rsidRDefault="009B6B60">
            <w:pPr>
              <w:jc w:val="center"/>
            </w:pPr>
            <w:r>
              <w:rPr>
                <w:color w:val="000000"/>
                <w:sz w:val="24"/>
              </w:rPr>
              <w:t>3</w:t>
            </w:r>
          </w:p>
        </w:tc>
        <w:tc>
          <w:tcPr>
            <w:tcW w:w="2309" w:type="dxa"/>
            <w:vAlign w:val="center"/>
          </w:tcPr>
          <w:p w:rsidR="009E20D1" w:rsidRDefault="009B6B60">
            <w:pPr>
              <w:jc w:val="center"/>
            </w:pPr>
            <w:r>
              <w:rPr>
                <w:color w:val="000000"/>
                <w:sz w:val="24"/>
              </w:rPr>
              <w:t xml:space="preserve">Dongjiang </w:t>
            </w:r>
            <w:r>
              <w:rPr>
                <w:color w:val="000000"/>
                <w:sz w:val="24"/>
              </w:rPr>
              <w:lastRenderedPageBreak/>
              <w:t>Environmental Company Limited</w:t>
            </w:r>
          </w:p>
        </w:tc>
        <w:tc>
          <w:tcPr>
            <w:tcW w:w="2478" w:type="dxa"/>
            <w:vAlign w:val="center"/>
          </w:tcPr>
          <w:p w:rsidR="009E20D1" w:rsidRDefault="009B6B60">
            <w:pPr>
              <w:jc w:val="center"/>
            </w:pPr>
            <w:r>
              <w:rPr>
                <w:color w:val="000000"/>
                <w:sz w:val="24"/>
              </w:rPr>
              <w:lastRenderedPageBreak/>
              <w:t>895 HK</w:t>
            </w:r>
          </w:p>
        </w:tc>
        <w:tc>
          <w:tcPr>
            <w:tcW w:w="2201" w:type="dxa"/>
            <w:vAlign w:val="center"/>
          </w:tcPr>
          <w:p w:rsidR="009E20D1" w:rsidRDefault="009B6B60">
            <w:pPr>
              <w:jc w:val="center"/>
            </w:pPr>
            <w:r>
              <w:rPr>
                <w:color w:val="000000"/>
                <w:sz w:val="24"/>
              </w:rPr>
              <w:t>2,385,828.80</w:t>
            </w:r>
          </w:p>
        </w:tc>
        <w:tc>
          <w:tcPr>
            <w:tcW w:w="1470" w:type="dxa"/>
            <w:vAlign w:val="center"/>
          </w:tcPr>
          <w:p w:rsidR="009E20D1" w:rsidRDefault="009B6B60">
            <w:pPr>
              <w:jc w:val="center"/>
            </w:pPr>
            <w:r>
              <w:rPr>
                <w:color w:val="000000"/>
                <w:sz w:val="24"/>
              </w:rPr>
              <w:t>6.07</w:t>
            </w:r>
          </w:p>
        </w:tc>
      </w:tr>
      <w:tr w:rsidR="009E20D1">
        <w:tc>
          <w:tcPr>
            <w:tcW w:w="540" w:type="dxa"/>
            <w:vAlign w:val="center"/>
          </w:tcPr>
          <w:p w:rsidR="009E20D1" w:rsidRDefault="009B6B60">
            <w:pPr>
              <w:jc w:val="center"/>
            </w:pPr>
            <w:r>
              <w:rPr>
                <w:color w:val="000000"/>
                <w:sz w:val="24"/>
              </w:rPr>
              <w:t>4</w:t>
            </w:r>
          </w:p>
        </w:tc>
        <w:tc>
          <w:tcPr>
            <w:tcW w:w="2309" w:type="dxa"/>
            <w:vAlign w:val="center"/>
          </w:tcPr>
          <w:p w:rsidR="009E20D1" w:rsidRDefault="009B6B60">
            <w:pPr>
              <w:jc w:val="center"/>
            </w:pPr>
            <w:r>
              <w:rPr>
                <w:color w:val="000000"/>
                <w:sz w:val="24"/>
              </w:rPr>
              <w:t>Yanzhou Coal Mining Company Limited</w:t>
            </w:r>
          </w:p>
        </w:tc>
        <w:tc>
          <w:tcPr>
            <w:tcW w:w="2478" w:type="dxa"/>
            <w:vAlign w:val="center"/>
          </w:tcPr>
          <w:p w:rsidR="009E20D1" w:rsidRDefault="009B6B60">
            <w:pPr>
              <w:jc w:val="center"/>
            </w:pPr>
            <w:r>
              <w:rPr>
                <w:color w:val="000000"/>
                <w:sz w:val="24"/>
              </w:rPr>
              <w:t>1171 HK</w:t>
            </w:r>
          </w:p>
        </w:tc>
        <w:tc>
          <w:tcPr>
            <w:tcW w:w="2201" w:type="dxa"/>
            <w:vAlign w:val="center"/>
          </w:tcPr>
          <w:p w:rsidR="009E20D1" w:rsidRDefault="009B6B60">
            <w:pPr>
              <w:jc w:val="center"/>
            </w:pPr>
            <w:r>
              <w:rPr>
                <w:color w:val="000000"/>
                <w:sz w:val="24"/>
              </w:rPr>
              <w:t>2,366,620.55</w:t>
            </w:r>
          </w:p>
        </w:tc>
        <w:tc>
          <w:tcPr>
            <w:tcW w:w="1470" w:type="dxa"/>
            <w:vAlign w:val="center"/>
          </w:tcPr>
          <w:p w:rsidR="009E20D1" w:rsidRDefault="009B6B60">
            <w:pPr>
              <w:jc w:val="center"/>
            </w:pPr>
            <w:r>
              <w:rPr>
                <w:color w:val="000000"/>
                <w:sz w:val="24"/>
              </w:rPr>
              <w:t>6.02</w:t>
            </w:r>
          </w:p>
        </w:tc>
      </w:tr>
      <w:tr w:rsidR="009E20D1">
        <w:tc>
          <w:tcPr>
            <w:tcW w:w="540" w:type="dxa"/>
            <w:vAlign w:val="center"/>
          </w:tcPr>
          <w:p w:rsidR="009E20D1" w:rsidRDefault="009B6B60">
            <w:pPr>
              <w:jc w:val="center"/>
            </w:pPr>
            <w:r>
              <w:rPr>
                <w:color w:val="000000"/>
                <w:sz w:val="24"/>
              </w:rPr>
              <w:t>5</w:t>
            </w:r>
          </w:p>
        </w:tc>
        <w:tc>
          <w:tcPr>
            <w:tcW w:w="2309" w:type="dxa"/>
            <w:vAlign w:val="center"/>
          </w:tcPr>
          <w:p w:rsidR="009E20D1" w:rsidRDefault="009B6B60">
            <w:pPr>
              <w:jc w:val="center"/>
            </w:pPr>
            <w:r>
              <w:rPr>
                <w:color w:val="000000"/>
                <w:sz w:val="24"/>
              </w:rPr>
              <w:t>Cosco Shipping Holdings Co.,ltd.</w:t>
            </w:r>
          </w:p>
        </w:tc>
        <w:tc>
          <w:tcPr>
            <w:tcW w:w="2478" w:type="dxa"/>
            <w:vAlign w:val="center"/>
          </w:tcPr>
          <w:p w:rsidR="009E20D1" w:rsidRDefault="009B6B60">
            <w:pPr>
              <w:jc w:val="center"/>
            </w:pPr>
            <w:r>
              <w:rPr>
                <w:color w:val="000000"/>
                <w:sz w:val="24"/>
              </w:rPr>
              <w:t>1919 HK</w:t>
            </w:r>
          </w:p>
        </w:tc>
        <w:tc>
          <w:tcPr>
            <w:tcW w:w="2201" w:type="dxa"/>
            <w:vAlign w:val="center"/>
          </w:tcPr>
          <w:p w:rsidR="009E20D1" w:rsidRDefault="009B6B60">
            <w:pPr>
              <w:jc w:val="center"/>
            </w:pPr>
            <w:r>
              <w:rPr>
                <w:color w:val="000000"/>
                <w:sz w:val="24"/>
              </w:rPr>
              <w:t>1,900,348.91</w:t>
            </w:r>
          </w:p>
        </w:tc>
        <w:tc>
          <w:tcPr>
            <w:tcW w:w="1470" w:type="dxa"/>
            <w:vAlign w:val="center"/>
          </w:tcPr>
          <w:p w:rsidR="009E20D1" w:rsidRDefault="009B6B60">
            <w:pPr>
              <w:jc w:val="center"/>
            </w:pPr>
            <w:r>
              <w:rPr>
                <w:color w:val="000000"/>
                <w:sz w:val="24"/>
              </w:rPr>
              <w:t>4.83</w:t>
            </w:r>
          </w:p>
        </w:tc>
      </w:tr>
      <w:tr w:rsidR="009E20D1">
        <w:tc>
          <w:tcPr>
            <w:tcW w:w="540" w:type="dxa"/>
            <w:vAlign w:val="center"/>
          </w:tcPr>
          <w:p w:rsidR="009E20D1" w:rsidRDefault="009B6B60">
            <w:pPr>
              <w:jc w:val="center"/>
            </w:pPr>
            <w:r>
              <w:rPr>
                <w:color w:val="000000"/>
                <w:sz w:val="24"/>
              </w:rPr>
              <w:t>6</w:t>
            </w:r>
          </w:p>
        </w:tc>
        <w:tc>
          <w:tcPr>
            <w:tcW w:w="2309" w:type="dxa"/>
            <w:vAlign w:val="center"/>
          </w:tcPr>
          <w:p w:rsidR="009E20D1" w:rsidRDefault="009B6B60">
            <w:pPr>
              <w:jc w:val="center"/>
            </w:pPr>
            <w:r>
              <w:rPr>
                <w:color w:val="000000"/>
                <w:sz w:val="24"/>
              </w:rPr>
              <w:t>China Petroleum &amp; Chemical Corporation</w:t>
            </w:r>
          </w:p>
        </w:tc>
        <w:tc>
          <w:tcPr>
            <w:tcW w:w="2478" w:type="dxa"/>
            <w:vAlign w:val="center"/>
          </w:tcPr>
          <w:p w:rsidR="009E20D1" w:rsidRDefault="009B6B60">
            <w:pPr>
              <w:jc w:val="center"/>
            </w:pPr>
            <w:r>
              <w:rPr>
                <w:color w:val="000000"/>
                <w:sz w:val="24"/>
              </w:rPr>
              <w:t>386 HK</w:t>
            </w:r>
          </w:p>
        </w:tc>
        <w:tc>
          <w:tcPr>
            <w:tcW w:w="2201" w:type="dxa"/>
            <w:vAlign w:val="center"/>
          </w:tcPr>
          <w:p w:rsidR="009E20D1" w:rsidRDefault="009B6B60">
            <w:pPr>
              <w:jc w:val="center"/>
            </w:pPr>
            <w:r>
              <w:rPr>
                <w:color w:val="000000"/>
                <w:sz w:val="24"/>
              </w:rPr>
              <w:t>1,642,790.85</w:t>
            </w:r>
          </w:p>
        </w:tc>
        <w:tc>
          <w:tcPr>
            <w:tcW w:w="1470" w:type="dxa"/>
            <w:vAlign w:val="center"/>
          </w:tcPr>
          <w:p w:rsidR="009E20D1" w:rsidRDefault="009B6B60">
            <w:pPr>
              <w:jc w:val="center"/>
            </w:pPr>
            <w:r>
              <w:rPr>
                <w:color w:val="000000"/>
                <w:sz w:val="24"/>
              </w:rPr>
              <w:t>4.18</w:t>
            </w:r>
          </w:p>
        </w:tc>
      </w:tr>
      <w:tr w:rsidR="009E20D1">
        <w:tc>
          <w:tcPr>
            <w:tcW w:w="540" w:type="dxa"/>
            <w:vAlign w:val="center"/>
          </w:tcPr>
          <w:p w:rsidR="009E20D1" w:rsidRDefault="009B6B60">
            <w:pPr>
              <w:jc w:val="center"/>
            </w:pPr>
            <w:r>
              <w:rPr>
                <w:color w:val="000000"/>
                <w:sz w:val="24"/>
              </w:rPr>
              <w:t>7</w:t>
            </w:r>
          </w:p>
        </w:tc>
        <w:tc>
          <w:tcPr>
            <w:tcW w:w="2309" w:type="dxa"/>
            <w:vAlign w:val="center"/>
          </w:tcPr>
          <w:p w:rsidR="009E20D1" w:rsidRDefault="009B6B60">
            <w:pPr>
              <w:jc w:val="center"/>
            </w:pPr>
            <w:r>
              <w:rPr>
                <w:color w:val="000000"/>
                <w:sz w:val="24"/>
              </w:rPr>
              <w:t>China State Construction International Holdings Limited</w:t>
            </w:r>
          </w:p>
        </w:tc>
        <w:tc>
          <w:tcPr>
            <w:tcW w:w="2478" w:type="dxa"/>
            <w:vAlign w:val="center"/>
          </w:tcPr>
          <w:p w:rsidR="009E20D1" w:rsidRDefault="009B6B60">
            <w:pPr>
              <w:jc w:val="center"/>
            </w:pPr>
            <w:r>
              <w:rPr>
                <w:color w:val="000000"/>
                <w:sz w:val="24"/>
              </w:rPr>
              <w:t>3311 HK</w:t>
            </w:r>
          </w:p>
        </w:tc>
        <w:tc>
          <w:tcPr>
            <w:tcW w:w="2201" w:type="dxa"/>
            <w:vAlign w:val="center"/>
          </w:tcPr>
          <w:p w:rsidR="009E20D1" w:rsidRDefault="009B6B60">
            <w:pPr>
              <w:jc w:val="center"/>
            </w:pPr>
            <w:r>
              <w:rPr>
                <w:color w:val="000000"/>
                <w:sz w:val="24"/>
              </w:rPr>
              <w:t>1,627,781.19</w:t>
            </w:r>
          </w:p>
        </w:tc>
        <w:tc>
          <w:tcPr>
            <w:tcW w:w="1470" w:type="dxa"/>
            <w:vAlign w:val="center"/>
          </w:tcPr>
          <w:p w:rsidR="009E20D1" w:rsidRDefault="009B6B60">
            <w:pPr>
              <w:jc w:val="center"/>
            </w:pPr>
            <w:r>
              <w:rPr>
                <w:color w:val="000000"/>
                <w:sz w:val="24"/>
              </w:rPr>
              <w:t>4.14</w:t>
            </w:r>
          </w:p>
        </w:tc>
      </w:tr>
      <w:tr w:rsidR="009E20D1">
        <w:tc>
          <w:tcPr>
            <w:tcW w:w="540" w:type="dxa"/>
            <w:vAlign w:val="center"/>
          </w:tcPr>
          <w:p w:rsidR="009E20D1" w:rsidRDefault="009B6B60">
            <w:pPr>
              <w:jc w:val="center"/>
            </w:pPr>
            <w:r>
              <w:rPr>
                <w:color w:val="000000"/>
                <w:sz w:val="24"/>
              </w:rPr>
              <w:t>8</w:t>
            </w:r>
          </w:p>
        </w:tc>
        <w:tc>
          <w:tcPr>
            <w:tcW w:w="2309" w:type="dxa"/>
            <w:vAlign w:val="center"/>
          </w:tcPr>
          <w:p w:rsidR="009E20D1" w:rsidRDefault="009B6B60">
            <w:pPr>
              <w:jc w:val="center"/>
            </w:pPr>
            <w:r>
              <w:rPr>
                <w:color w:val="000000"/>
                <w:sz w:val="24"/>
              </w:rPr>
              <w:t>China Shenhua Energy Company Limited</w:t>
            </w:r>
          </w:p>
        </w:tc>
        <w:tc>
          <w:tcPr>
            <w:tcW w:w="2478" w:type="dxa"/>
            <w:vAlign w:val="center"/>
          </w:tcPr>
          <w:p w:rsidR="009E20D1" w:rsidRDefault="009B6B60">
            <w:pPr>
              <w:jc w:val="center"/>
            </w:pPr>
            <w:r>
              <w:rPr>
                <w:color w:val="000000"/>
                <w:sz w:val="24"/>
              </w:rPr>
              <w:t>1088 HK</w:t>
            </w:r>
          </w:p>
        </w:tc>
        <w:tc>
          <w:tcPr>
            <w:tcW w:w="2201" w:type="dxa"/>
            <w:vAlign w:val="center"/>
          </w:tcPr>
          <w:p w:rsidR="009E20D1" w:rsidRDefault="009B6B60">
            <w:pPr>
              <w:jc w:val="center"/>
            </w:pPr>
            <w:r>
              <w:rPr>
                <w:color w:val="000000"/>
                <w:sz w:val="24"/>
              </w:rPr>
              <w:t>1,561,295.53</w:t>
            </w:r>
          </w:p>
        </w:tc>
        <w:tc>
          <w:tcPr>
            <w:tcW w:w="1470" w:type="dxa"/>
            <w:vAlign w:val="center"/>
          </w:tcPr>
          <w:p w:rsidR="009E20D1" w:rsidRDefault="009B6B60">
            <w:pPr>
              <w:jc w:val="center"/>
            </w:pPr>
            <w:r>
              <w:rPr>
                <w:color w:val="000000"/>
                <w:sz w:val="24"/>
              </w:rPr>
              <w:t>3.97</w:t>
            </w:r>
          </w:p>
        </w:tc>
      </w:tr>
      <w:tr w:rsidR="009E20D1">
        <w:tc>
          <w:tcPr>
            <w:tcW w:w="540" w:type="dxa"/>
            <w:vAlign w:val="center"/>
          </w:tcPr>
          <w:p w:rsidR="009E20D1" w:rsidRDefault="009B6B60">
            <w:pPr>
              <w:jc w:val="center"/>
            </w:pPr>
            <w:r>
              <w:rPr>
                <w:color w:val="000000"/>
                <w:sz w:val="24"/>
              </w:rPr>
              <w:t>9</w:t>
            </w:r>
          </w:p>
        </w:tc>
        <w:tc>
          <w:tcPr>
            <w:tcW w:w="2309" w:type="dxa"/>
            <w:vAlign w:val="center"/>
          </w:tcPr>
          <w:p w:rsidR="009E20D1" w:rsidRDefault="009B6B60">
            <w:pPr>
              <w:jc w:val="center"/>
            </w:pPr>
            <w:r>
              <w:rPr>
                <w:color w:val="000000"/>
                <w:sz w:val="24"/>
              </w:rPr>
              <w:t>Zijin Mining Group Co.,Ltd.</w:t>
            </w:r>
          </w:p>
        </w:tc>
        <w:tc>
          <w:tcPr>
            <w:tcW w:w="2478" w:type="dxa"/>
            <w:vAlign w:val="center"/>
          </w:tcPr>
          <w:p w:rsidR="009E20D1" w:rsidRDefault="009B6B60">
            <w:pPr>
              <w:jc w:val="center"/>
            </w:pPr>
            <w:r>
              <w:rPr>
                <w:color w:val="000000"/>
                <w:sz w:val="24"/>
              </w:rPr>
              <w:t>2899 HK</w:t>
            </w:r>
          </w:p>
        </w:tc>
        <w:tc>
          <w:tcPr>
            <w:tcW w:w="2201" w:type="dxa"/>
            <w:vAlign w:val="center"/>
          </w:tcPr>
          <w:p w:rsidR="009E20D1" w:rsidRDefault="009B6B60">
            <w:pPr>
              <w:jc w:val="center"/>
            </w:pPr>
            <w:r>
              <w:rPr>
                <w:color w:val="000000"/>
                <w:sz w:val="24"/>
              </w:rPr>
              <w:t>1,515,512.92</w:t>
            </w:r>
          </w:p>
        </w:tc>
        <w:tc>
          <w:tcPr>
            <w:tcW w:w="1470" w:type="dxa"/>
            <w:vAlign w:val="center"/>
          </w:tcPr>
          <w:p w:rsidR="009E20D1" w:rsidRDefault="009B6B60">
            <w:pPr>
              <w:jc w:val="center"/>
            </w:pPr>
            <w:r>
              <w:rPr>
                <w:color w:val="000000"/>
                <w:sz w:val="24"/>
              </w:rPr>
              <w:t>3.85</w:t>
            </w:r>
          </w:p>
        </w:tc>
      </w:tr>
      <w:tr w:rsidR="009E20D1">
        <w:tc>
          <w:tcPr>
            <w:tcW w:w="540" w:type="dxa"/>
            <w:vAlign w:val="center"/>
          </w:tcPr>
          <w:p w:rsidR="009E20D1" w:rsidRDefault="009B6B60">
            <w:pPr>
              <w:jc w:val="center"/>
            </w:pPr>
            <w:r>
              <w:rPr>
                <w:color w:val="000000"/>
                <w:sz w:val="24"/>
              </w:rPr>
              <w:t>10</w:t>
            </w:r>
          </w:p>
        </w:tc>
        <w:tc>
          <w:tcPr>
            <w:tcW w:w="2309" w:type="dxa"/>
            <w:vAlign w:val="center"/>
          </w:tcPr>
          <w:p w:rsidR="009E20D1" w:rsidRDefault="009B6B60">
            <w:pPr>
              <w:jc w:val="center"/>
            </w:pPr>
            <w:r>
              <w:rPr>
                <w:color w:val="000000"/>
                <w:sz w:val="24"/>
              </w:rPr>
              <w:t>Beijing Enterprises Water Group Limited</w:t>
            </w:r>
          </w:p>
        </w:tc>
        <w:tc>
          <w:tcPr>
            <w:tcW w:w="2478" w:type="dxa"/>
            <w:vAlign w:val="center"/>
          </w:tcPr>
          <w:p w:rsidR="009E20D1" w:rsidRDefault="009B6B60">
            <w:pPr>
              <w:jc w:val="center"/>
            </w:pPr>
            <w:r>
              <w:rPr>
                <w:color w:val="000000"/>
                <w:sz w:val="24"/>
              </w:rPr>
              <w:t>371 HK</w:t>
            </w:r>
          </w:p>
        </w:tc>
        <w:tc>
          <w:tcPr>
            <w:tcW w:w="2201" w:type="dxa"/>
            <w:vAlign w:val="center"/>
          </w:tcPr>
          <w:p w:rsidR="009E20D1" w:rsidRDefault="009B6B60">
            <w:pPr>
              <w:jc w:val="center"/>
            </w:pPr>
            <w:r>
              <w:rPr>
                <w:color w:val="000000"/>
                <w:sz w:val="24"/>
              </w:rPr>
              <w:t>1,465,649.41</w:t>
            </w:r>
          </w:p>
        </w:tc>
        <w:tc>
          <w:tcPr>
            <w:tcW w:w="1470" w:type="dxa"/>
            <w:vAlign w:val="center"/>
          </w:tcPr>
          <w:p w:rsidR="009E20D1" w:rsidRDefault="009B6B60">
            <w:pPr>
              <w:jc w:val="center"/>
            </w:pPr>
            <w:r>
              <w:rPr>
                <w:color w:val="000000"/>
                <w:sz w:val="24"/>
              </w:rPr>
              <w:t>3.73</w:t>
            </w:r>
          </w:p>
        </w:tc>
      </w:tr>
      <w:tr w:rsidR="009E20D1">
        <w:tc>
          <w:tcPr>
            <w:tcW w:w="540" w:type="dxa"/>
            <w:vAlign w:val="center"/>
          </w:tcPr>
          <w:p w:rsidR="009E20D1" w:rsidRDefault="009B6B60">
            <w:pPr>
              <w:jc w:val="center"/>
            </w:pPr>
            <w:r>
              <w:rPr>
                <w:color w:val="000000"/>
                <w:sz w:val="24"/>
              </w:rPr>
              <w:t>11</w:t>
            </w:r>
          </w:p>
        </w:tc>
        <w:tc>
          <w:tcPr>
            <w:tcW w:w="2309" w:type="dxa"/>
            <w:vAlign w:val="center"/>
          </w:tcPr>
          <w:p w:rsidR="009E20D1" w:rsidRDefault="009B6B60">
            <w:pPr>
              <w:jc w:val="center"/>
            </w:pPr>
            <w:r>
              <w:rPr>
                <w:color w:val="000000"/>
                <w:sz w:val="24"/>
              </w:rPr>
              <w:t>Tencent Holdings Limited</w:t>
            </w:r>
          </w:p>
        </w:tc>
        <w:tc>
          <w:tcPr>
            <w:tcW w:w="2478" w:type="dxa"/>
            <w:vAlign w:val="center"/>
          </w:tcPr>
          <w:p w:rsidR="009E20D1" w:rsidRDefault="009B6B60">
            <w:pPr>
              <w:jc w:val="center"/>
            </w:pPr>
            <w:r>
              <w:rPr>
                <w:color w:val="000000"/>
                <w:sz w:val="24"/>
              </w:rPr>
              <w:t>700 HK</w:t>
            </w:r>
          </w:p>
        </w:tc>
        <w:tc>
          <w:tcPr>
            <w:tcW w:w="2201" w:type="dxa"/>
            <w:vAlign w:val="center"/>
          </w:tcPr>
          <w:p w:rsidR="009E20D1" w:rsidRDefault="009B6B60">
            <w:pPr>
              <w:jc w:val="center"/>
            </w:pPr>
            <w:r>
              <w:rPr>
                <w:color w:val="000000"/>
                <w:sz w:val="24"/>
              </w:rPr>
              <w:t>1,432,088.35</w:t>
            </w:r>
          </w:p>
        </w:tc>
        <w:tc>
          <w:tcPr>
            <w:tcW w:w="1470" w:type="dxa"/>
            <w:vAlign w:val="center"/>
          </w:tcPr>
          <w:p w:rsidR="009E20D1" w:rsidRDefault="009B6B60">
            <w:pPr>
              <w:jc w:val="center"/>
            </w:pPr>
            <w:r>
              <w:rPr>
                <w:color w:val="000000"/>
                <w:sz w:val="24"/>
              </w:rPr>
              <w:t>3.64</w:t>
            </w:r>
          </w:p>
        </w:tc>
      </w:tr>
      <w:tr w:rsidR="009E20D1">
        <w:tc>
          <w:tcPr>
            <w:tcW w:w="540" w:type="dxa"/>
            <w:vAlign w:val="center"/>
          </w:tcPr>
          <w:p w:rsidR="009E20D1" w:rsidRDefault="009B6B60">
            <w:pPr>
              <w:jc w:val="center"/>
            </w:pPr>
            <w:r>
              <w:rPr>
                <w:color w:val="000000"/>
                <w:sz w:val="24"/>
              </w:rPr>
              <w:t>12</w:t>
            </w:r>
          </w:p>
        </w:tc>
        <w:tc>
          <w:tcPr>
            <w:tcW w:w="2309" w:type="dxa"/>
            <w:vAlign w:val="center"/>
          </w:tcPr>
          <w:p w:rsidR="009E20D1" w:rsidRDefault="009B6B60">
            <w:pPr>
              <w:jc w:val="center"/>
            </w:pPr>
            <w:r>
              <w:rPr>
                <w:color w:val="000000"/>
                <w:sz w:val="24"/>
              </w:rPr>
              <w:t>China National Building Material Company Limited</w:t>
            </w:r>
          </w:p>
        </w:tc>
        <w:tc>
          <w:tcPr>
            <w:tcW w:w="2478" w:type="dxa"/>
            <w:vAlign w:val="center"/>
          </w:tcPr>
          <w:p w:rsidR="009E20D1" w:rsidRDefault="009B6B60">
            <w:pPr>
              <w:jc w:val="center"/>
            </w:pPr>
            <w:r>
              <w:rPr>
                <w:color w:val="000000"/>
                <w:sz w:val="24"/>
              </w:rPr>
              <w:t>3323 HK</w:t>
            </w:r>
          </w:p>
        </w:tc>
        <w:tc>
          <w:tcPr>
            <w:tcW w:w="2201" w:type="dxa"/>
            <w:vAlign w:val="center"/>
          </w:tcPr>
          <w:p w:rsidR="009E20D1" w:rsidRDefault="009B6B60">
            <w:pPr>
              <w:jc w:val="center"/>
            </w:pPr>
            <w:r>
              <w:rPr>
                <w:color w:val="000000"/>
                <w:sz w:val="24"/>
              </w:rPr>
              <w:t>1,408,377.74</w:t>
            </w:r>
          </w:p>
        </w:tc>
        <w:tc>
          <w:tcPr>
            <w:tcW w:w="1470" w:type="dxa"/>
            <w:vAlign w:val="center"/>
          </w:tcPr>
          <w:p w:rsidR="009E20D1" w:rsidRDefault="009B6B60">
            <w:pPr>
              <w:jc w:val="center"/>
            </w:pPr>
            <w:r>
              <w:rPr>
                <w:color w:val="000000"/>
                <w:sz w:val="24"/>
              </w:rPr>
              <w:t>3.58</w:t>
            </w:r>
          </w:p>
        </w:tc>
      </w:tr>
      <w:tr w:rsidR="009E20D1">
        <w:tc>
          <w:tcPr>
            <w:tcW w:w="540" w:type="dxa"/>
            <w:vAlign w:val="center"/>
          </w:tcPr>
          <w:p w:rsidR="009E20D1" w:rsidRDefault="009B6B60">
            <w:pPr>
              <w:jc w:val="center"/>
            </w:pPr>
            <w:r>
              <w:rPr>
                <w:color w:val="000000"/>
                <w:sz w:val="24"/>
              </w:rPr>
              <w:t>13</w:t>
            </w:r>
          </w:p>
        </w:tc>
        <w:tc>
          <w:tcPr>
            <w:tcW w:w="2309" w:type="dxa"/>
            <w:vAlign w:val="center"/>
          </w:tcPr>
          <w:p w:rsidR="009E20D1" w:rsidRDefault="009B6B60">
            <w:pPr>
              <w:jc w:val="center"/>
            </w:pPr>
            <w:r>
              <w:rPr>
                <w:color w:val="000000"/>
                <w:sz w:val="24"/>
              </w:rPr>
              <w:t>CSPC Pharmaceutical Group Limited</w:t>
            </w:r>
          </w:p>
        </w:tc>
        <w:tc>
          <w:tcPr>
            <w:tcW w:w="2478" w:type="dxa"/>
            <w:vAlign w:val="center"/>
          </w:tcPr>
          <w:p w:rsidR="009E20D1" w:rsidRDefault="009B6B60">
            <w:pPr>
              <w:jc w:val="center"/>
            </w:pPr>
            <w:r>
              <w:rPr>
                <w:color w:val="000000"/>
                <w:sz w:val="24"/>
              </w:rPr>
              <w:t>1093 HK</w:t>
            </w:r>
          </w:p>
        </w:tc>
        <w:tc>
          <w:tcPr>
            <w:tcW w:w="2201" w:type="dxa"/>
            <w:vAlign w:val="center"/>
          </w:tcPr>
          <w:p w:rsidR="009E20D1" w:rsidRDefault="009B6B60">
            <w:pPr>
              <w:jc w:val="center"/>
            </w:pPr>
            <w:r>
              <w:rPr>
                <w:color w:val="000000"/>
                <w:sz w:val="24"/>
              </w:rPr>
              <w:t>1,269,381.16</w:t>
            </w:r>
          </w:p>
        </w:tc>
        <w:tc>
          <w:tcPr>
            <w:tcW w:w="1470" w:type="dxa"/>
            <w:vAlign w:val="center"/>
          </w:tcPr>
          <w:p w:rsidR="009E20D1" w:rsidRDefault="009B6B60">
            <w:pPr>
              <w:jc w:val="center"/>
            </w:pPr>
            <w:r>
              <w:rPr>
                <w:color w:val="000000"/>
                <w:sz w:val="24"/>
              </w:rPr>
              <w:t>3.23</w:t>
            </w:r>
          </w:p>
        </w:tc>
      </w:tr>
      <w:tr w:rsidR="009E20D1">
        <w:tc>
          <w:tcPr>
            <w:tcW w:w="540" w:type="dxa"/>
            <w:vAlign w:val="center"/>
          </w:tcPr>
          <w:p w:rsidR="009E20D1" w:rsidRDefault="009B6B60">
            <w:pPr>
              <w:jc w:val="center"/>
            </w:pPr>
            <w:r>
              <w:rPr>
                <w:color w:val="000000"/>
                <w:sz w:val="24"/>
              </w:rPr>
              <w:t>14</w:t>
            </w:r>
          </w:p>
        </w:tc>
        <w:tc>
          <w:tcPr>
            <w:tcW w:w="2309" w:type="dxa"/>
            <w:vAlign w:val="center"/>
          </w:tcPr>
          <w:p w:rsidR="009E20D1" w:rsidRDefault="009B6B60">
            <w:pPr>
              <w:jc w:val="center"/>
            </w:pPr>
            <w:r>
              <w:rPr>
                <w:color w:val="000000"/>
                <w:sz w:val="24"/>
              </w:rPr>
              <w:t>Yihai International Holding Ltd.</w:t>
            </w:r>
          </w:p>
        </w:tc>
        <w:tc>
          <w:tcPr>
            <w:tcW w:w="2478" w:type="dxa"/>
            <w:vAlign w:val="center"/>
          </w:tcPr>
          <w:p w:rsidR="009E20D1" w:rsidRDefault="009B6B60">
            <w:pPr>
              <w:jc w:val="center"/>
            </w:pPr>
            <w:r>
              <w:rPr>
                <w:color w:val="000000"/>
                <w:sz w:val="24"/>
              </w:rPr>
              <w:t>1579 HK</w:t>
            </w:r>
          </w:p>
        </w:tc>
        <w:tc>
          <w:tcPr>
            <w:tcW w:w="2201" w:type="dxa"/>
            <w:vAlign w:val="center"/>
          </w:tcPr>
          <w:p w:rsidR="009E20D1" w:rsidRDefault="009B6B60">
            <w:pPr>
              <w:jc w:val="center"/>
            </w:pPr>
            <w:r>
              <w:rPr>
                <w:color w:val="000000"/>
                <w:sz w:val="24"/>
              </w:rPr>
              <w:t>1,253,389.74</w:t>
            </w:r>
          </w:p>
        </w:tc>
        <w:tc>
          <w:tcPr>
            <w:tcW w:w="1470" w:type="dxa"/>
            <w:vAlign w:val="center"/>
          </w:tcPr>
          <w:p w:rsidR="009E20D1" w:rsidRDefault="009B6B60">
            <w:pPr>
              <w:jc w:val="center"/>
            </w:pPr>
            <w:r>
              <w:rPr>
                <w:color w:val="000000"/>
                <w:sz w:val="24"/>
              </w:rPr>
              <w:t>3.19</w:t>
            </w:r>
          </w:p>
        </w:tc>
      </w:tr>
      <w:tr w:rsidR="009E20D1">
        <w:tc>
          <w:tcPr>
            <w:tcW w:w="540" w:type="dxa"/>
            <w:vAlign w:val="center"/>
          </w:tcPr>
          <w:p w:rsidR="009E20D1" w:rsidRDefault="009B6B60">
            <w:pPr>
              <w:jc w:val="center"/>
            </w:pPr>
            <w:r>
              <w:rPr>
                <w:color w:val="000000"/>
                <w:sz w:val="24"/>
              </w:rPr>
              <w:t>15</w:t>
            </w:r>
          </w:p>
        </w:tc>
        <w:tc>
          <w:tcPr>
            <w:tcW w:w="2309" w:type="dxa"/>
            <w:vAlign w:val="center"/>
          </w:tcPr>
          <w:p w:rsidR="009E20D1" w:rsidRDefault="009B6B60">
            <w:pPr>
              <w:jc w:val="center"/>
            </w:pPr>
            <w:r>
              <w:rPr>
                <w:color w:val="000000"/>
                <w:sz w:val="24"/>
              </w:rPr>
              <w:t>Huadian Power International Corporation Limited</w:t>
            </w:r>
          </w:p>
        </w:tc>
        <w:tc>
          <w:tcPr>
            <w:tcW w:w="2478" w:type="dxa"/>
            <w:vAlign w:val="center"/>
          </w:tcPr>
          <w:p w:rsidR="009E20D1" w:rsidRDefault="009B6B60">
            <w:pPr>
              <w:jc w:val="center"/>
            </w:pPr>
            <w:r>
              <w:rPr>
                <w:color w:val="000000"/>
                <w:sz w:val="24"/>
              </w:rPr>
              <w:t>1071 HK</w:t>
            </w:r>
          </w:p>
        </w:tc>
        <w:tc>
          <w:tcPr>
            <w:tcW w:w="2201" w:type="dxa"/>
            <w:vAlign w:val="center"/>
          </w:tcPr>
          <w:p w:rsidR="009E20D1" w:rsidRDefault="009B6B60">
            <w:pPr>
              <w:jc w:val="center"/>
            </w:pPr>
            <w:r>
              <w:rPr>
                <w:color w:val="000000"/>
                <w:sz w:val="24"/>
              </w:rPr>
              <w:t>1,241,248.37</w:t>
            </w:r>
          </w:p>
        </w:tc>
        <w:tc>
          <w:tcPr>
            <w:tcW w:w="1470" w:type="dxa"/>
            <w:vAlign w:val="center"/>
          </w:tcPr>
          <w:p w:rsidR="009E20D1" w:rsidRDefault="009B6B60">
            <w:pPr>
              <w:jc w:val="center"/>
            </w:pPr>
            <w:r>
              <w:rPr>
                <w:color w:val="000000"/>
                <w:sz w:val="24"/>
              </w:rPr>
              <w:t>3.16</w:t>
            </w:r>
          </w:p>
        </w:tc>
      </w:tr>
      <w:tr w:rsidR="009E20D1">
        <w:tc>
          <w:tcPr>
            <w:tcW w:w="540" w:type="dxa"/>
            <w:vAlign w:val="center"/>
          </w:tcPr>
          <w:p w:rsidR="009E20D1" w:rsidRDefault="009B6B60">
            <w:pPr>
              <w:jc w:val="center"/>
            </w:pPr>
            <w:r>
              <w:rPr>
                <w:color w:val="000000"/>
                <w:sz w:val="24"/>
              </w:rPr>
              <w:t>16</w:t>
            </w:r>
          </w:p>
        </w:tc>
        <w:tc>
          <w:tcPr>
            <w:tcW w:w="2309" w:type="dxa"/>
            <w:vAlign w:val="center"/>
          </w:tcPr>
          <w:p w:rsidR="009E20D1" w:rsidRDefault="009B6B60">
            <w:pPr>
              <w:jc w:val="center"/>
            </w:pPr>
            <w:r>
              <w:rPr>
                <w:color w:val="000000"/>
                <w:sz w:val="24"/>
              </w:rPr>
              <w:t>Chongqing Rural Commercial Bank Co.,ltd.</w:t>
            </w:r>
          </w:p>
        </w:tc>
        <w:tc>
          <w:tcPr>
            <w:tcW w:w="2478" w:type="dxa"/>
            <w:vAlign w:val="center"/>
          </w:tcPr>
          <w:p w:rsidR="009E20D1" w:rsidRDefault="009B6B60">
            <w:pPr>
              <w:jc w:val="center"/>
            </w:pPr>
            <w:r>
              <w:rPr>
                <w:color w:val="000000"/>
                <w:sz w:val="24"/>
              </w:rPr>
              <w:t>3618 HK</w:t>
            </w:r>
          </w:p>
        </w:tc>
        <w:tc>
          <w:tcPr>
            <w:tcW w:w="2201" w:type="dxa"/>
            <w:vAlign w:val="center"/>
          </w:tcPr>
          <w:p w:rsidR="009E20D1" w:rsidRDefault="009B6B60">
            <w:pPr>
              <w:jc w:val="center"/>
            </w:pPr>
            <w:r>
              <w:rPr>
                <w:color w:val="000000"/>
                <w:sz w:val="24"/>
              </w:rPr>
              <w:t>1,235,481.52</w:t>
            </w:r>
          </w:p>
        </w:tc>
        <w:tc>
          <w:tcPr>
            <w:tcW w:w="1470" w:type="dxa"/>
            <w:vAlign w:val="center"/>
          </w:tcPr>
          <w:p w:rsidR="009E20D1" w:rsidRDefault="009B6B60">
            <w:pPr>
              <w:jc w:val="center"/>
            </w:pPr>
            <w:r>
              <w:rPr>
                <w:color w:val="000000"/>
                <w:sz w:val="24"/>
              </w:rPr>
              <w:t>3.14</w:t>
            </w:r>
          </w:p>
        </w:tc>
      </w:tr>
      <w:tr w:rsidR="009E20D1">
        <w:tc>
          <w:tcPr>
            <w:tcW w:w="540" w:type="dxa"/>
            <w:vAlign w:val="center"/>
          </w:tcPr>
          <w:p w:rsidR="009E20D1" w:rsidRDefault="009B6B60">
            <w:pPr>
              <w:jc w:val="center"/>
            </w:pPr>
            <w:r>
              <w:rPr>
                <w:color w:val="000000"/>
                <w:sz w:val="24"/>
              </w:rPr>
              <w:t>17</w:t>
            </w:r>
          </w:p>
        </w:tc>
        <w:tc>
          <w:tcPr>
            <w:tcW w:w="2309" w:type="dxa"/>
            <w:vAlign w:val="center"/>
          </w:tcPr>
          <w:p w:rsidR="009E20D1" w:rsidRDefault="009B6B60">
            <w:pPr>
              <w:jc w:val="center"/>
            </w:pPr>
            <w:r>
              <w:rPr>
                <w:color w:val="000000"/>
                <w:sz w:val="24"/>
              </w:rPr>
              <w:t>Xinjiang Goldwind Science &amp; technology CO.,Ltd.</w:t>
            </w:r>
          </w:p>
        </w:tc>
        <w:tc>
          <w:tcPr>
            <w:tcW w:w="2478" w:type="dxa"/>
            <w:vAlign w:val="center"/>
          </w:tcPr>
          <w:p w:rsidR="009E20D1" w:rsidRDefault="009B6B60">
            <w:pPr>
              <w:jc w:val="center"/>
            </w:pPr>
            <w:r>
              <w:rPr>
                <w:color w:val="000000"/>
                <w:sz w:val="24"/>
              </w:rPr>
              <w:t>2208 HK</w:t>
            </w:r>
          </w:p>
        </w:tc>
        <w:tc>
          <w:tcPr>
            <w:tcW w:w="2201" w:type="dxa"/>
            <w:vAlign w:val="center"/>
          </w:tcPr>
          <w:p w:rsidR="009E20D1" w:rsidRDefault="009B6B60">
            <w:pPr>
              <w:jc w:val="center"/>
            </w:pPr>
            <w:r>
              <w:rPr>
                <w:color w:val="000000"/>
                <w:sz w:val="24"/>
              </w:rPr>
              <w:t>1,122,282.03</w:t>
            </w:r>
          </w:p>
        </w:tc>
        <w:tc>
          <w:tcPr>
            <w:tcW w:w="1470" w:type="dxa"/>
            <w:vAlign w:val="center"/>
          </w:tcPr>
          <w:p w:rsidR="009E20D1" w:rsidRDefault="009B6B60">
            <w:pPr>
              <w:jc w:val="center"/>
            </w:pPr>
            <w:r>
              <w:rPr>
                <w:color w:val="000000"/>
                <w:sz w:val="24"/>
              </w:rPr>
              <w:t>2.85</w:t>
            </w:r>
          </w:p>
        </w:tc>
      </w:tr>
      <w:tr w:rsidR="009E20D1">
        <w:tc>
          <w:tcPr>
            <w:tcW w:w="540" w:type="dxa"/>
            <w:vAlign w:val="center"/>
          </w:tcPr>
          <w:p w:rsidR="009E20D1" w:rsidRDefault="009B6B60">
            <w:pPr>
              <w:jc w:val="center"/>
            </w:pPr>
            <w:r>
              <w:rPr>
                <w:color w:val="000000"/>
                <w:sz w:val="24"/>
              </w:rPr>
              <w:t>18</w:t>
            </w:r>
          </w:p>
        </w:tc>
        <w:tc>
          <w:tcPr>
            <w:tcW w:w="2309" w:type="dxa"/>
            <w:vAlign w:val="center"/>
          </w:tcPr>
          <w:p w:rsidR="009E20D1" w:rsidRDefault="009B6B60">
            <w:pPr>
              <w:jc w:val="center"/>
            </w:pPr>
            <w:r>
              <w:rPr>
                <w:color w:val="000000"/>
                <w:sz w:val="24"/>
              </w:rPr>
              <w:t>Canvest Environmental Protection Group Company Limited</w:t>
            </w:r>
          </w:p>
        </w:tc>
        <w:tc>
          <w:tcPr>
            <w:tcW w:w="2478" w:type="dxa"/>
            <w:vAlign w:val="center"/>
          </w:tcPr>
          <w:p w:rsidR="009E20D1" w:rsidRDefault="009B6B60">
            <w:pPr>
              <w:jc w:val="center"/>
            </w:pPr>
            <w:r>
              <w:rPr>
                <w:color w:val="000000"/>
                <w:sz w:val="24"/>
              </w:rPr>
              <w:t>1381 HK</w:t>
            </w:r>
          </w:p>
        </w:tc>
        <w:tc>
          <w:tcPr>
            <w:tcW w:w="2201" w:type="dxa"/>
            <w:vAlign w:val="center"/>
          </w:tcPr>
          <w:p w:rsidR="009E20D1" w:rsidRDefault="009B6B60">
            <w:pPr>
              <w:jc w:val="center"/>
            </w:pPr>
            <w:r>
              <w:rPr>
                <w:color w:val="000000"/>
                <w:sz w:val="24"/>
              </w:rPr>
              <w:t>1,073,724.65</w:t>
            </w:r>
          </w:p>
        </w:tc>
        <w:tc>
          <w:tcPr>
            <w:tcW w:w="1470" w:type="dxa"/>
            <w:vAlign w:val="center"/>
          </w:tcPr>
          <w:p w:rsidR="009E20D1" w:rsidRDefault="009B6B60">
            <w:pPr>
              <w:jc w:val="center"/>
            </w:pPr>
            <w:r>
              <w:rPr>
                <w:color w:val="000000"/>
                <w:sz w:val="24"/>
              </w:rPr>
              <w:t>2.73</w:t>
            </w:r>
          </w:p>
        </w:tc>
      </w:tr>
      <w:tr w:rsidR="009E20D1">
        <w:tc>
          <w:tcPr>
            <w:tcW w:w="540" w:type="dxa"/>
            <w:vAlign w:val="center"/>
          </w:tcPr>
          <w:p w:rsidR="009E20D1" w:rsidRDefault="009B6B60">
            <w:pPr>
              <w:jc w:val="center"/>
            </w:pPr>
            <w:r>
              <w:rPr>
                <w:color w:val="000000"/>
                <w:sz w:val="24"/>
              </w:rPr>
              <w:t>19</w:t>
            </w:r>
          </w:p>
        </w:tc>
        <w:tc>
          <w:tcPr>
            <w:tcW w:w="2309" w:type="dxa"/>
            <w:vAlign w:val="center"/>
          </w:tcPr>
          <w:p w:rsidR="009E20D1" w:rsidRDefault="009B6B60">
            <w:pPr>
              <w:jc w:val="center"/>
            </w:pPr>
            <w:r>
              <w:rPr>
                <w:color w:val="000000"/>
                <w:sz w:val="24"/>
              </w:rPr>
              <w:t>Huaneng Power International,Inc.</w:t>
            </w:r>
          </w:p>
        </w:tc>
        <w:tc>
          <w:tcPr>
            <w:tcW w:w="2478" w:type="dxa"/>
            <w:vAlign w:val="center"/>
          </w:tcPr>
          <w:p w:rsidR="009E20D1" w:rsidRDefault="009B6B60">
            <w:pPr>
              <w:jc w:val="center"/>
            </w:pPr>
            <w:r>
              <w:rPr>
                <w:color w:val="000000"/>
                <w:sz w:val="24"/>
              </w:rPr>
              <w:t>902 HK</w:t>
            </w:r>
          </w:p>
        </w:tc>
        <w:tc>
          <w:tcPr>
            <w:tcW w:w="2201" w:type="dxa"/>
            <w:vAlign w:val="center"/>
          </w:tcPr>
          <w:p w:rsidR="009E20D1" w:rsidRDefault="009B6B60">
            <w:pPr>
              <w:jc w:val="center"/>
            </w:pPr>
            <w:r>
              <w:rPr>
                <w:color w:val="000000"/>
                <w:sz w:val="24"/>
              </w:rPr>
              <w:t>953,891.73</w:t>
            </w:r>
          </w:p>
        </w:tc>
        <w:tc>
          <w:tcPr>
            <w:tcW w:w="1470" w:type="dxa"/>
            <w:vAlign w:val="center"/>
          </w:tcPr>
          <w:p w:rsidR="009E20D1" w:rsidRDefault="009B6B60">
            <w:pPr>
              <w:jc w:val="center"/>
            </w:pPr>
            <w:r>
              <w:rPr>
                <w:color w:val="000000"/>
                <w:sz w:val="24"/>
              </w:rPr>
              <w:t>2.42</w:t>
            </w:r>
          </w:p>
        </w:tc>
      </w:tr>
      <w:tr w:rsidR="009E20D1">
        <w:tc>
          <w:tcPr>
            <w:tcW w:w="540" w:type="dxa"/>
            <w:vAlign w:val="center"/>
          </w:tcPr>
          <w:p w:rsidR="009E20D1" w:rsidRDefault="009B6B60">
            <w:pPr>
              <w:jc w:val="center"/>
            </w:pPr>
            <w:r>
              <w:rPr>
                <w:color w:val="000000"/>
                <w:sz w:val="24"/>
              </w:rPr>
              <w:t>20</w:t>
            </w:r>
          </w:p>
        </w:tc>
        <w:tc>
          <w:tcPr>
            <w:tcW w:w="2309" w:type="dxa"/>
            <w:vAlign w:val="center"/>
          </w:tcPr>
          <w:p w:rsidR="009E20D1" w:rsidRDefault="009B6B60">
            <w:pPr>
              <w:jc w:val="center"/>
            </w:pPr>
            <w:r>
              <w:rPr>
                <w:color w:val="000000"/>
                <w:sz w:val="24"/>
              </w:rPr>
              <w:t>SITC International Holdings Company Limited</w:t>
            </w:r>
          </w:p>
        </w:tc>
        <w:tc>
          <w:tcPr>
            <w:tcW w:w="2478" w:type="dxa"/>
            <w:vAlign w:val="center"/>
          </w:tcPr>
          <w:p w:rsidR="009E20D1" w:rsidRDefault="009B6B60">
            <w:pPr>
              <w:jc w:val="center"/>
            </w:pPr>
            <w:r>
              <w:rPr>
                <w:color w:val="000000"/>
                <w:sz w:val="24"/>
              </w:rPr>
              <w:t>1308 HK</w:t>
            </w:r>
          </w:p>
        </w:tc>
        <w:tc>
          <w:tcPr>
            <w:tcW w:w="2201" w:type="dxa"/>
            <w:vAlign w:val="center"/>
          </w:tcPr>
          <w:p w:rsidR="009E20D1" w:rsidRDefault="009B6B60">
            <w:pPr>
              <w:jc w:val="center"/>
            </w:pPr>
            <w:r>
              <w:rPr>
                <w:color w:val="000000"/>
                <w:sz w:val="24"/>
              </w:rPr>
              <w:t>941,180.92</w:t>
            </w:r>
          </w:p>
        </w:tc>
        <w:tc>
          <w:tcPr>
            <w:tcW w:w="1470" w:type="dxa"/>
            <w:vAlign w:val="center"/>
          </w:tcPr>
          <w:p w:rsidR="009E20D1" w:rsidRDefault="009B6B60">
            <w:pPr>
              <w:jc w:val="center"/>
            </w:pPr>
            <w:r>
              <w:rPr>
                <w:color w:val="000000"/>
                <w:sz w:val="24"/>
              </w:rPr>
              <w:t>2.39</w:t>
            </w:r>
          </w:p>
        </w:tc>
      </w:tr>
      <w:tr w:rsidR="009E20D1">
        <w:tc>
          <w:tcPr>
            <w:tcW w:w="540" w:type="dxa"/>
            <w:vAlign w:val="center"/>
          </w:tcPr>
          <w:p w:rsidR="009E20D1" w:rsidRDefault="009B6B60">
            <w:pPr>
              <w:jc w:val="center"/>
            </w:pPr>
            <w:r>
              <w:rPr>
                <w:color w:val="000000"/>
                <w:sz w:val="24"/>
              </w:rPr>
              <w:lastRenderedPageBreak/>
              <w:t>21</w:t>
            </w:r>
          </w:p>
        </w:tc>
        <w:tc>
          <w:tcPr>
            <w:tcW w:w="2309" w:type="dxa"/>
            <w:vAlign w:val="center"/>
          </w:tcPr>
          <w:p w:rsidR="009E20D1" w:rsidRDefault="009B6B60">
            <w:pPr>
              <w:jc w:val="center"/>
            </w:pPr>
            <w:r>
              <w:rPr>
                <w:color w:val="000000"/>
                <w:sz w:val="24"/>
              </w:rPr>
              <w:t>Zhaojin Mining Industry Company Limited</w:t>
            </w:r>
          </w:p>
        </w:tc>
        <w:tc>
          <w:tcPr>
            <w:tcW w:w="2478" w:type="dxa"/>
            <w:vAlign w:val="center"/>
          </w:tcPr>
          <w:p w:rsidR="009E20D1" w:rsidRDefault="009B6B60">
            <w:pPr>
              <w:jc w:val="center"/>
            </w:pPr>
            <w:r>
              <w:rPr>
                <w:color w:val="000000"/>
                <w:sz w:val="24"/>
              </w:rPr>
              <w:t>1818 HK</w:t>
            </w:r>
          </w:p>
        </w:tc>
        <w:tc>
          <w:tcPr>
            <w:tcW w:w="2201" w:type="dxa"/>
            <w:vAlign w:val="center"/>
          </w:tcPr>
          <w:p w:rsidR="009E20D1" w:rsidRDefault="009B6B60">
            <w:pPr>
              <w:jc w:val="center"/>
            </w:pPr>
            <w:r>
              <w:rPr>
                <w:color w:val="000000"/>
                <w:sz w:val="24"/>
              </w:rPr>
              <w:t>941,138.85</w:t>
            </w:r>
          </w:p>
        </w:tc>
        <w:tc>
          <w:tcPr>
            <w:tcW w:w="1470" w:type="dxa"/>
            <w:vAlign w:val="center"/>
          </w:tcPr>
          <w:p w:rsidR="009E20D1" w:rsidRDefault="009B6B60">
            <w:pPr>
              <w:jc w:val="center"/>
            </w:pPr>
            <w:r>
              <w:rPr>
                <w:color w:val="000000"/>
                <w:sz w:val="24"/>
              </w:rPr>
              <w:t>2.39</w:t>
            </w:r>
          </w:p>
        </w:tc>
      </w:tr>
      <w:tr w:rsidR="009E20D1">
        <w:tc>
          <w:tcPr>
            <w:tcW w:w="540" w:type="dxa"/>
            <w:vAlign w:val="center"/>
          </w:tcPr>
          <w:p w:rsidR="009E20D1" w:rsidRDefault="009B6B60">
            <w:pPr>
              <w:jc w:val="center"/>
            </w:pPr>
            <w:r>
              <w:rPr>
                <w:color w:val="000000"/>
                <w:sz w:val="24"/>
              </w:rPr>
              <w:t>22</w:t>
            </w:r>
          </w:p>
        </w:tc>
        <w:tc>
          <w:tcPr>
            <w:tcW w:w="2309" w:type="dxa"/>
            <w:vAlign w:val="center"/>
          </w:tcPr>
          <w:p w:rsidR="009E20D1" w:rsidRDefault="009B6B60">
            <w:pPr>
              <w:jc w:val="center"/>
            </w:pPr>
            <w:r>
              <w:rPr>
                <w:color w:val="000000"/>
                <w:sz w:val="24"/>
              </w:rPr>
              <w:t>China Suntien Green Energy Corporation Limited</w:t>
            </w:r>
          </w:p>
        </w:tc>
        <w:tc>
          <w:tcPr>
            <w:tcW w:w="2478" w:type="dxa"/>
            <w:vAlign w:val="center"/>
          </w:tcPr>
          <w:p w:rsidR="009E20D1" w:rsidRDefault="009B6B60">
            <w:pPr>
              <w:jc w:val="center"/>
            </w:pPr>
            <w:r>
              <w:rPr>
                <w:color w:val="000000"/>
                <w:sz w:val="24"/>
              </w:rPr>
              <w:t>956 HK</w:t>
            </w:r>
          </w:p>
        </w:tc>
        <w:tc>
          <w:tcPr>
            <w:tcW w:w="2201" w:type="dxa"/>
            <w:vAlign w:val="center"/>
          </w:tcPr>
          <w:p w:rsidR="009E20D1" w:rsidRDefault="009B6B60">
            <w:pPr>
              <w:jc w:val="center"/>
            </w:pPr>
            <w:r>
              <w:rPr>
                <w:color w:val="000000"/>
                <w:sz w:val="24"/>
              </w:rPr>
              <w:t>824,603.68</w:t>
            </w:r>
          </w:p>
        </w:tc>
        <w:tc>
          <w:tcPr>
            <w:tcW w:w="1470" w:type="dxa"/>
            <w:vAlign w:val="center"/>
          </w:tcPr>
          <w:p w:rsidR="009E20D1" w:rsidRDefault="009B6B60">
            <w:pPr>
              <w:jc w:val="center"/>
            </w:pPr>
            <w:r>
              <w:rPr>
                <w:color w:val="000000"/>
                <w:sz w:val="24"/>
              </w:rPr>
              <w:t>2.10</w:t>
            </w:r>
          </w:p>
        </w:tc>
      </w:tr>
    </w:tbl>
    <w:p w:rsidR="009E20D1" w:rsidRDefault="009B6B6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9E20D1">
        <w:tc>
          <w:tcPr>
            <w:tcW w:w="539" w:type="dxa"/>
            <w:vAlign w:val="center"/>
          </w:tcPr>
          <w:p w:rsidR="009E20D1" w:rsidRDefault="009B6B60">
            <w:pPr>
              <w:jc w:val="center"/>
            </w:pPr>
            <w:r>
              <w:rPr>
                <w:color w:val="000000"/>
                <w:sz w:val="24"/>
              </w:rPr>
              <w:t>1</w:t>
            </w:r>
          </w:p>
        </w:tc>
        <w:tc>
          <w:tcPr>
            <w:tcW w:w="4449" w:type="dxa"/>
            <w:vAlign w:val="center"/>
          </w:tcPr>
          <w:p w:rsidR="009E20D1" w:rsidRDefault="009B6B60">
            <w:pPr>
              <w:jc w:val="center"/>
            </w:pPr>
            <w:r>
              <w:rPr>
                <w:color w:val="000000"/>
                <w:sz w:val="24"/>
              </w:rPr>
              <w:t>China Petroleum &amp; Chemical Corporation</w:t>
            </w:r>
          </w:p>
        </w:tc>
        <w:tc>
          <w:tcPr>
            <w:tcW w:w="979" w:type="dxa"/>
            <w:vAlign w:val="center"/>
          </w:tcPr>
          <w:p w:rsidR="009E20D1" w:rsidRDefault="009B6B60">
            <w:pPr>
              <w:jc w:val="center"/>
            </w:pPr>
            <w:r>
              <w:rPr>
                <w:color w:val="000000"/>
                <w:sz w:val="24"/>
              </w:rPr>
              <w:t>386 HK</w:t>
            </w:r>
          </w:p>
        </w:tc>
        <w:tc>
          <w:tcPr>
            <w:tcW w:w="1428" w:type="dxa"/>
            <w:vAlign w:val="center"/>
          </w:tcPr>
          <w:p w:rsidR="009E20D1" w:rsidRDefault="009B6B60">
            <w:pPr>
              <w:jc w:val="center"/>
            </w:pPr>
            <w:r>
              <w:rPr>
                <w:color w:val="000000"/>
                <w:sz w:val="24"/>
              </w:rPr>
              <w:t>2,696,259.86</w:t>
            </w:r>
          </w:p>
        </w:tc>
        <w:tc>
          <w:tcPr>
            <w:tcW w:w="1603" w:type="dxa"/>
            <w:vAlign w:val="center"/>
          </w:tcPr>
          <w:p w:rsidR="009E20D1" w:rsidRDefault="009B6B60">
            <w:pPr>
              <w:jc w:val="center"/>
            </w:pPr>
            <w:r>
              <w:rPr>
                <w:color w:val="000000"/>
                <w:sz w:val="24"/>
              </w:rPr>
              <w:t>6.85</w:t>
            </w:r>
          </w:p>
        </w:tc>
      </w:tr>
      <w:tr w:rsidR="009E20D1">
        <w:tc>
          <w:tcPr>
            <w:tcW w:w="539" w:type="dxa"/>
            <w:vAlign w:val="center"/>
          </w:tcPr>
          <w:p w:rsidR="009E20D1" w:rsidRDefault="009B6B60">
            <w:pPr>
              <w:jc w:val="center"/>
            </w:pPr>
            <w:r>
              <w:rPr>
                <w:color w:val="000000"/>
                <w:sz w:val="24"/>
              </w:rPr>
              <w:t>2</w:t>
            </w:r>
          </w:p>
        </w:tc>
        <w:tc>
          <w:tcPr>
            <w:tcW w:w="4449" w:type="dxa"/>
            <w:vAlign w:val="center"/>
          </w:tcPr>
          <w:p w:rsidR="009E20D1" w:rsidRDefault="009B6B60">
            <w:pPr>
              <w:jc w:val="center"/>
            </w:pPr>
            <w:r>
              <w:rPr>
                <w:color w:val="000000"/>
                <w:sz w:val="24"/>
              </w:rPr>
              <w:t>Xinjiang Goldwind Science &amp; technology CO.,Ltd.</w:t>
            </w:r>
          </w:p>
        </w:tc>
        <w:tc>
          <w:tcPr>
            <w:tcW w:w="979" w:type="dxa"/>
            <w:vAlign w:val="center"/>
          </w:tcPr>
          <w:p w:rsidR="009E20D1" w:rsidRDefault="009B6B60">
            <w:pPr>
              <w:jc w:val="center"/>
            </w:pPr>
            <w:r>
              <w:rPr>
                <w:color w:val="000000"/>
                <w:sz w:val="24"/>
              </w:rPr>
              <w:t>2208 HK</w:t>
            </w:r>
          </w:p>
        </w:tc>
        <w:tc>
          <w:tcPr>
            <w:tcW w:w="1428" w:type="dxa"/>
            <w:vAlign w:val="center"/>
          </w:tcPr>
          <w:p w:rsidR="009E20D1" w:rsidRDefault="009B6B60">
            <w:pPr>
              <w:jc w:val="center"/>
            </w:pPr>
            <w:r>
              <w:rPr>
                <w:color w:val="000000"/>
                <w:sz w:val="24"/>
              </w:rPr>
              <w:t>2,316,452.21</w:t>
            </w:r>
          </w:p>
        </w:tc>
        <w:tc>
          <w:tcPr>
            <w:tcW w:w="1603" w:type="dxa"/>
            <w:vAlign w:val="center"/>
          </w:tcPr>
          <w:p w:rsidR="009E20D1" w:rsidRDefault="009B6B60">
            <w:pPr>
              <w:jc w:val="center"/>
            </w:pPr>
            <w:r>
              <w:rPr>
                <w:color w:val="000000"/>
                <w:sz w:val="24"/>
              </w:rPr>
              <w:t>5.89</w:t>
            </w:r>
          </w:p>
        </w:tc>
      </w:tr>
      <w:tr w:rsidR="009E20D1">
        <w:tc>
          <w:tcPr>
            <w:tcW w:w="539" w:type="dxa"/>
            <w:vAlign w:val="center"/>
          </w:tcPr>
          <w:p w:rsidR="009E20D1" w:rsidRDefault="009B6B60">
            <w:pPr>
              <w:jc w:val="center"/>
            </w:pPr>
            <w:r>
              <w:rPr>
                <w:color w:val="000000"/>
                <w:sz w:val="24"/>
              </w:rPr>
              <w:t>3</w:t>
            </w:r>
          </w:p>
        </w:tc>
        <w:tc>
          <w:tcPr>
            <w:tcW w:w="4449" w:type="dxa"/>
            <w:vAlign w:val="center"/>
          </w:tcPr>
          <w:p w:rsidR="009E20D1" w:rsidRDefault="009B6B60">
            <w:pPr>
              <w:jc w:val="center"/>
            </w:pPr>
            <w:r>
              <w:rPr>
                <w:color w:val="000000"/>
                <w:sz w:val="24"/>
              </w:rPr>
              <w:t>Dongjiang Environmental Company Limited</w:t>
            </w:r>
          </w:p>
        </w:tc>
        <w:tc>
          <w:tcPr>
            <w:tcW w:w="979" w:type="dxa"/>
            <w:vAlign w:val="center"/>
          </w:tcPr>
          <w:p w:rsidR="009E20D1" w:rsidRDefault="009B6B60">
            <w:pPr>
              <w:jc w:val="center"/>
            </w:pPr>
            <w:r>
              <w:rPr>
                <w:color w:val="000000"/>
                <w:sz w:val="24"/>
              </w:rPr>
              <w:t>895 HK</w:t>
            </w:r>
          </w:p>
        </w:tc>
        <w:tc>
          <w:tcPr>
            <w:tcW w:w="1428" w:type="dxa"/>
            <w:vAlign w:val="center"/>
          </w:tcPr>
          <w:p w:rsidR="009E20D1" w:rsidRDefault="009B6B60">
            <w:pPr>
              <w:jc w:val="center"/>
            </w:pPr>
            <w:r>
              <w:rPr>
                <w:color w:val="000000"/>
                <w:sz w:val="24"/>
              </w:rPr>
              <w:t>2,091,279.37</w:t>
            </w:r>
          </w:p>
        </w:tc>
        <w:tc>
          <w:tcPr>
            <w:tcW w:w="1603" w:type="dxa"/>
            <w:vAlign w:val="center"/>
          </w:tcPr>
          <w:p w:rsidR="009E20D1" w:rsidRDefault="009B6B60">
            <w:pPr>
              <w:jc w:val="center"/>
            </w:pPr>
            <w:r>
              <w:rPr>
                <w:color w:val="000000"/>
                <w:sz w:val="24"/>
              </w:rPr>
              <w:t>5.32</w:t>
            </w:r>
          </w:p>
        </w:tc>
      </w:tr>
      <w:tr w:rsidR="009E20D1">
        <w:tc>
          <w:tcPr>
            <w:tcW w:w="539" w:type="dxa"/>
            <w:vAlign w:val="center"/>
          </w:tcPr>
          <w:p w:rsidR="009E20D1" w:rsidRDefault="009B6B60">
            <w:pPr>
              <w:jc w:val="center"/>
            </w:pPr>
            <w:r>
              <w:rPr>
                <w:color w:val="000000"/>
                <w:sz w:val="24"/>
              </w:rPr>
              <w:t>4</w:t>
            </w:r>
          </w:p>
        </w:tc>
        <w:tc>
          <w:tcPr>
            <w:tcW w:w="4449" w:type="dxa"/>
            <w:vAlign w:val="center"/>
          </w:tcPr>
          <w:p w:rsidR="009E20D1" w:rsidRDefault="009B6B60">
            <w:pPr>
              <w:jc w:val="center"/>
            </w:pPr>
            <w:r>
              <w:rPr>
                <w:color w:val="000000"/>
                <w:sz w:val="24"/>
              </w:rPr>
              <w:t>Cosco Shipping Holdings Co.,ltd.</w:t>
            </w:r>
          </w:p>
        </w:tc>
        <w:tc>
          <w:tcPr>
            <w:tcW w:w="979" w:type="dxa"/>
            <w:vAlign w:val="center"/>
          </w:tcPr>
          <w:p w:rsidR="009E20D1" w:rsidRDefault="009B6B60">
            <w:pPr>
              <w:jc w:val="center"/>
            </w:pPr>
            <w:r>
              <w:rPr>
                <w:color w:val="000000"/>
                <w:sz w:val="24"/>
              </w:rPr>
              <w:t>1919 HK</w:t>
            </w:r>
          </w:p>
        </w:tc>
        <w:tc>
          <w:tcPr>
            <w:tcW w:w="1428" w:type="dxa"/>
            <w:vAlign w:val="center"/>
          </w:tcPr>
          <w:p w:rsidR="009E20D1" w:rsidRDefault="009B6B60">
            <w:pPr>
              <w:jc w:val="center"/>
            </w:pPr>
            <w:r>
              <w:rPr>
                <w:color w:val="000000"/>
                <w:sz w:val="24"/>
              </w:rPr>
              <w:t>1,761,294.62</w:t>
            </w:r>
          </w:p>
        </w:tc>
        <w:tc>
          <w:tcPr>
            <w:tcW w:w="1603" w:type="dxa"/>
            <w:vAlign w:val="center"/>
          </w:tcPr>
          <w:p w:rsidR="009E20D1" w:rsidRDefault="009B6B60">
            <w:pPr>
              <w:jc w:val="center"/>
            </w:pPr>
            <w:r>
              <w:rPr>
                <w:color w:val="000000"/>
                <w:sz w:val="24"/>
              </w:rPr>
              <w:t>4.48</w:t>
            </w:r>
          </w:p>
        </w:tc>
      </w:tr>
      <w:tr w:rsidR="009E20D1">
        <w:tc>
          <w:tcPr>
            <w:tcW w:w="539" w:type="dxa"/>
            <w:vAlign w:val="center"/>
          </w:tcPr>
          <w:p w:rsidR="009E20D1" w:rsidRDefault="009B6B60">
            <w:pPr>
              <w:jc w:val="center"/>
            </w:pPr>
            <w:r>
              <w:rPr>
                <w:color w:val="000000"/>
                <w:sz w:val="24"/>
              </w:rPr>
              <w:t>5</w:t>
            </w:r>
          </w:p>
        </w:tc>
        <w:tc>
          <w:tcPr>
            <w:tcW w:w="4449" w:type="dxa"/>
            <w:vAlign w:val="center"/>
          </w:tcPr>
          <w:p w:rsidR="009E20D1" w:rsidRDefault="009B6B60">
            <w:pPr>
              <w:jc w:val="center"/>
            </w:pPr>
            <w:r>
              <w:rPr>
                <w:color w:val="000000"/>
                <w:sz w:val="24"/>
              </w:rPr>
              <w:t>Hong Kong Exchanges And Clearing Limited</w:t>
            </w:r>
          </w:p>
        </w:tc>
        <w:tc>
          <w:tcPr>
            <w:tcW w:w="979" w:type="dxa"/>
            <w:vAlign w:val="center"/>
          </w:tcPr>
          <w:p w:rsidR="009E20D1" w:rsidRDefault="009B6B60">
            <w:pPr>
              <w:jc w:val="center"/>
            </w:pPr>
            <w:r>
              <w:rPr>
                <w:color w:val="000000"/>
                <w:sz w:val="24"/>
              </w:rPr>
              <w:t>388 HK</w:t>
            </w:r>
          </w:p>
        </w:tc>
        <w:tc>
          <w:tcPr>
            <w:tcW w:w="1428" w:type="dxa"/>
            <w:vAlign w:val="center"/>
          </w:tcPr>
          <w:p w:rsidR="009E20D1" w:rsidRDefault="009B6B60">
            <w:pPr>
              <w:jc w:val="center"/>
            </w:pPr>
            <w:r>
              <w:rPr>
                <w:color w:val="000000"/>
                <w:sz w:val="24"/>
              </w:rPr>
              <w:t>1,688,262.11</w:t>
            </w:r>
          </w:p>
        </w:tc>
        <w:tc>
          <w:tcPr>
            <w:tcW w:w="1603" w:type="dxa"/>
            <w:vAlign w:val="center"/>
          </w:tcPr>
          <w:p w:rsidR="009E20D1" w:rsidRDefault="009B6B60">
            <w:pPr>
              <w:jc w:val="center"/>
            </w:pPr>
            <w:r>
              <w:rPr>
                <w:color w:val="000000"/>
                <w:sz w:val="24"/>
              </w:rPr>
              <w:t>4.29</w:t>
            </w:r>
          </w:p>
        </w:tc>
      </w:tr>
      <w:tr w:rsidR="009E20D1">
        <w:tc>
          <w:tcPr>
            <w:tcW w:w="539" w:type="dxa"/>
            <w:vAlign w:val="center"/>
          </w:tcPr>
          <w:p w:rsidR="009E20D1" w:rsidRDefault="009B6B60">
            <w:pPr>
              <w:jc w:val="center"/>
            </w:pPr>
            <w:r>
              <w:rPr>
                <w:color w:val="000000"/>
                <w:sz w:val="24"/>
              </w:rPr>
              <w:t>6</w:t>
            </w:r>
          </w:p>
        </w:tc>
        <w:tc>
          <w:tcPr>
            <w:tcW w:w="4449" w:type="dxa"/>
            <w:vAlign w:val="center"/>
          </w:tcPr>
          <w:p w:rsidR="009E20D1" w:rsidRDefault="009B6B60">
            <w:pPr>
              <w:jc w:val="center"/>
            </w:pPr>
            <w:r>
              <w:rPr>
                <w:color w:val="000000"/>
                <w:sz w:val="24"/>
              </w:rPr>
              <w:t>China Resources Cement Holdings Limited</w:t>
            </w:r>
          </w:p>
        </w:tc>
        <w:tc>
          <w:tcPr>
            <w:tcW w:w="979" w:type="dxa"/>
            <w:vAlign w:val="center"/>
          </w:tcPr>
          <w:p w:rsidR="009E20D1" w:rsidRDefault="009B6B60">
            <w:pPr>
              <w:jc w:val="center"/>
            </w:pPr>
            <w:r>
              <w:rPr>
                <w:color w:val="000000"/>
                <w:sz w:val="24"/>
              </w:rPr>
              <w:t>1313 HK</w:t>
            </w:r>
          </w:p>
        </w:tc>
        <w:tc>
          <w:tcPr>
            <w:tcW w:w="1428" w:type="dxa"/>
            <w:vAlign w:val="center"/>
          </w:tcPr>
          <w:p w:rsidR="009E20D1" w:rsidRDefault="009B6B60">
            <w:pPr>
              <w:jc w:val="center"/>
            </w:pPr>
            <w:r>
              <w:rPr>
                <w:color w:val="000000"/>
                <w:sz w:val="24"/>
              </w:rPr>
              <w:t>1,621,098.94</w:t>
            </w:r>
          </w:p>
        </w:tc>
        <w:tc>
          <w:tcPr>
            <w:tcW w:w="1603" w:type="dxa"/>
            <w:vAlign w:val="center"/>
          </w:tcPr>
          <w:p w:rsidR="009E20D1" w:rsidRDefault="009B6B60">
            <w:pPr>
              <w:jc w:val="center"/>
            </w:pPr>
            <w:r>
              <w:rPr>
                <w:color w:val="000000"/>
                <w:sz w:val="24"/>
              </w:rPr>
              <w:t>4.12</w:t>
            </w:r>
          </w:p>
        </w:tc>
      </w:tr>
      <w:tr w:rsidR="009E20D1">
        <w:tc>
          <w:tcPr>
            <w:tcW w:w="539" w:type="dxa"/>
            <w:vAlign w:val="center"/>
          </w:tcPr>
          <w:p w:rsidR="009E20D1" w:rsidRDefault="009B6B60">
            <w:pPr>
              <w:jc w:val="center"/>
            </w:pPr>
            <w:r>
              <w:rPr>
                <w:color w:val="000000"/>
                <w:sz w:val="24"/>
              </w:rPr>
              <w:t>7</w:t>
            </w:r>
          </w:p>
        </w:tc>
        <w:tc>
          <w:tcPr>
            <w:tcW w:w="4449" w:type="dxa"/>
            <w:vAlign w:val="center"/>
          </w:tcPr>
          <w:p w:rsidR="009E20D1" w:rsidRDefault="009B6B60">
            <w:pPr>
              <w:jc w:val="center"/>
            </w:pPr>
            <w:r>
              <w:rPr>
                <w:color w:val="000000"/>
                <w:sz w:val="24"/>
              </w:rPr>
              <w:t>China National Building Material Company Limited</w:t>
            </w:r>
          </w:p>
        </w:tc>
        <w:tc>
          <w:tcPr>
            <w:tcW w:w="979" w:type="dxa"/>
            <w:vAlign w:val="center"/>
          </w:tcPr>
          <w:p w:rsidR="009E20D1" w:rsidRDefault="009B6B60">
            <w:pPr>
              <w:jc w:val="center"/>
            </w:pPr>
            <w:r>
              <w:rPr>
                <w:color w:val="000000"/>
                <w:sz w:val="24"/>
              </w:rPr>
              <w:t>3323 HK</w:t>
            </w:r>
          </w:p>
        </w:tc>
        <w:tc>
          <w:tcPr>
            <w:tcW w:w="1428" w:type="dxa"/>
            <w:vAlign w:val="center"/>
          </w:tcPr>
          <w:p w:rsidR="009E20D1" w:rsidRDefault="009B6B60">
            <w:pPr>
              <w:jc w:val="center"/>
            </w:pPr>
            <w:r>
              <w:rPr>
                <w:color w:val="000000"/>
                <w:sz w:val="24"/>
              </w:rPr>
              <w:t>1,484,540.53</w:t>
            </w:r>
          </w:p>
        </w:tc>
        <w:tc>
          <w:tcPr>
            <w:tcW w:w="1603" w:type="dxa"/>
            <w:vAlign w:val="center"/>
          </w:tcPr>
          <w:p w:rsidR="009E20D1" w:rsidRDefault="009B6B60">
            <w:pPr>
              <w:jc w:val="center"/>
            </w:pPr>
            <w:r>
              <w:rPr>
                <w:color w:val="000000"/>
                <w:sz w:val="24"/>
              </w:rPr>
              <w:t>3.77</w:t>
            </w:r>
          </w:p>
        </w:tc>
      </w:tr>
      <w:tr w:rsidR="009E20D1">
        <w:tc>
          <w:tcPr>
            <w:tcW w:w="539" w:type="dxa"/>
            <w:vAlign w:val="center"/>
          </w:tcPr>
          <w:p w:rsidR="009E20D1" w:rsidRDefault="009B6B60">
            <w:pPr>
              <w:jc w:val="center"/>
            </w:pPr>
            <w:r>
              <w:rPr>
                <w:color w:val="000000"/>
                <w:sz w:val="24"/>
              </w:rPr>
              <w:t>8</w:t>
            </w:r>
          </w:p>
        </w:tc>
        <w:tc>
          <w:tcPr>
            <w:tcW w:w="4449" w:type="dxa"/>
            <w:vAlign w:val="center"/>
          </w:tcPr>
          <w:p w:rsidR="009E20D1" w:rsidRDefault="009B6B60">
            <w:pPr>
              <w:jc w:val="center"/>
            </w:pPr>
            <w:r>
              <w:rPr>
                <w:color w:val="000000"/>
                <w:sz w:val="24"/>
              </w:rPr>
              <w:t>China Molybdenum Co.,Ltd.</w:t>
            </w:r>
          </w:p>
        </w:tc>
        <w:tc>
          <w:tcPr>
            <w:tcW w:w="979" w:type="dxa"/>
            <w:vAlign w:val="center"/>
          </w:tcPr>
          <w:p w:rsidR="009E20D1" w:rsidRDefault="009B6B60">
            <w:pPr>
              <w:jc w:val="center"/>
            </w:pPr>
            <w:r>
              <w:rPr>
                <w:color w:val="000000"/>
                <w:sz w:val="24"/>
              </w:rPr>
              <w:t>3993 HK</w:t>
            </w:r>
          </w:p>
        </w:tc>
        <w:tc>
          <w:tcPr>
            <w:tcW w:w="1428" w:type="dxa"/>
            <w:vAlign w:val="center"/>
          </w:tcPr>
          <w:p w:rsidR="009E20D1" w:rsidRDefault="009B6B60">
            <w:pPr>
              <w:jc w:val="center"/>
            </w:pPr>
            <w:r>
              <w:rPr>
                <w:color w:val="000000"/>
                <w:sz w:val="24"/>
              </w:rPr>
              <w:t>1,443,592.30</w:t>
            </w:r>
          </w:p>
        </w:tc>
        <w:tc>
          <w:tcPr>
            <w:tcW w:w="1603" w:type="dxa"/>
            <w:vAlign w:val="center"/>
          </w:tcPr>
          <w:p w:rsidR="009E20D1" w:rsidRDefault="009B6B60">
            <w:pPr>
              <w:jc w:val="center"/>
            </w:pPr>
            <w:r>
              <w:rPr>
                <w:color w:val="000000"/>
                <w:sz w:val="24"/>
              </w:rPr>
              <w:t>3.67</w:t>
            </w:r>
          </w:p>
        </w:tc>
      </w:tr>
      <w:tr w:rsidR="009E20D1">
        <w:tc>
          <w:tcPr>
            <w:tcW w:w="539" w:type="dxa"/>
            <w:vAlign w:val="center"/>
          </w:tcPr>
          <w:p w:rsidR="009E20D1" w:rsidRDefault="009B6B60">
            <w:pPr>
              <w:jc w:val="center"/>
            </w:pPr>
            <w:r>
              <w:rPr>
                <w:color w:val="000000"/>
                <w:sz w:val="24"/>
              </w:rPr>
              <w:t>9</w:t>
            </w:r>
          </w:p>
        </w:tc>
        <w:tc>
          <w:tcPr>
            <w:tcW w:w="4449" w:type="dxa"/>
            <w:vAlign w:val="center"/>
          </w:tcPr>
          <w:p w:rsidR="009E20D1" w:rsidRDefault="009B6B60">
            <w:pPr>
              <w:jc w:val="center"/>
            </w:pPr>
            <w:r>
              <w:rPr>
                <w:color w:val="000000"/>
                <w:sz w:val="24"/>
              </w:rPr>
              <w:t>Chongqing Rural Commercial Bank Co.,ltd.</w:t>
            </w:r>
          </w:p>
        </w:tc>
        <w:tc>
          <w:tcPr>
            <w:tcW w:w="979" w:type="dxa"/>
            <w:vAlign w:val="center"/>
          </w:tcPr>
          <w:p w:rsidR="009E20D1" w:rsidRDefault="009B6B60">
            <w:pPr>
              <w:jc w:val="center"/>
            </w:pPr>
            <w:r>
              <w:rPr>
                <w:color w:val="000000"/>
                <w:sz w:val="24"/>
              </w:rPr>
              <w:t>3618 HK</w:t>
            </w:r>
          </w:p>
        </w:tc>
        <w:tc>
          <w:tcPr>
            <w:tcW w:w="1428" w:type="dxa"/>
            <w:vAlign w:val="center"/>
          </w:tcPr>
          <w:p w:rsidR="009E20D1" w:rsidRDefault="009B6B60">
            <w:pPr>
              <w:jc w:val="center"/>
            </w:pPr>
            <w:r>
              <w:rPr>
                <w:color w:val="000000"/>
                <w:sz w:val="24"/>
              </w:rPr>
              <w:t>1,359,148.81</w:t>
            </w:r>
          </w:p>
        </w:tc>
        <w:tc>
          <w:tcPr>
            <w:tcW w:w="1603" w:type="dxa"/>
            <w:vAlign w:val="center"/>
          </w:tcPr>
          <w:p w:rsidR="009E20D1" w:rsidRDefault="009B6B60">
            <w:pPr>
              <w:jc w:val="center"/>
            </w:pPr>
            <w:r>
              <w:rPr>
                <w:color w:val="000000"/>
                <w:sz w:val="24"/>
              </w:rPr>
              <w:t>3.46</w:t>
            </w:r>
          </w:p>
        </w:tc>
      </w:tr>
      <w:tr w:rsidR="009E20D1">
        <w:tc>
          <w:tcPr>
            <w:tcW w:w="539" w:type="dxa"/>
            <w:vAlign w:val="center"/>
          </w:tcPr>
          <w:p w:rsidR="009E20D1" w:rsidRDefault="009B6B60">
            <w:pPr>
              <w:jc w:val="center"/>
            </w:pPr>
            <w:r>
              <w:rPr>
                <w:color w:val="000000"/>
                <w:sz w:val="24"/>
              </w:rPr>
              <w:t>10</w:t>
            </w:r>
          </w:p>
        </w:tc>
        <w:tc>
          <w:tcPr>
            <w:tcW w:w="4449" w:type="dxa"/>
            <w:vAlign w:val="center"/>
          </w:tcPr>
          <w:p w:rsidR="009E20D1" w:rsidRDefault="009B6B60">
            <w:pPr>
              <w:jc w:val="center"/>
            </w:pPr>
            <w:r>
              <w:rPr>
                <w:color w:val="000000"/>
                <w:sz w:val="24"/>
              </w:rPr>
              <w:t>CNOOC Limited</w:t>
            </w:r>
          </w:p>
        </w:tc>
        <w:tc>
          <w:tcPr>
            <w:tcW w:w="979" w:type="dxa"/>
            <w:vAlign w:val="center"/>
          </w:tcPr>
          <w:p w:rsidR="009E20D1" w:rsidRDefault="009B6B60">
            <w:pPr>
              <w:jc w:val="center"/>
            </w:pPr>
            <w:r>
              <w:rPr>
                <w:color w:val="000000"/>
                <w:sz w:val="24"/>
              </w:rPr>
              <w:t>883 HK</w:t>
            </w:r>
          </w:p>
        </w:tc>
        <w:tc>
          <w:tcPr>
            <w:tcW w:w="1428" w:type="dxa"/>
            <w:vAlign w:val="center"/>
          </w:tcPr>
          <w:p w:rsidR="009E20D1" w:rsidRDefault="009B6B60">
            <w:pPr>
              <w:jc w:val="center"/>
            </w:pPr>
            <w:r>
              <w:rPr>
                <w:color w:val="000000"/>
                <w:sz w:val="24"/>
              </w:rPr>
              <w:t>1,218,820.37</w:t>
            </w:r>
          </w:p>
        </w:tc>
        <w:tc>
          <w:tcPr>
            <w:tcW w:w="1603" w:type="dxa"/>
            <w:vAlign w:val="center"/>
          </w:tcPr>
          <w:p w:rsidR="009E20D1" w:rsidRDefault="009B6B60">
            <w:pPr>
              <w:jc w:val="center"/>
            </w:pPr>
            <w:r>
              <w:rPr>
                <w:color w:val="000000"/>
                <w:sz w:val="24"/>
              </w:rPr>
              <w:t>3.10</w:t>
            </w:r>
          </w:p>
        </w:tc>
      </w:tr>
      <w:tr w:rsidR="009E20D1">
        <w:tc>
          <w:tcPr>
            <w:tcW w:w="539" w:type="dxa"/>
            <w:vAlign w:val="center"/>
          </w:tcPr>
          <w:p w:rsidR="009E20D1" w:rsidRDefault="009B6B60">
            <w:pPr>
              <w:jc w:val="center"/>
            </w:pPr>
            <w:r>
              <w:rPr>
                <w:color w:val="000000"/>
                <w:sz w:val="24"/>
              </w:rPr>
              <w:t>11</w:t>
            </w:r>
          </w:p>
        </w:tc>
        <w:tc>
          <w:tcPr>
            <w:tcW w:w="4449" w:type="dxa"/>
            <w:vAlign w:val="center"/>
          </w:tcPr>
          <w:p w:rsidR="009E20D1" w:rsidRDefault="009B6B60">
            <w:pPr>
              <w:jc w:val="center"/>
            </w:pPr>
            <w:r>
              <w:rPr>
                <w:color w:val="000000"/>
                <w:sz w:val="24"/>
              </w:rPr>
              <w:t>ENN Energy Holdings Limited</w:t>
            </w:r>
          </w:p>
        </w:tc>
        <w:tc>
          <w:tcPr>
            <w:tcW w:w="979" w:type="dxa"/>
            <w:vAlign w:val="center"/>
          </w:tcPr>
          <w:p w:rsidR="009E20D1" w:rsidRDefault="009B6B60">
            <w:pPr>
              <w:jc w:val="center"/>
            </w:pPr>
            <w:r>
              <w:rPr>
                <w:color w:val="000000"/>
                <w:sz w:val="24"/>
              </w:rPr>
              <w:t>2688 HK</w:t>
            </w:r>
          </w:p>
        </w:tc>
        <w:tc>
          <w:tcPr>
            <w:tcW w:w="1428" w:type="dxa"/>
            <w:vAlign w:val="center"/>
          </w:tcPr>
          <w:p w:rsidR="009E20D1" w:rsidRDefault="009B6B60">
            <w:pPr>
              <w:jc w:val="center"/>
            </w:pPr>
            <w:r>
              <w:rPr>
                <w:color w:val="000000"/>
                <w:sz w:val="24"/>
              </w:rPr>
              <w:t>1,207,812.88</w:t>
            </w:r>
          </w:p>
        </w:tc>
        <w:tc>
          <w:tcPr>
            <w:tcW w:w="1603" w:type="dxa"/>
            <w:vAlign w:val="center"/>
          </w:tcPr>
          <w:p w:rsidR="009E20D1" w:rsidRDefault="009B6B60">
            <w:pPr>
              <w:jc w:val="center"/>
            </w:pPr>
            <w:r>
              <w:rPr>
                <w:color w:val="000000"/>
                <w:sz w:val="24"/>
              </w:rPr>
              <w:t>3.07</w:t>
            </w:r>
          </w:p>
        </w:tc>
      </w:tr>
      <w:tr w:rsidR="009E20D1">
        <w:tc>
          <w:tcPr>
            <w:tcW w:w="539" w:type="dxa"/>
            <w:vAlign w:val="center"/>
          </w:tcPr>
          <w:p w:rsidR="009E20D1" w:rsidRDefault="009B6B60">
            <w:pPr>
              <w:jc w:val="center"/>
            </w:pPr>
            <w:r>
              <w:rPr>
                <w:color w:val="000000"/>
                <w:sz w:val="24"/>
              </w:rPr>
              <w:t>12</w:t>
            </w:r>
          </w:p>
        </w:tc>
        <w:tc>
          <w:tcPr>
            <w:tcW w:w="4449" w:type="dxa"/>
            <w:vAlign w:val="center"/>
          </w:tcPr>
          <w:p w:rsidR="009E20D1" w:rsidRDefault="009B6B60">
            <w:pPr>
              <w:jc w:val="center"/>
            </w:pPr>
            <w:r>
              <w:rPr>
                <w:color w:val="000000"/>
                <w:sz w:val="24"/>
              </w:rPr>
              <w:t>Geely Automobile Holdings Limited</w:t>
            </w:r>
          </w:p>
        </w:tc>
        <w:tc>
          <w:tcPr>
            <w:tcW w:w="979" w:type="dxa"/>
            <w:vAlign w:val="center"/>
          </w:tcPr>
          <w:p w:rsidR="009E20D1" w:rsidRDefault="009B6B60">
            <w:pPr>
              <w:jc w:val="center"/>
            </w:pPr>
            <w:r>
              <w:rPr>
                <w:color w:val="000000"/>
                <w:sz w:val="24"/>
              </w:rPr>
              <w:t>175 HK</w:t>
            </w:r>
          </w:p>
        </w:tc>
        <w:tc>
          <w:tcPr>
            <w:tcW w:w="1428" w:type="dxa"/>
            <w:vAlign w:val="center"/>
          </w:tcPr>
          <w:p w:rsidR="009E20D1" w:rsidRDefault="009B6B60">
            <w:pPr>
              <w:jc w:val="center"/>
            </w:pPr>
            <w:r>
              <w:rPr>
                <w:color w:val="000000"/>
                <w:sz w:val="24"/>
              </w:rPr>
              <w:t>936,847.79</w:t>
            </w:r>
          </w:p>
        </w:tc>
        <w:tc>
          <w:tcPr>
            <w:tcW w:w="1603" w:type="dxa"/>
            <w:vAlign w:val="center"/>
          </w:tcPr>
          <w:p w:rsidR="009E20D1" w:rsidRDefault="009B6B60">
            <w:pPr>
              <w:jc w:val="center"/>
            </w:pPr>
            <w:r>
              <w:rPr>
                <w:color w:val="000000"/>
                <w:sz w:val="24"/>
              </w:rPr>
              <w:t>2.38</w:t>
            </w:r>
          </w:p>
        </w:tc>
      </w:tr>
      <w:tr w:rsidR="009E20D1">
        <w:tc>
          <w:tcPr>
            <w:tcW w:w="539" w:type="dxa"/>
            <w:vAlign w:val="center"/>
          </w:tcPr>
          <w:p w:rsidR="009E20D1" w:rsidRDefault="009B6B60">
            <w:pPr>
              <w:jc w:val="center"/>
            </w:pPr>
            <w:r>
              <w:rPr>
                <w:color w:val="000000"/>
                <w:sz w:val="24"/>
              </w:rPr>
              <w:t>13</w:t>
            </w:r>
          </w:p>
        </w:tc>
        <w:tc>
          <w:tcPr>
            <w:tcW w:w="4449" w:type="dxa"/>
            <w:vAlign w:val="center"/>
          </w:tcPr>
          <w:p w:rsidR="009E20D1" w:rsidRDefault="009B6B60">
            <w:pPr>
              <w:jc w:val="center"/>
            </w:pPr>
            <w:r>
              <w:rPr>
                <w:color w:val="000000"/>
                <w:sz w:val="24"/>
              </w:rPr>
              <w:t>Aluminum Corporation Of China Limited</w:t>
            </w:r>
          </w:p>
        </w:tc>
        <w:tc>
          <w:tcPr>
            <w:tcW w:w="979" w:type="dxa"/>
            <w:vAlign w:val="center"/>
          </w:tcPr>
          <w:p w:rsidR="009E20D1" w:rsidRDefault="009B6B60">
            <w:pPr>
              <w:jc w:val="center"/>
            </w:pPr>
            <w:r>
              <w:rPr>
                <w:color w:val="000000"/>
                <w:sz w:val="24"/>
              </w:rPr>
              <w:t>2600 HK</w:t>
            </w:r>
          </w:p>
        </w:tc>
        <w:tc>
          <w:tcPr>
            <w:tcW w:w="1428" w:type="dxa"/>
            <w:vAlign w:val="center"/>
          </w:tcPr>
          <w:p w:rsidR="009E20D1" w:rsidRDefault="009B6B60">
            <w:pPr>
              <w:jc w:val="center"/>
            </w:pPr>
            <w:r>
              <w:rPr>
                <w:color w:val="000000"/>
                <w:sz w:val="24"/>
              </w:rPr>
              <w:t>920,707.26</w:t>
            </w:r>
          </w:p>
        </w:tc>
        <w:tc>
          <w:tcPr>
            <w:tcW w:w="1603" w:type="dxa"/>
            <w:vAlign w:val="center"/>
          </w:tcPr>
          <w:p w:rsidR="009E20D1" w:rsidRDefault="009B6B60">
            <w:pPr>
              <w:jc w:val="center"/>
            </w:pPr>
            <w:r>
              <w:rPr>
                <w:color w:val="000000"/>
                <w:sz w:val="24"/>
              </w:rPr>
              <w:t>2.34</w:t>
            </w:r>
          </w:p>
        </w:tc>
      </w:tr>
      <w:tr w:rsidR="009E20D1">
        <w:tc>
          <w:tcPr>
            <w:tcW w:w="539" w:type="dxa"/>
            <w:vAlign w:val="center"/>
          </w:tcPr>
          <w:p w:rsidR="009E20D1" w:rsidRDefault="009B6B60">
            <w:pPr>
              <w:jc w:val="center"/>
            </w:pPr>
            <w:r>
              <w:rPr>
                <w:color w:val="000000"/>
                <w:sz w:val="24"/>
              </w:rPr>
              <w:t>14</w:t>
            </w:r>
          </w:p>
        </w:tc>
        <w:tc>
          <w:tcPr>
            <w:tcW w:w="4449" w:type="dxa"/>
            <w:vAlign w:val="center"/>
          </w:tcPr>
          <w:p w:rsidR="009E20D1" w:rsidRDefault="009B6B60">
            <w:pPr>
              <w:jc w:val="center"/>
            </w:pPr>
            <w:r>
              <w:rPr>
                <w:color w:val="000000"/>
                <w:sz w:val="24"/>
              </w:rPr>
              <w:t>Huadian Power International Corporation Limited</w:t>
            </w:r>
          </w:p>
        </w:tc>
        <w:tc>
          <w:tcPr>
            <w:tcW w:w="979" w:type="dxa"/>
            <w:vAlign w:val="center"/>
          </w:tcPr>
          <w:p w:rsidR="009E20D1" w:rsidRDefault="009B6B60">
            <w:pPr>
              <w:jc w:val="center"/>
            </w:pPr>
            <w:r>
              <w:rPr>
                <w:color w:val="000000"/>
                <w:sz w:val="24"/>
              </w:rPr>
              <w:t>1071 HK</w:t>
            </w:r>
          </w:p>
        </w:tc>
        <w:tc>
          <w:tcPr>
            <w:tcW w:w="1428" w:type="dxa"/>
            <w:vAlign w:val="center"/>
          </w:tcPr>
          <w:p w:rsidR="009E20D1" w:rsidRDefault="009B6B60">
            <w:pPr>
              <w:jc w:val="center"/>
            </w:pPr>
            <w:r>
              <w:rPr>
                <w:color w:val="000000"/>
                <w:sz w:val="24"/>
              </w:rPr>
              <w:t>908,093.84</w:t>
            </w:r>
          </w:p>
        </w:tc>
        <w:tc>
          <w:tcPr>
            <w:tcW w:w="1603" w:type="dxa"/>
            <w:vAlign w:val="center"/>
          </w:tcPr>
          <w:p w:rsidR="009E20D1" w:rsidRDefault="009B6B60">
            <w:pPr>
              <w:jc w:val="center"/>
            </w:pPr>
            <w:r>
              <w:rPr>
                <w:color w:val="000000"/>
                <w:sz w:val="24"/>
              </w:rPr>
              <w:t>2.31</w:t>
            </w:r>
          </w:p>
        </w:tc>
      </w:tr>
      <w:tr w:rsidR="009E20D1">
        <w:tc>
          <w:tcPr>
            <w:tcW w:w="539" w:type="dxa"/>
            <w:vAlign w:val="center"/>
          </w:tcPr>
          <w:p w:rsidR="009E20D1" w:rsidRDefault="009B6B60">
            <w:pPr>
              <w:jc w:val="center"/>
            </w:pPr>
            <w:r>
              <w:rPr>
                <w:color w:val="000000"/>
                <w:sz w:val="24"/>
              </w:rPr>
              <w:t>15</w:t>
            </w:r>
          </w:p>
        </w:tc>
        <w:tc>
          <w:tcPr>
            <w:tcW w:w="4449" w:type="dxa"/>
            <w:vAlign w:val="center"/>
          </w:tcPr>
          <w:p w:rsidR="009E20D1" w:rsidRDefault="009B6B60">
            <w:pPr>
              <w:jc w:val="center"/>
            </w:pPr>
            <w:r>
              <w:rPr>
                <w:color w:val="000000"/>
                <w:sz w:val="24"/>
              </w:rPr>
              <w:t>Ping An Insurance (Group) Company Of China,Ltd.</w:t>
            </w:r>
          </w:p>
        </w:tc>
        <w:tc>
          <w:tcPr>
            <w:tcW w:w="979" w:type="dxa"/>
            <w:vAlign w:val="center"/>
          </w:tcPr>
          <w:p w:rsidR="009E20D1" w:rsidRDefault="009B6B60">
            <w:pPr>
              <w:jc w:val="center"/>
            </w:pPr>
            <w:r>
              <w:rPr>
                <w:color w:val="000000"/>
                <w:sz w:val="24"/>
              </w:rPr>
              <w:t>2318 HK</w:t>
            </w:r>
          </w:p>
        </w:tc>
        <w:tc>
          <w:tcPr>
            <w:tcW w:w="1428" w:type="dxa"/>
            <w:vAlign w:val="center"/>
          </w:tcPr>
          <w:p w:rsidR="009E20D1" w:rsidRDefault="009B6B60">
            <w:pPr>
              <w:jc w:val="center"/>
            </w:pPr>
            <w:r>
              <w:rPr>
                <w:color w:val="000000"/>
                <w:sz w:val="24"/>
              </w:rPr>
              <w:t>881,532.74</w:t>
            </w:r>
          </w:p>
        </w:tc>
        <w:tc>
          <w:tcPr>
            <w:tcW w:w="1603" w:type="dxa"/>
            <w:vAlign w:val="center"/>
          </w:tcPr>
          <w:p w:rsidR="009E20D1" w:rsidRDefault="009B6B60">
            <w:pPr>
              <w:jc w:val="center"/>
            </w:pPr>
            <w:r>
              <w:rPr>
                <w:color w:val="000000"/>
                <w:sz w:val="24"/>
              </w:rPr>
              <w:t>2.24</w:t>
            </w:r>
          </w:p>
        </w:tc>
      </w:tr>
      <w:tr w:rsidR="009E20D1">
        <w:tc>
          <w:tcPr>
            <w:tcW w:w="539" w:type="dxa"/>
            <w:vAlign w:val="center"/>
          </w:tcPr>
          <w:p w:rsidR="009E20D1" w:rsidRDefault="009B6B60">
            <w:pPr>
              <w:jc w:val="center"/>
            </w:pPr>
            <w:r>
              <w:rPr>
                <w:color w:val="000000"/>
                <w:sz w:val="24"/>
              </w:rPr>
              <w:t>16</w:t>
            </w:r>
          </w:p>
        </w:tc>
        <w:tc>
          <w:tcPr>
            <w:tcW w:w="4449" w:type="dxa"/>
            <w:vAlign w:val="center"/>
          </w:tcPr>
          <w:p w:rsidR="009E20D1" w:rsidRDefault="009B6B60">
            <w:pPr>
              <w:jc w:val="center"/>
            </w:pPr>
            <w:r>
              <w:rPr>
                <w:color w:val="000000"/>
                <w:sz w:val="24"/>
              </w:rPr>
              <w:t>Huaneng Power International,Inc.</w:t>
            </w:r>
          </w:p>
        </w:tc>
        <w:tc>
          <w:tcPr>
            <w:tcW w:w="979" w:type="dxa"/>
            <w:vAlign w:val="center"/>
          </w:tcPr>
          <w:p w:rsidR="009E20D1" w:rsidRDefault="009B6B60">
            <w:pPr>
              <w:jc w:val="center"/>
            </w:pPr>
            <w:r>
              <w:rPr>
                <w:color w:val="000000"/>
                <w:sz w:val="24"/>
              </w:rPr>
              <w:t>902 HK</w:t>
            </w:r>
          </w:p>
        </w:tc>
        <w:tc>
          <w:tcPr>
            <w:tcW w:w="1428" w:type="dxa"/>
            <w:vAlign w:val="center"/>
          </w:tcPr>
          <w:p w:rsidR="009E20D1" w:rsidRDefault="009B6B60">
            <w:pPr>
              <w:jc w:val="center"/>
            </w:pPr>
            <w:r>
              <w:rPr>
                <w:color w:val="000000"/>
                <w:sz w:val="24"/>
              </w:rPr>
              <w:t>849,290.27</w:t>
            </w:r>
          </w:p>
        </w:tc>
        <w:tc>
          <w:tcPr>
            <w:tcW w:w="1603" w:type="dxa"/>
            <w:vAlign w:val="center"/>
          </w:tcPr>
          <w:p w:rsidR="009E20D1" w:rsidRDefault="009B6B60">
            <w:pPr>
              <w:jc w:val="center"/>
            </w:pPr>
            <w:r>
              <w:rPr>
                <w:color w:val="000000"/>
                <w:sz w:val="24"/>
              </w:rPr>
              <w:t>2.16</w:t>
            </w:r>
          </w:p>
        </w:tc>
      </w:tr>
      <w:tr w:rsidR="009E20D1">
        <w:tc>
          <w:tcPr>
            <w:tcW w:w="539" w:type="dxa"/>
            <w:vAlign w:val="center"/>
          </w:tcPr>
          <w:p w:rsidR="009E20D1" w:rsidRDefault="009B6B60">
            <w:pPr>
              <w:jc w:val="center"/>
            </w:pPr>
            <w:r>
              <w:rPr>
                <w:color w:val="000000"/>
                <w:sz w:val="24"/>
              </w:rPr>
              <w:t>17</w:t>
            </w:r>
          </w:p>
        </w:tc>
        <w:tc>
          <w:tcPr>
            <w:tcW w:w="4449" w:type="dxa"/>
            <w:vAlign w:val="center"/>
          </w:tcPr>
          <w:p w:rsidR="009E20D1" w:rsidRDefault="009B6B60">
            <w:pPr>
              <w:jc w:val="center"/>
            </w:pPr>
            <w:r>
              <w:rPr>
                <w:color w:val="000000"/>
                <w:sz w:val="24"/>
              </w:rPr>
              <w:t>Zhaojin Mining Industry Company Limited</w:t>
            </w:r>
          </w:p>
        </w:tc>
        <w:tc>
          <w:tcPr>
            <w:tcW w:w="979" w:type="dxa"/>
            <w:vAlign w:val="center"/>
          </w:tcPr>
          <w:p w:rsidR="009E20D1" w:rsidRDefault="009B6B60">
            <w:pPr>
              <w:jc w:val="center"/>
            </w:pPr>
            <w:r>
              <w:rPr>
                <w:color w:val="000000"/>
                <w:sz w:val="24"/>
              </w:rPr>
              <w:t>1818 HK</w:t>
            </w:r>
          </w:p>
        </w:tc>
        <w:tc>
          <w:tcPr>
            <w:tcW w:w="1428" w:type="dxa"/>
            <w:vAlign w:val="center"/>
          </w:tcPr>
          <w:p w:rsidR="009E20D1" w:rsidRDefault="009B6B60">
            <w:pPr>
              <w:jc w:val="center"/>
            </w:pPr>
            <w:r>
              <w:rPr>
                <w:color w:val="000000"/>
                <w:sz w:val="24"/>
              </w:rPr>
              <w:t>843,193.30</w:t>
            </w:r>
          </w:p>
        </w:tc>
        <w:tc>
          <w:tcPr>
            <w:tcW w:w="1603" w:type="dxa"/>
            <w:vAlign w:val="center"/>
          </w:tcPr>
          <w:p w:rsidR="009E20D1" w:rsidRDefault="009B6B60">
            <w:pPr>
              <w:jc w:val="center"/>
            </w:pPr>
            <w:r>
              <w:rPr>
                <w:color w:val="000000"/>
                <w:sz w:val="24"/>
              </w:rPr>
              <w:t>2.14</w:t>
            </w:r>
          </w:p>
        </w:tc>
      </w:tr>
      <w:tr w:rsidR="009E20D1">
        <w:tc>
          <w:tcPr>
            <w:tcW w:w="539" w:type="dxa"/>
            <w:vAlign w:val="center"/>
          </w:tcPr>
          <w:p w:rsidR="009E20D1" w:rsidRDefault="009B6B60">
            <w:pPr>
              <w:jc w:val="center"/>
            </w:pPr>
            <w:r>
              <w:rPr>
                <w:color w:val="000000"/>
                <w:sz w:val="24"/>
              </w:rPr>
              <w:t>18</w:t>
            </w:r>
          </w:p>
        </w:tc>
        <w:tc>
          <w:tcPr>
            <w:tcW w:w="4449" w:type="dxa"/>
            <w:vAlign w:val="center"/>
          </w:tcPr>
          <w:p w:rsidR="009E20D1" w:rsidRDefault="009B6B60">
            <w:pPr>
              <w:jc w:val="center"/>
            </w:pPr>
            <w:r>
              <w:rPr>
                <w:color w:val="000000"/>
                <w:sz w:val="24"/>
              </w:rPr>
              <w:t>China Hongqiao Group Limited</w:t>
            </w:r>
          </w:p>
        </w:tc>
        <w:tc>
          <w:tcPr>
            <w:tcW w:w="979" w:type="dxa"/>
            <w:vAlign w:val="center"/>
          </w:tcPr>
          <w:p w:rsidR="009E20D1" w:rsidRDefault="009B6B60">
            <w:pPr>
              <w:jc w:val="center"/>
            </w:pPr>
            <w:r>
              <w:rPr>
                <w:color w:val="000000"/>
                <w:sz w:val="24"/>
              </w:rPr>
              <w:t>1378 HK</w:t>
            </w:r>
          </w:p>
        </w:tc>
        <w:tc>
          <w:tcPr>
            <w:tcW w:w="1428" w:type="dxa"/>
            <w:vAlign w:val="center"/>
          </w:tcPr>
          <w:p w:rsidR="009E20D1" w:rsidRDefault="009B6B60">
            <w:pPr>
              <w:jc w:val="center"/>
            </w:pPr>
            <w:r>
              <w:rPr>
                <w:color w:val="000000"/>
                <w:sz w:val="24"/>
              </w:rPr>
              <w:t>809,462.97</w:t>
            </w:r>
          </w:p>
        </w:tc>
        <w:tc>
          <w:tcPr>
            <w:tcW w:w="1603" w:type="dxa"/>
            <w:vAlign w:val="center"/>
          </w:tcPr>
          <w:p w:rsidR="009E20D1" w:rsidRDefault="009B6B60">
            <w:pPr>
              <w:jc w:val="center"/>
            </w:pPr>
            <w:r>
              <w:rPr>
                <w:color w:val="000000"/>
                <w:sz w:val="24"/>
              </w:rPr>
              <w:t>2.06</w:t>
            </w:r>
          </w:p>
        </w:tc>
      </w:tr>
      <w:tr w:rsidR="009E20D1">
        <w:tc>
          <w:tcPr>
            <w:tcW w:w="539" w:type="dxa"/>
            <w:vAlign w:val="center"/>
          </w:tcPr>
          <w:p w:rsidR="009E20D1" w:rsidRDefault="009B6B60">
            <w:pPr>
              <w:jc w:val="center"/>
            </w:pPr>
            <w:r>
              <w:rPr>
                <w:color w:val="000000"/>
                <w:sz w:val="24"/>
              </w:rPr>
              <w:t>19</w:t>
            </w:r>
          </w:p>
        </w:tc>
        <w:tc>
          <w:tcPr>
            <w:tcW w:w="4449" w:type="dxa"/>
            <w:vAlign w:val="center"/>
          </w:tcPr>
          <w:p w:rsidR="009E20D1" w:rsidRDefault="009B6B60">
            <w:pPr>
              <w:jc w:val="center"/>
            </w:pPr>
            <w:r>
              <w:rPr>
                <w:color w:val="000000"/>
                <w:sz w:val="24"/>
              </w:rPr>
              <w:t>China Agri-Industries Holdings Limited</w:t>
            </w:r>
          </w:p>
        </w:tc>
        <w:tc>
          <w:tcPr>
            <w:tcW w:w="979" w:type="dxa"/>
            <w:vAlign w:val="center"/>
          </w:tcPr>
          <w:p w:rsidR="009E20D1" w:rsidRDefault="009B6B60">
            <w:pPr>
              <w:jc w:val="center"/>
            </w:pPr>
            <w:r>
              <w:rPr>
                <w:color w:val="000000"/>
                <w:sz w:val="24"/>
              </w:rPr>
              <w:t>606 HK</w:t>
            </w:r>
          </w:p>
        </w:tc>
        <w:tc>
          <w:tcPr>
            <w:tcW w:w="1428" w:type="dxa"/>
            <w:vAlign w:val="center"/>
          </w:tcPr>
          <w:p w:rsidR="009E20D1" w:rsidRDefault="009B6B60">
            <w:pPr>
              <w:jc w:val="center"/>
            </w:pPr>
            <w:r>
              <w:rPr>
                <w:color w:val="000000"/>
                <w:sz w:val="24"/>
              </w:rPr>
              <w:t>742,554.74</w:t>
            </w:r>
          </w:p>
        </w:tc>
        <w:tc>
          <w:tcPr>
            <w:tcW w:w="1603" w:type="dxa"/>
            <w:vAlign w:val="center"/>
          </w:tcPr>
          <w:p w:rsidR="009E20D1" w:rsidRDefault="009B6B60">
            <w:pPr>
              <w:jc w:val="center"/>
            </w:pPr>
            <w:r>
              <w:rPr>
                <w:color w:val="000000"/>
                <w:sz w:val="24"/>
              </w:rPr>
              <w:t>1.89</w:t>
            </w:r>
          </w:p>
        </w:tc>
      </w:tr>
      <w:tr w:rsidR="009E20D1">
        <w:tc>
          <w:tcPr>
            <w:tcW w:w="539" w:type="dxa"/>
            <w:vAlign w:val="center"/>
          </w:tcPr>
          <w:p w:rsidR="009E20D1" w:rsidRDefault="009B6B60">
            <w:pPr>
              <w:jc w:val="center"/>
            </w:pPr>
            <w:r>
              <w:rPr>
                <w:color w:val="000000"/>
                <w:sz w:val="24"/>
              </w:rPr>
              <w:t>20</w:t>
            </w:r>
          </w:p>
        </w:tc>
        <w:tc>
          <w:tcPr>
            <w:tcW w:w="4449" w:type="dxa"/>
            <w:vAlign w:val="center"/>
          </w:tcPr>
          <w:p w:rsidR="009E20D1" w:rsidRDefault="009B6B60">
            <w:pPr>
              <w:jc w:val="center"/>
            </w:pPr>
            <w:r>
              <w:rPr>
                <w:color w:val="000000"/>
                <w:sz w:val="24"/>
              </w:rPr>
              <w:t>Xinyi Glass Holdings Ltd.</w:t>
            </w:r>
          </w:p>
        </w:tc>
        <w:tc>
          <w:tcPr>
            <w:tcW w:w="979" w:type="dxa"/>
            <w:vAlign w:val="center"/>
          </w:tcPr>
          <w:p w:rsidR="009E20D1" w:rsidRDefault="009B6B60">
            <w:pPr>
              <w:jc w:val="center"/>
            </w:pPr>
            <w:r>
              <w:rPr>
                <w:color w:val="000000"/>
                <w:sz w:val="24"/>
              </w:rPr>
              <w:t>868 HK</w:t>
            </w:r>
          </w:p>
        </w:tc>
        <w:tc>
          <w:tcPr>
            <w:tcW w:w="1428" w:type="dxa"/>
            <w:vAlign w:val="center"/>
          </w:tcPr>
          <w:p w:rsidR="009E20D1" w:rsidRDefault="009B6B60">
            <w:pPr>
              <w:jc w:val="center"/>
            </w:pPr>
            <w:r>
              <w:rPr>
                <w:color w:val="000000"/>
                <w:sz w:val="24"/>
              </w:rPr>
              <w:t>662,324.90</w:t>
            </w:r>
          </w:p>
        </w:tc>
        <w:tc>
          <w:tcPr>
            <w:tcW w:w="1603" w:type="dxa"/>
            <w:vAlign w:val="center"/>
          </w:tcPr>
          <w:p w:rsidR="009E20D1" w:rsidRDefault="009B6B60">
            <w:pPr>
              <w:jc w:val="center"/>
            </w:pPr>
            <w:r>
              <w:rPr>
                <w:color w:val="000000"/>
                <w:sz w:val="24"/>
              </w:rPr>
              <w:t>1.68</w:t>
            </w:r>
          </w:p>
        </w:tc>
      </w:tr>
    </w:tbl>
    <w:p w:rsidR="009E20D1" w:rsidRDefault="009B6B6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lastRenderedPageBreak/>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36,915,837.64</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29,842,837.85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6" w:name="_Toc224618381"/>
      <w:bookmarkStart w:id="147" w:name="_Toc248233028"/>
      <w:bookmarkStart w:id="148" w:name="_Toc249790560"/>
      <w:bookmarkStart w:id="149" w:name="_Toc286929761"/>
      <w:bookmarkStart w:id="150" w:name="_Toc352256000"/>
      <w:bookmarkStart w:id="151" w:name="_Toc352256068"/>
      <w:bookmarkStart w:id="152"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6"/>
      <w:bookmarkEnd w:id="147"/>
      <w:bookmarkEnd w:id="148"/>
      <w:bookmarkEnd w:id="149"/>
      <w:bookmarkEnd w:id="150"/>
      <w:bookmarkEnd w:id="151"/>
      <w:bookmarkEnd w:id="15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3" w:name="_Toc224618382"/>
      <w:bookmarkStart w:id="154" w:name="_Toc248233029"/>
      <w:bookmarkStart w:id="155" w:name="_Toc249790561"/>
      <w:bookmarkStart w:id="156" w:name="_Toc286929762"/>
      <w:bookmarkStart w:id="157" w:name="_Toc352256001"/>
      <w:bookmarkStart w:id="158" w:name="_Toc352256069"/>
      <w:bookmarkStart w:id="159"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3"/>
      <w:bookmarkEnd w:id="154"/>
      <w:bookmarkEnd w:id="155"/>
      <w:bookmarkEnd w:id="156"/>
      <w:bookmarkEnd w:id="157"/>
      <w:bookmarkEnd w:id="158"/>
      <w:bookmarkEnd w:id="15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0" w:name="_Toc224618383"/>
      <w:bookmarkStart w:id="161" w:name="_Toc248233030"/>
      <w:bookmarkStart w:id="162" w:name="_Toc249790562"/>
      <w:bookmarkStart w:id="163" w:name="_Toc286929763"/>
      <w:bookmarkStart w:id="164" w:name="_Toc352256002"/>
      <w:bookmarkStart w:id="165" w:name="_Toc352256070"/>
      <w:bookmarkStart w:id="166"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0"/>
      <w:bookmarkEnd w:id="161"/>
      <w:bookmarkEnd w:id="162"/>
      <w:bookmarkEnd w:id="163"/>
      <w:bookmarkEnd w:id="164"/>
      <w:bookmarkEnd w:id="165"/>
      <w:bookmarkEnd w:id="16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7" w:name="_Toc224618384"/>
      <w:bookmarkStart w:id="168" w:name="_Toc248233031"/>
      <w:bookmarkStart w:id="169" w:name="_Toc249790563"/>
      <w:bookmarkStart w:id="170" w:name="_Toc286929764"/>
      <w:bookmarkStart w:id="171" w:name="_Toc352256003"/>
      <w:bookmarkStart w:id="172" w:name="_Toc352256071"/>
      <w:bookmarkStart w:id="173"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67"/>
      <w:bookmarkEnd w:id="168"/>
      <w:bookmarkEnd w:id="169"/>
      <w:bookmarkEnd w:id="170"/>
      <w:bookmarkEnd w:id="171"/>
      <w:bookmarkEnd w:id="172"/>
      <w:bookmarkEnd w:id="17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4" w:name="_Toc248233032"/>
      <w:bookmarkStart w:id="175" w:name="_Toc249790564"/>
      <w:bookmarkStart w:id="176" w:name="_Toc286929765"/>
      <w:bookmarkStart w:id="177" w:name="_Toc352256004"/>
      <w:bookmarkStart w:id="178" w:name="_Toc352256072"/>
      <w:bookmarkStart w:id="179" w:name="_Toc352331250"/>
      <w:r w:rsidRPr="00123880">
        <w:rPr>
          <w:rFonts w:ascii="Times New Roman" w:hAnsi="Times New Roman"/>
          <w:kern w:val="0"/>
          <w:szCs w:val="24"/>
        </w:rPr>
        <w:t>7.10</w:t>
      </w:r>
      <w:bookmarkStart w:id="180" w:name="_Toc224618385"/>
      <w:r w:rsidRPr="00123880">
        <w:rPr>
          <w:rFonts w:ascii="Times New Roman" w:hAnsi="Times New Roman"/>
          <w:kern w:val="0"/>
          <w:szCs w:val="24"/>
        </w:rPr>
        <w:t>期末按公允价值占基金资产净值比例大小排序的前十名基金投资明细</w:t>
      </w:r>
      <w:bookmarkEnd w:id="174"/>
      <w:bookmarkEnd w:id="175"/>
      <w:bookmarkEnd w:id="176"/>
      <w:bookmarkEnd w:id="177"/>
      <w:bookmarkEnd w:id="178"/>
      <w:bookmarkEnd w:id="179"/>
      <w:bookmarkEnd w:id="180"/>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1" w:name="_Toc224618386"/>
      <w:bookmarkStart w:id="182" w:name="_Toc248233033"/>
      <w:bookmarkStart w:id="183" w:name="_Toc249790565"/>
      <w:bookmarkStart w:id="184" w:name="_Toc286929766"/>
      <w:bookmarkStart w:id="185" w:name="_Toc352256005"/>
      <w:bookmarkStart w:id="186" w:name="_Toc352256073"/>
      <w:bookmarkStart w:id="187"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1"/>
      <w:bookmarkEnd w:id="182"/>
      <w:bookmarkEnd w:id="183"/>
      <w:bookmarkEnd w:id="184"/>
      <w:bookmarkEnd w:id="185"/>
      <w:bookmarkEnd w:id="186"/>
      <w:bookmarkEnd w:id="187"/>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529,863.12</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642,429.80</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lastRenderedPageBreak/>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448.20</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63,524.08</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1,236,265.20</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383F57">
      <w:pPr>
        <w:spacing w:before="29" w:line="288" w:lineRule="auto"/>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88" w:name="_Toc225500050"/>
      <w:bookmarkStart w:id="189" w:name="_Toc352256006"/>
      <w:bookmarkStart w:id="190" w:name="_Toc352256074"/>
      <w:bookmarkStart w:id="191" w:name="_Toc352331252"/>
      <w:r w:rsidRPr="00123880">
        <w:rPr>
          <w:b/>
          <w:bCs/>
          <w:szCs w:val="24"/>
          <w:lang w:val="en-US"/>
        </w:rPr>
        <w:t>§8</w:t>
      </w:r>
      <w:r w:rsidRPr="00123880">
        <w:rPr>
          <w:b/>
          <w:bCs/>
          <w:szCs w:val="24"/>
          <w:lang w:val="en-US"/>
        </w:rPr>
        <w:t>基金份额持有人信息</w:t>
      </w:r>
      <w:bookmarkEnd w:id="188"/>
      <w:bookmarkEnd w:id="189"/>
      <w:bookmarkEnd w:id="190"/>
      <w:bookmarkEnd w:id="191"/>
    </w:p>
    <w:p w:rsidR="008A5A5D" w:rsidRPr="00123880" w:rsidRDefault="008A5A5D" w:rsidP="002F2307">
      <w:pPr>
        <w:pStyle w:val="20"/>
        <w:spacing w:before="29" w:after="0" w:line="288" w:lineRule="auto"/>
        <w:rPr>
          <w:rFonts w:ascii="Times New Roman" w:hAnsi="Times New Roman"/>
          <w:kern w:val="0"/>
          <w:szCs w:val="24"/>
        </w:rPr>
      </w:pPr>
      <w:bookmarkStart w:id="192" w:name="_Toc225500051"/>
      <w:bookmarkStart w:id="193" w:name="_Toc352256007"/>
      <w:bookmarkStart w:id="194" w:name="_Toc352256075"/>
      <w:bookmarkStart w:id="195"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2"/>
      <w:bookmarkEnd w:id="193"/>
      <w:bookmarkEnd w:id="194"/>
      <w:bookmarkEnd w:id="195"/>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373F70" w:rsidRPr="00123880" w:rsidTr="00373F70">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9E20D1" w:rsidRDefault="009B6B6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373F70" w:rsidRPr="00123880" w:rsidTr="00373F7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0D1" w:rsidRDefault="009E20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373F70" w:rsidRPr="00123880" w:rsidTr="00373F7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9E20D1" w:rsidRDefault="009E20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373F70" w:rsidRPr="00123880" w:rsidTr="00373F70">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9E20D1" w:rsidRDefault="009B6B60">
            <w:pPr>
              <w:jc w:val="center"/>
            </w:pPr>
            <w:r>
              <w:rPr>
                <w:bCs/>
                <w:color w:val="000000"/>
                <w:sz w:val="24"/>
              </w:rPr>
              <w:t>3,071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10,357.10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98,840.65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0.31%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31,707,810.92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99.69%</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6" w:name="_Toc352256008"/>
      <w:bookmarkStart w:id="197" w:name="_Toc352256076"/>
      <w:bookmarkStart w:id="198"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6"/>
      <w:bookmarkEnd w:id="197"/>
      <w:bookmarkEnd w:id="1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34,369.05</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0.11%</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lastRenderedPageBreak/>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199" w:name="_Toc225500053"/>
      <w:bookmarkStart w:id="200" w:name="_Toc352256009"/>
      <w:bookmarkStart w:id="201" w:name="_Toc352256077"/>
      <w:bookmarkStart w:id="202" w:name="_Toc352331255"/>
      <w:r w:rsidRPr="00123880">
        <w:rPr>
          <w:b/>
          <w:bCs/>
          <w:szCs w:val="24"/>
          <w:lang w:val="en-US"/>
        </w:rPr>
        <w:t>9</w:t>
      </w:r>
      <w:r w:rsidRPr="00123880">
        <w:rPr>
          <w:b/>
          <w:bCs/>
          <w:szCs w:val="24"/>
          <w:lang w:val="en-US"/>
        </w:rPr>
        <w:t>开放式基金份额变动</w:t>
      </w:r>
      <w:bookmarkEnd w:id="199"/>
      <w:bookmarkEnd w:id="200"/>
      <w:bookmarkEnd w:id="201"/>
      <w:bookmarkEnd w:id="202"/>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32,063,310.06</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27,274,384.06</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27,531,042.55</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31,806,651.57</w:t>
            </w:r>
          </w:p>
        </w:tc>
      </w:tr>
    </w:tbl>
    <w:p w:rsidR="009E20D1" w:rsidRDefault="009B6B6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D5E64">
      <w:pPr>
        <w:pStyle w:val="1"/>
        <w:keepNext/>
        <w:keepLines/>
        <w:widowControl w:val="0"/>
        <w:spacing w:beforeLines="100" w:before="312" w:afterLines="100" w:after="312" w:line="288" w:lineRule="auto"/>
        <w:jc w:val="center"/>
        <w:rPr>
          <w:b/>
          <w:bCs/>
          <w:szCs w:val="24"/>
          <w:lang w:val="en-US"/>
        </w:rPr>
      </w:pPr>
      <w:bookmarkStart w:id="203" w:name="_Toc225500054"/>
      <w:bookmarkStart w:id="204" w:name="_Toc352256010"/>
      <w:bookmarkStart w:id="205" w:name="_Toc352256078"/>
      <w:bookmarkStart w:id="206" w:name="_Toc352331256"/>
      <w:r w:rsidRPr="00123880">
        <w:rPr>
          <w:b/>
          <w:bCs/>
          <w:szCs w:val="24"/>
          <w:lang w:val="en-US"/>
        </w:rPr>
        <w:t>10</w:t>
      </w:r>
      <w:r w:rsidRPr="00123880">
        <w:rPr>
          <w:b/>
          <w:bCs/>
          <w:szCs w:val="24"/>
          <w:lang w:val="en-US"/>
        </w:rPr>
        <w:t>重大事件揭示</w:t>
      </w:r>
      <w:bookmarkEnd w:id="203"/>
      <w:bookmarkEnd w:id="204"/>
      <w:bookmarkEnd w:id="205"/>
      <w:bookmarkEnd w:id="206"/>
    </w:p>
    <w:p w:rsidR="008A5A5D" w:rsidRPr="00123880" w:rsidRDefault="008A5A5D" w:rsidP="002F2307">
      <w:pPr>
        <w:pStyle w:val="20"/>
        <w:spacing w:before="29" w:after="0" w:line="288" w:lineRule="auto"/>
        <w:rPr>
          <w:rFonts w:ascii="Times New Roman" w:hAnsi="Times New Roman"/>
          <w:kern w:val="0"/>
          <w:szCs w:val="24"/>
        </w:rPr>
      </w:pPr>
      <w:bookmarkStart w:id="207" w:name="_Toc352256011"/>
      <w:bookmarkStart w:id="208" w:name="_Toc352256079"/>
      <w:bookmarkStart w:id="209" w:name="_Toc352331257"/>
      <w:r w:rsidRPr="00123880">
        <w:rPr>
          <w:rFonts w:ascii="Times New Roman" w:hAnsi="Times New Roman"/>
          <w:kern w:val="0"/>
          <w:szCs w:val="24"/>
        </w:rPr>
        <w:t>10.1</w:t>
      </w:r>
      <w:r w:rsidRPr="00123880">
        <w:rPr>
          <w:rFonts w:ascii="Times New Roman" w:hAnsi="Times New Roman"/>
          <w:kern w:val="0"/>
          <w:szCs w:val="24"/>
        </w:rPr>
        <w:t>基金份额持有人大会决议</w:t>
      </w:r>
      <w:bookmarkEnd w:id="207"/>
      <w:bookmarkEnd w:id="208"/>
      <w:bookmarkEnd w:id="209"/>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本基金本报告期内未召开基金份额持有人大会。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0" w:name="_Toc352256012"/>
      <w:bookmarkStart w:id="211" w:name="_Toc352256080"/>
      <w:bookmarkStart w:id="212" w:name="_Toc352331258"/>
      <w:r w:rsidRPr="00123880">
        <w:rPr>
          <w:rFonts w:ascii="Times New Roman" w:hAnsi="Times New Roman"/>
          <w:kern w:val="0"/>
          <w:szCs w:val="24"/>
        </w:rPr>
        <w:t xml:space="preserve">10.2 </w:t>
      </w:r>
      <w:r w:rsidRPr="00123880">
        <w:rPr>
          <w:rFonts w:ascii="Times New Roman" w:hAnsi="Times New Roman"/>
          <w:kern w:val="0"/>
          <w:szCs w:val="24"/>
        </w:rPr>
        <w:t>基金管理人、基金托管人的专门基金托管部门的重大人事变动</w:t>
      </w:r>
      <w:bookmarkEnd w:id="210"/>
      <w:bookmarkEnd w:id="211"/>
      <w:bookmarkEnd w:id="212"/>
    </w:p>
    <w:p w:rsidR="009E20D1" w:rsidRDefault="009B6B6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2</w:t>
      </w:r>
      <w:r w:rsidRPr="00123880">
        <w:rPr>
          <w:color w:val="000000"/>
          <w:sz w:val="24"/>
        </w:rPr>
        <w:t>、基金托管人的基金托管部门的重大人事变动：本基金托管人的专门基金托管部门本报告期内未发生重大人事变动。</w:t>
      </w:r>
      <w:r w:rsidRPr="00123880">
        <w:rPr>
          <w:color w:val="000000"/>
          <w:sz w:val="24"/>
        </w:rPr>
        <w:t xml:space="preserve"> </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3" w:name="_Toc352256013"/>
      <w:bookmarkStart w:id="214" w:name="_Toc352256081"/>
      <w:bookmarkStart w:id="215" w:name="_Toc352331259"/>
      <w:r w:rsidRPr="00123880">
        <w:rPr>
          <w:rFonts w:ascii="Times New Roman" w:hAnsi="Times New Roman"/>
          <w:kern w:val="0"/>
          <w:szCs w:val="24"/>
        </w:rPr>
        <w:t xml:space="preserve">10.3 </w:t>
      </w:r>
      <w:r w:rsidRPr="00123880">
        <w:rPr>
          <w:rFonts w:ascii="Times New Roman" w:hAnsi="Times New Roman"/>
          <w:kern w:val="0"/>
          <w:szCs w:val="24"/>
        </w:rPr>
        <w:t>涉及基金管理人、基金财产、基金托管业务的诉讼</w:t>
      </w:r>
      <w:bookmarkEnd w:id="213"/>
      <w:bookmarkEnd w:id="214"/>
      <w:bookmarkEnd w:id="215"/>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本报告期内未发生涉及本基金管理人、基金财产、基金托管业务的诉讼事项。</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6" w:name="_Toc352256014"/>
      <w:bookmarkStart w:id="217" w:name="_Toc352256082"/>
      <w:bookmarkStart w:id="218" w:name="_Toc352331260"/>
      <w:r w:rsidRPr="00123880">
        <w:rPr>
          <w:rFonts w:ascii="Times New Roman" w:hAnsi="Times New Roman"/>
          <w:kern w:val="0"/>
          <w:szCs w:val="24"/>
        </w:rPr>
        <w:t xml:space="preserve">10.4 </w:t>
      </w:r>
      <w:r w:rsidRPr="00123880">
        <w:rPr>
          <w:rFonts w:ascii="Times New Roman" w:hAnsi="Times New Roman"/>
          <w:kern w:val="0"/>
          <w:szCs w:val="24"/>
        </w:rPr>
        <w:t>基金投资策略的改变</w:t>
      </w:r>
      <w:bookmarkEnd w:id="216"/>
      <w:bookmarkEnd w:id="217"/>
      <w:bookmarkEnd w:id="218"/>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本基金本报告期内投资策略未发生改变。</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19" w:name="_Toc352256015"/>
      <w:bookmarkStart w:id="220" w:name="_Toc352256083"/>
      <w:bookmarkStart w:id="221" w:name="_Toc352331261"/>
      <w:r w:rsidRPr="00123880">
        <w:rPr>
          <w:rFonts w:ascii="Times New Roman" w:hAnsi="Times New Roman"/>
          <w:kern w:val="0"/>
          <w:szCs w:val="24"/>
        </w:rPr>
        <w:t>10.5</w:t>
      </w:r>
      <w:r w:rsidRPr="00123880">
        <w:rPr>
          <w:rFonts w:ascii="Times New Roman" w:hAnsi="Times New Roman"/>
          <w:kern w:val="0"/>
          <w:szCs w:val="24"/>
        </w:rPr>
        <w:t>报告期内改聘会计师事务所情况</w:t>
      </w:r>
      <w:bookmarkEnd w:id="219"/>
      <w:bookmarkEnd w:id="220"/>
      <w:bookmarkEnd w:id="221"/>
    </w:p>
    <w:p w:rsidR="008A5A5D" w:rsidRPr="00123880" w:rsidRDefault="008A5A5D" w:rsidP="002F2307">
      <w:pPr>
        <w:spacing w:before="29" w:line="288" w:lineRule="auto"/>
        <w:ind w:firstLineChars="200" w:firstLine="480"/>
        <w:rPr>
          <w:color w:val="000000"/>
          <w:sz w:val="24"/>
        </w:rPr>
      </w:pPr>
      <w:bookmarkStart w:id="222" w:name="OLE_LINK3"/>
      <w:r w:rsidRPr="00123880">
        <w:rPr>
          <w:color w:val="000000"/>
          <w:sz w:val="24"/>
        </w:rPr>
        <w:t>本基金自基金合同生效日起聘请普华永道中天会计师事务所</w:t>
      </w:r>
      <w:r w:rsidRPr="00123880">
        <w:rPr>
          <w:color w:val="000000"/>
          <w:sz w:val="24"/>
        </w:rPr>
        <w:t>(</w:t>
      </w:r>
      <w:r w:rsidRPr="00123880">
        <w:rPr>
          <w:color w:val="000000"/>
          <w:sz w:val="24"/>
        </w:rPr>
        <w:t>特殊普通合伙</w:t>
      </w:r>
      <w:r w:rsidRPr="00123880">
        <w:rPr>
          <w:color w:val="000000"/>
          <w:sz w:val="24"/>
        </w:rPr>
        <w:t>)</w:t>
      </w:r>
      <w:r w:rsidRPr="00123880">
        <w:rPr>
          <w:color w:val="000000"/>
          <w:sz w:val="24"/>
        </w:rPr>
        <w:t>为本基</w:t>
      </w:r>
      <w:r w:rsidRPr="00123880">
        <w:rPr>
          <w:color w:val="000000"/>
          <w:sz w:val="24"/>
        </w:rPr>
        <w:lastRenderedPageBreak/>
        <w:t>金提供审计服务。</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3" w:name="_Toc352256016"/>
      <w:bookmarkStart w:id="224" w:name="_Toc352256084"/>
      <w:bookmarkStart w:id="225" w:name="_Toc352331262"/>
      <w:bookmarkEnd w:id="222"/>
      <w:r w:rsidRPr="00123880">
        <w:rPr>
          <w:rFonts w:ascii="Times New Roman" w:hAnsi="Times New Roman"/>
          <w:kern w:val="0"/>
          <w:szCs w:val="24"/>
        </w:rPr>
        <w:t xml:space="preserve">10.6 </w:t>
      </w:r>
      <w:r w:rsidRPr="00123880">
        <w:rPr>
          <w:rFonts w:ascii="Times New Roman" w:hAnsi="Times New Roman"/>
          <w:kern w:val="0"/>
          <w:szCs w:val="24"/>
        </w:rPr>
        <w:t>管理人、托管人及其高级管理人员受稽查或处罚等情况</w:t>
      </w:r>
      <w:bookmarkEnd w:id="223"/>
      <w:bookmarkEnd w:id="224"/>
      <w:bookmarkEnd w:id="225"/>
    </w:p>
    <w:p w:rsidR="009E20D1" w:rsidRDefault="009B6B6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E20D1" w:rsidRDefault="009B6B6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E20D1" w:rsidRDefault="009B6B6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8A5A5D" w:rsidRPr="00123880" w:rsidRDefault="008A5A5D" w:rsidP="002F2307">
      <w:pPr>
        <w:spacing w:before="29" w:line="288" w:lineRule="auto"/>
        <w:ind w:firstLineChars="200" w:firstLine="480"/>
        <w:rPr>
          <w:color w:val="000000"/>
          <w:sz w:val="24"/>
        </w:rPr>
      </w:pPr>
      <w:r w:rsidRPr="00123880">
        <w:rPr>
          <w:color w:val="000000"/>
          <w:sz w:val="24"/>
        </w:rPr>
        <w:t>基金托管人及其高级管理人员本报告期内未受监管部门稽查或处罚。</w:t>
      </w:r>
    </w:p>
    <w:p w:rsidR="0088274B" w:rsidRPr="00123880" w:rsidRDefault="0088274B"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226" w:name="_Toc352256017"/>
      <w:bookmarkStart w:id="227" w:name="_Toc352256085"/>
      <w:bookmarkStart w:id="228" w:name="_Toc352331263"/>
      <w:r w:rsidRPr="00123880">
        <w:rPr>
          <w:rFonts w:ascii="Times New Roman" w:hAnsi="Times New Roman"/>
          <w:kern w:val="0"/>
          <w:szCs w:val="24"/>
        </w:rPr>
        <w:t xml:space="preserve">10.7 </w:t>
      </w:r>
      <w:r w:rsidRPr="00123880">
        <w:rPr>
          <w:rFonts w:ascii="Times New Roman" w:hAnsi="Times New Roman"/>
          <w:kern w:val="0"/>
          <w:szCs w:val="24"/>
        </w:rPr>
        <w:t>基金租用证券公司交易单元的有关情况</w:t>
      </w:r>
      <w:bookmarkEnd w:id="226"/>
      <w:bookmarkEnd w:id="227"/>
      <w:bookmarkEnd w:id="228"/>
    </w:p>
    <w:p w:rsidR="003A61AC" w:rsidRPr="00123880" w:rsidRDefault="003A61AC" w:rsidP="003A61AC">
      <w:pPr>
        <w:spacing w:before="29" w:line="288" w:lineRule="auto"/>
        <w:rPr>
          <w:b/>
          <w:sz w:val="24"/>
        </w:rPr>
      </w:pPr>
      <w:r w:rsidRPr="00123880">
        <w:rPr>
          <w:b/>
          <w:sz w:val="24"/>
        </w:rPr>
        <w:t>10.7.1</w:t>
      </w:r>
      <w:r w:rsidRPr="00123880">
        <w:rPr>
          <w:b/>
          <w:sz w:val="24"/>
        </w:rPr>
        <w:t>基金租用证券公司交易单元进行股票投资及佣金支付情况</w:t>
      </w:r>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9E20D1">
        <w:tc>
          <w:tcPr>
            <w:tcW w:w="1559" w:type="dxa"/>
            <w:vAlign w:val="center"/>
          </w:tcPr>
          <w:p w:rsidR="009E20D1" w:rsidRDefault="009B6B60">
            <w:pPr>
              <w:jc w:val="center"/>
            </w:pPr>
            <w:r>
              <w:rPr>
                <w:color w:val="000000"/>
                <w:sz w:val="24"/>
              </w:rPr>
              <w:t>China Merchants Securities(HK)Co.Ltd.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30,539,343.07</w:t>
            </w:r>
          </w:p>
        </w:tc>
        <w:tc>
          <w:tcPr>
            <w:tcW w:w="1107" w:type="dxa"/>
            <w:vAlign w:val="center"/>
          </w:tcPr>
          <w:p w:rsidR="009E20D1" w:rsidRDefault="009B6B60">
            <w:pPr>
              <w:jc w:val="right"/>
            </w:pPr>
            <w:r>
              <w:rPr>
                <w:color w:val="000000"/>
                <w:sz w:val="24"/>
              </w:rPr>
              <w:t>45.75%</w:t>
            </w:r>
          </w:p>
        </w:tc>
        <w:tc>
          <w:tcPr>
            <w:tcW w:w="1586" w:type="dxa"/>
            <w:vAlign w:val="center"/>
          </w:tcPr>
          <w:p w:rsidR="009E20D1" w:rsidRDefault="009B6B60">
            <w:pPr>
              <w:jc w:val="right"/>
            </w:pPr>
            <w:r>
              <w:rPr>
                <w:color w:val="000000"/>
                <w:sz w:val="24"/>
              </w:rPr>
              <w:t>30,539.34</w:t>
            </w:r>
          </w:p>
        </w:tc>
        <w:tc>
          <w:tcPr>
            <w:tcW w:w="1114" w:type="dxa"/>
            <w:vAlign w:val="center"/>
          </w:tcPr>
          <w:p w:rsidR="009E20D1" w:rsidRDefault="009B6B60">
            <w:pPr>
              <w:jc w:val="right"/>
            </w:pPr>
            <w:r>
              <w:rPr>
                <w:color w:val="000000"/>
                <w:sz w:val="24"/>
              </w:rPr>
              <w:t>39.74%</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BOCI Securities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9,516,200.76</w:t>
            </w:r>
          </w:p>
        </w:tc>
        <w:tc>
          <w:tcPr>
            <w:tcW w:w="1107" w:type="dxa"/>
            <w:vAlign w:val="center"/>
          </w:tcPr>
          <w:p w:rsidR="009E20D1" w:rsidRDefault="009B6B60">
            <w:pPr>
              <w:jc w:val="right"/>
            </w:pPr>
            <w:r>
              <w:rPr>
                <w:color w:val="000000"/>
                <w:sz w:val="24"/>
              </w:rPr>
              <w:t>14.25%</w:t>
            </w:r>
          </w:p>
        </w:tc>
        <w:tc>
          <w:tcPr>
            <w:tcW w:w="1586" w:type="dxa"/>
            <w:vAlign w:val="center"/>
          </w:tcPr>
          <w:p w:rsidR="009E20D1" w:rsidRDefault="009B6B60">
            <w:pPr>
              <w:jc w:val="right"/>
            </w:pPr>
            <w:r>
              <w:rPr>
                <w:color w:val="000000"/>
                <w:sz w:val="24"/>
              </w:rPr>
              <w:t>14,274.30</w:t>
            </w:r>
          </w:p>
        </w:tc>
        <w:tc>
          <w:tcPr>
            <w:tcW w:w="1114" w:type="dxa"/>
            <w:vAlign w:val="center"/>
          </w:tcPr>
          <w:p w:rsidR="009E20D1" w:rsidRDefault="009B6B60">
            <w:pPr>
              <w:jc w:val="right"/>
            </w:pPr>
            <w:r>
              <w:rPr>
                <w:color w:val="000000"/>
                <w:sz w:val="24"/>
              </w:rPr>
              <w:t>18.57%</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UOB Kay Hian(Hong Kong)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26,703,131.66</w:t>
            </w:r>
          </w:p>
        </w:tc>
        <w:tc>
          <w:tcPr>
            <w:tcW w:w="1107" w:type="dxa"/>
            <w:vAlign w:val="center"/>
          </w:tcPr>
          <w:p w:rsidR="009E20D1" w:rsidRDefault="009B6B60">
            <w:pPr>
              <w:jc w:val="right"/>
            </w:pPr>
            <w:r>
              <w:rPr>
                <w:color w:val="000000"/>
                <w:sz w:val="24"/>
              </w:rPr>
              <w:t>40.00%</w:t>
            </w:r>
          </w:p>
        </w:tc>
        <w:tc>
          <w:tcPr>
            <w:tcW w:w="1586" w:type="dxa"/>
            <w:vAlign w:val="center"/>
          </w:tcPr>
          <w:p w:rsidR="009E20D1" w:rsidRDefault="009B6B60">
            <w:pPr>
              <w:jc w:val="right"/>
            </w:pPr>
            <w:r>
              <w:rPr>
                <w:color w:val="000000"/>
                <w:sz w:val="24"/>
              </w:rPr>
              <w:t>32,043.76</w:t>
            </w:r>
          </w:p>
        </w:tc>
        <w:tc>
          <w:tcPr>
            <w:tcW w:w="1114" w:type="dxa"/>
            <w:vAlign w:val="center"/>
          </w:tcPr>
          <w:p w:rsidR="009E20D1" w:rsidRDefault="009B6B60">
            <w:pPr>
              <w:jc w:val="right"/>
            </w:pPr>
            <w:r>
              <w:rPr>
                <w:color w:val="000000"/>
                <w:sz w:val="24"/>
              </w:rPr>
              <w:t>41.69%</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Bocom International Securities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CICC Hong Kong Securities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 xml:space="preserve">Goldman Sachs (ASIA) </w:t>
            </w:r>
            <w:r>
              <w:rPr>
                <w:color w:val="000000"/>
                <w:sz w:val="24"/>
              </w:rPr>
              <w:lastRenderedPageBreak/>
              <w:t>Securities Limited</w:t>
            </w:r>
          </w:p>
        </w:tc>
        <w:tc>
          <w:tcPr>
            <w:tcW w:w="779" w:type="dxa"/>
            <w:vAlign w:val="center"/>
          </w:tcPr>
          <w:p w:rsidR="009E20D1" w:rsidRDefault="009B6B60">
            <w:pPr>
              <w:jc w:val="center"/>
            </w:pPr>
            <w:r>
              <w:rPr>
                <w:color w:val="000000"/>
                <w:sz w:val="24"/>
              </w:rPr>
              <w:lastRenderedPageBreak/>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Credit Suisse(Hong Kong)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Instinet Pacific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Guosen Securities(HK) Brokerage Company,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Shenyin Wanguo Securities(H.K.)Ltd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Macquarie Bank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CCB International Securities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Barclays Capital Group</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BRADESCO SEC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BSCH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BTIG LLC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CITIC Securities Brokerage (HK)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Citigroup Global Markets Australia Pty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Citigroup Global Markets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 xml:space="preserve">Citigroup Global </w:t>
            </w:r>
            <w:r>
              <w:rPr>
                <w:color w:val="000000"/>
                <w:sz w:val="24"/>
              </w:rPr>
              <w:lastRenderedPageBreak/>
              <w:t>Markets New York</w:t>
            </w:r>
          </w:p>
        </w:tc>
        <w:tc>
          <w:tcPr>
            <w:tcW w:w="779" w:type="dxa"/>
            <w:vAlign w:val="center"/>
          </w:tcPr>
          <w:p w:rsidR="009E20D1" w:rsidRDefault="009B6B60">
            <w:pPr>
              <w:jc w:val="center"/>
            </w:pPr>
            <w:r>
              <w:rPr>
                <w:color w:val="000000"/>
                <w:sz w:val="24"/>
              </w:rPr>
              <w:lastRenderedPageBreak/>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Citigroup Global Markets UK Equity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CORMARK SEC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Credit Suisse First Boston (Seoul)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Credit Suisse Securities (Europe)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CSFB Singapore Secs PTE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DB UK Bank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DBS Vickers Securities (Singapore) Pte</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Deutsche Securities Asia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Deutsche Securities Australia Ltd Sydney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Evolution Group Plc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Exane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Goldman Sachs Company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Goldman Sachs Execution and Clearing DMA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lastRenderedPageBreak/>
              <w:t>Goldman Sachs International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Goldman Sachs JB Were Pty Ltd Melbourne</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Guoyuan Securities Brokerage (HongKong)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Haitong International Securities Company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HSBC Bank Plc London (equities)</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HSBC Securities Inc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ICAP CORP LLC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Instinet Corporation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Instinet Corporation New York(DMA)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Instinet Europe Limited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Investec Securities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Investment Technology Group Ltd Dublin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ITG Australia Ltd Melbourne</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lastRenderedPageBreak/>
              <w:t>ITG Europe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ITG Inc.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ITG Ltd - Hong Kong</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 P Morgan Securities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 &amp; E.Davy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Jefferies &amp; Co Inc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Jefferies Intl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JP Morgan Secs (Asia Pacific) Korea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JP MORGAN Securities (Asia Pacific) Ltd.Hong Kong</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JP Morgan Securities Inc N.Y.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JP Morgan Securities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Liquidnet Australia Pty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LIQUIDNET EURO</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Liquidnet Inc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Macquarie Equities Ltd (Sydney)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Macquarie Equities New Zealand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Macquarie Securities(Si</w:t>
            </w:r>
            <w:r>
              <w:rPr>
                <w:color w:val="000000"/>
                <w:sz w:val="24"/>
              </w:rPr>
              <w:lastRenderedPageBreak/>
              <w:t>ngapore)Pte Ltd</w:t>
            </w:r>
          </w:p>
        </w:tc>
        <w:tc>
          <w:tcPr>
            <w:tcW w:w="779" w:type="dxa"/>
            <w:vAlign w:val="center"/>
          </w:tcPr>
          <w:p w:rsidR="009E20D1" w:rsidRDefault="009B6B60">
            <w:pPr>
              <w:jc w:val="center"/>
            </w:pPr>
            <w:r>
              <w:rPr>
                <w:color w:val="000000"/>
                <w:sz w:val="24"/>
              </w:rPr>
              <w:lastRenderedPageBreak/>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MACSECS HK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Merrill Lynch Far East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Merrill Lynch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Merrill Lynch Pierce Fenner Smith NY</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Merrill Lynch Singapore DMA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Mitsubishi Securities International</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Mizuho Securities Asia Ltd (HongKong)</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Mizuho Securities Co (Tokyo)</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Morgan Stanley Co. Intl Ltd ( Seoul )</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Morgan Stanley Co.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Morgan Stanley International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Morgan Stanley International Plc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Nomura International Ltd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 xml:space="preserve">Oriental </w:t>
            </w:r>
            <w:r>
              <w:rPr>
                <w:color w:val="000000"/>
                <w:sz w:val="24"/>
              </w:rPr>
              <w:lastRenderedPageBreak/>
              <w:t>Patron Securities Limited</w:t>
            </w:r>
          </w:p>
        </w:tc>
        <w:tc>
          <w:tcPr>
            <w:tcW w:w="779" w:type="dxa"/>
            <w:vAlign w:val="center"/>
          </w:tcPr>
          <w:p w:rsidR="009E20D1" w:rsidRDefault="009B6B60">
            <w:pPr>
              <w:jc w:val="center"/>
            </w:pPr>
            <w:r>
              <w:rPr>
                <w:color w:val="000000"/>
                <w:sz w:val="24"/>
              </w:rPr>
              <w:lastRenderedPageBreak/>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Panmure Gordon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PIPER JAFFRAY ASIA SECURITIES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RBC Capital Markets Corporation New York</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RBC Capital Markets Inc Toronto</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RBC Dain Rauscher Inc Minneapolis</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Redburn Partners</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Redburn Partners LLP (DMA)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Royal Bank of Scotland Plc London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 J LEVINSON</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Samsung Securities Asia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Scotia Capital (USA) Inc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SG Securities (London)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Southern Cross Equities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lastRenderedPageBreak/>
              <w:t>State Street Global Markets LLC (DMA)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UBS Securities LLC Stamford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UBS Securities Singapore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WALL ST ACCESS</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CLSA Ltd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NOMURA INTERNATIONAL PLC.</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Morgan Stanley Hong Kong</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ABN Amro Australia Limited</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ABS Sundal Collier</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r w:rsidR="009E20D1">
        <w:tc>
          <w:tcPr>
            <w:tcW w:w="1559" w:type="dxa"/>
            <w:vAlign w:val="center"/>
          </w:tcPr>
          <w:p w:rsidR="009E20D1" w:rsidRDefault="009B6B60">
            <w:pPr>
              <w:jc w:val="center"/>
            </w:pPr>
            <w:r>
              <w:rPr>
                <w:color w:val="000000"/>
                <w:sz w:val="24"/>
              </w:rPr>
              <w:t>Banco Di Investimentos CSFB Garantia SA</w:t>
            </w:r>
          </w:p>
        </w:tc>
        <w:tc>
          <w:tcPr>
            <w:tcW w:w="779" w:type="dxa"/>
            <w:vAlign w:val="center"/>
          </w:tcPr>
          <w:p w:rsidR="009E20D1" w:rsidRDefault="009B6B60">
            <w:pPr>
              <w:jc w:val="center"/>
            </w:pPr>
            <w:r>
              <w:rPr>
                <w:color w:val="000000"/>
                <w:sz w:val="24"/>
              </w:rPr>
              <w:t>-</w:t>
            </w:r>
          </w:p>
        </w:tc>
        <w:tc>
          <w:tcPr>
            <w:tcW w:w="1773" w:type="dxa"/>
            <w:vAlign w:val="center"/>
          </w:tcPr>
          <w:p w:rsidR="009E20D1" w:rsidRDefault="009B6B60">
            <w:pPr>
              <w:jc w:val="right"/>
            </w:pPr>
            <w:r>
              <w:rPr>
                <w:color w:val="000000"/>
                <w:sz w:val="24"/>
              </w:rPr>
              <w:t>-</w:t>
            </w:r>
          </w:p>
        </w:tc>
        <w:tc>
          <w:tcPr>
            <w:tcW w:w="1107" w:type="dxa"/>
            <w:vAlign w:val="center"/>
          </w:tcPr>
          <w:p w:rsidR="009E20D1" w:rsidRDefault="009B6B60">
            <w:pPr>
              <w:jc w:val="right"/>
            </w:pPr>
            <w:r>
              <w:rPr>
                <w:color w:val="000000"/>
                <w:sz w:val="24"/>
              </w:rPr>
              <w:t>-</w:t>
            </w:r>
          </w:p>
        </w:tc>
        <w:tc>
          <w:tcPr>
            <w:tcW w:w="1586" w:type="dxa"/>
            <w:vAlign w:val="center"/>
          </w:tcPr>
          <w:p w:rsidR="009E20D1" w:rsidRDefault="009B6B60">
            <w:pPr>
              <w:jc w:val="right"/>
            </w:pPr>
            <w:r>
              <w:rPr>
                <w:color w:val="000000"/>
                <w:sz w:val="24"/>
              </w:rPr>
              <w:t>-</w:t>
            </w:r>
          </w:p>
        </w:tc>
        <w:tc>
          <w:tcPr>
            <w:tcW w:w="1114" w:type="dxa"/>
            <w:vAlign w:val="center"/>
          </w:tcPr>
          <w:p w:rsidR="009E20D1" w:rsidRDefault="009B6B60">
            <w:pPr>
              <w:jc w:val="right"/>
            </w:pPr>
            <w:r>
              <w:rPr>
                <w:color w:val="000000"/>
                <w:sz w:val="24"/>
              </w:rPr>
              <w:t>-</w:t>
            </w:r>
          </w:p>
        </w:tc>
        <w:tc>
          <w:tcPr>
            <w:tcW w:w="1080" w:type="dxa"/>
            <w:vAlign w:val="center"/>
          </w:tcPr>
          <w:p w:rsidR="009E20D1" w:rsidRDefault="009B6B60">
            <w:pPr>
              <w:jc w:val="center"/>
            </w:pPr>
            <w:r>
              <w:rPr>
                <w:color w:val="000000"/>
                <w:sz w:val="24"/>
              </w:rPr>
              <w:t>-</w:t>
            </w:r>
          </w:p>
        </w:tc>
      </w:tr>
    </w:tbl>
    <w:p w:rsidR="009E20D1" w:rsidRDefault="009B6B60">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 xml:space="preserve">    2</w:t>
      </w:r>
      <w:r w:rsidRPr="00123880">
        <w:rPr>
          <w:rFonts w:eastAsiaTheme="minorEastAsia"/>
          <w:kern w:val="0"/>
          <w:szCs w:val="21"/>
        </w:rPr>
        <w:t>、本公司投资海外市场，遵循公平分配、最佳执行的原则。本公司挑选券商并开户均主要遵循以下原则：券商基本面评价，包括财务状况和经营状况；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3A61AC" w:rsidRPr="00123880" w:rsidRDefault="003A61AC" w:rsidP="00AB219A">
      <w:pPr>
        <w:spacing w:before="29" w:line="288" w:lineRule="auto"/>
        <w:rPr>
          <w:b/>
          <w:sz w:val="24"/>
        </w:rPr>
      </w:pPr>
      <w:r w:rsidRPr="00123880">
        <w:rPr>
          <w:b/>
          <w:sz w:val="24"/>
        </w:rPr>
        <w:lastRenderedPageBreak/>
        <w:t>10.7.2</w:t>
      </w:r>
      <w:r w:rsidRPr="00123880">
        <w:rPr>
          <w:b/>
          <w:sz w:val="24"/>
        </w:rPr>
        <w:t>基金租用证券公司交易单元进行其他证券投资的情况</w:t>
      </w:r>
    </w:p>
    <w:p w:rsidR="003A61AC" w:rsidRPr="00123880" w:rsidRDefault="003A61AC" w:rsidP="00E156D1">
      <w:pPr>
        <w:tabs>
          <w:tab w:val="left" w:pos="426"/>
        </w:tabs>
        <w:spacing w:before="29" w:line="288" w:lineRule="auto"/>
        <w:jc w:val="left"/>
        <w:rPr>
          <w:kern w:val="0"/>
          <w:sz w:val="24"/>
        </w:rPr>
      </w:pPr>
      <w:r w:rsidRPr="00123880">
        <w:rPr>
          <w:kern w:val="0"/>
          <w:sz w:val="24"/>
        </w:rPr>
        <w:t>无。</w:t>
      </w:r>
    </w:p>
    <w:sectPr w:rsidR="003A61AC"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E3" w:rsidRDefault="008432E3">
      <w:r>
        <w:separator/>
      </w:r>
    </w:p>
  </w:endnote>
  <w:endnote w:type="continuationSeparator" w:id="0">
    <w:p w:rsidR="008432E3" w:rsidRDefault="0084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166BF7"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383F57">
      <w:rPr>
        <w:noProof/>
        <w:kern w:val="0"/>
        <w:szCs w:val="21"/>
      </w:rPr>
      <w:t>2</w:t>
    </w:r>
    <w:r w:rsidR="00166BF7">
      <w:rPr>
        <w:kern w:val="0"/>
        <w:szCs w:val="21"/>
      </w:rPr>
      <w:fldChar w:fldCharType="end"/>
    </w:r>
    <w:r>
      <w:rPr>
        <w:rFonts w:hint="eastAsia"/>
        <w:kern w:val="0"/>
        <w:szCs w:val="21"/>
      </w:rPr>
      <w:t>页共</w:t>
    </w:r>
    <w:r w:rsidR="00166BF7">
      <w:rPr>
        <w:kern w:val="0"/>
        <w:szCs w:val="21"/>
      </w:rPr>
      <w:fldChar w:fldCharType="begin"/>
    </w:r>
    <w:r>
      <w:rPr>
        <w:kern w:val="0"/>
        <w:szCs w:val="21"/>
      </w:rPr>
      <w:instrText xml:space="preserve"> NUMPAGES </w:instrText>
    </w:r>
    <w:r w:rsidR="00166BF7">
      <w:rPr>
        <w:kern w:val="0"/>
        <w:szCs w:val="21"/>
      </w:rPr>
      <w:fldChar w:fldCharType="separate"/>
    </w:r>
    <w:r w:rsidR="00383F57">
      <w:rPr>
        <w:noProof/>
        <w:kern w:val="0"/>
        <w:szCs w:val="21"/>
      </w:rPr>
      <w:t>38</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E3" w:rsidRDefault="008432E3">
      <w:r>
        <w:separator/>
      </w:r>
    </w:p>
  </w:footnote>
  <w:footnote w:type="continuationSeparator" w:id="0">
    <w:p w:rsidR="008432E3" w:rsidRDefault="008432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335718" w:rsidP="009D66C1">
    <w:pPr>
      <w:pStyle w:val="aa"/>
      <w:pBdr>
        <w:bottom w:val="single" w:sz="6" w:space="0" w:color="auto"/>
      </w:pBdr>
      <w:jc w:val="right"/>
    </w:pPr>
    <w:r w:rsidRPr="00335718">
      <w:rPr>
        <w:rFonts w:hint="eastAsia"/>
        <w:noProof/>
      </w:rPr>
      <w:drawing>
        <wp:anchor distT="0" distB="0" distL="114300" distR="114300" simplePos="0" relativeHeight="251659264" behindDoc="0" locked="0" layoutInCell="1" allowOverlap="1">
          <wp:simplePos x="0" y="0"/>
          <wp:positionH relativeFrom="column">
            <wp:posOffset>-29210</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6B59A2" w:rsidRPr="00335718">
      <w:t>交银施罗德全球自然资源证券投资基金</w:t>
    </w:r>
    <w:r w:rsidR="006B59A2" w:rsidRPr="00335718">
      <w:t>2017</w:t>
    </w:r>
    <w:r w:rsidR="006B59A2" w:rsidRPr="00335718">
      <w:t>年半年度报告</w:t>
    </w:r>
    <w:r w:rsidR="006B59A2" w:rsidRPr="00335718">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E47"/>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564"/>
    <w:rsid w:val="003648F2"/>
    <w:rsid w:val="00364FA1"/>
    <w:rsid w:val="00366B02"/>
    <w:rsid w:val="003671F5"/>
    <w:rsid w:val="00370AA4"/>
    <w:rsid w:val="003711F2"/>
    <w:rsid w:val="003717FC"/>
    <w:rsid w:val="00371FF4"/>
    <w:rsid w:val="00372363"/>
    <w:rsid w:val="003723C2"/>
    <w:rsid w:val="0037275D"/>
    <w:rsid w:val="00372797"/>
    <w:rsid w:val="00373F70"/>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3F57"/>
    <w:rsid w:val="0038480C"/>
    <w:rsid w:val="00384DC9"/>
    <w:rsid w:val="0038566E"/>
    <w:rsid w:val="00385C66"/>
    <w:rsid w:val="00385EDA"/>
    <w:rsid w:val="00386630"/>
    <w:rsid w:val="00386A6C"/>
    <w:rsid w:val="00386FB5"/>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6F7"/>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32E3"/>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6B60"/>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20D1"/>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61F3"/>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522"/>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14DFD4-28BD-47AE-99B6-EDE2EB63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0CE3B-9CBD-4040-A2B1-4CCE3A8D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Pages>
  <Words>3914</Words>
  <Characters>22316</Characters>
  <Application>Microsoft Office Word</Application>
  <DocSecurity>0</DocSecurity>
  <Lines>185</Lines>
  <Paragraphs>52</Paragraphs>
  <ScaleCrop>false</ScaleCrop>
  <Company/>
  <LinksUpToDate>false</LinksUpToDate>
  <CharactersWithSpaces>26178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659</cp:revision>
  <cp:lastPrinted>2007-07-19T00:46:00Z</cp:lastPrinted>
  <dcterms:created xsi:type="dcterms:W3CDTF">2013-08-19T07:44:00Z</dcterms:created>
  <dcterms:modified xsi:type="dcterms:W3CDTF">2017-08-24T09:29:00Z</dcterms:modified>
</cp:coreProperties>
</file>