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A11739">
        <w:rPr>
          <w:rFonts w:asciiTheme="minorEastAsia" w:eastAsiaTheme="minorEastAsia" w:hAnsiTheme="minorEastAsia" w:hint="eastAsia"/>
          <w:color w:val="auto"/>
          <w:sz w:val="30"/>
        </w:rPr>
        <w:t>交银施罗德恒益灵活配置混合型证券投资基金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A11739" w:rsidRDefault="00A11739" w:rsidP="00A11739">
      <w:pPr>
        <w:spacing w:line="360" w:lineRule="auto"/>
        <w:ind w:firstLineChars="200" w:firstLine="482"/>
        <w:rPr>
          <w:b/>
          <w:sz w:val="24"/>
          <w:szCs w:val="24"/>
        </w:rPr>
      </w:pPr>
      <w:r>
        <w:rPr>
          <w:rFonts w:hAnsi="宋体"/>
          <w:b/>
          <w:sz w:val="24"/>
          <w:szCs w:val="24"/>
        </w:rPr>
        <w:t>一、基金管理人、基金托管人和基金份额持有人的权利、义务</w:t>
      </w:r>
    </w:p>
    <w:p w:rsidR="00A11739" w:rsidRDefault="00A11739" w:rsidP="00A11739">
      <w:pPr>
        <w:spacing w:line="360" w:lineRule="auto"/>
        <w:ind w:firstLineChars="200" w:firstLine="480"/>
        <w:rPr>
          <w:bCs/>
          <w:sz w:val="24"/>
        </w:rPr>
      </w:pPr>
      <w:r>
        <w:rPr>
          <w:rFonts w:hAnsi="宋体"/>
          <w:bCs/>
          <w:sz w:val="24"/>
        </w:rPr>
        <w:t>（一）基金管理人的权利</w:t>
      </w:r>
    </w:p>
    <w:p w:rsidR="00A11739" w:rsidRDefault="00A11739" w:rsidP="00A11739">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A11739" w:rsidRDefault="00A11739" w:rsidP="00A1173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A11739" w:rsidRDefault="00A11739" w:rsidP="00A1173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A11739" w:rsidRDefault="00A11739" w:rsidP="00A11739">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A11739" w:rsidRDefault="00A11739" w:rsidP="00A11739">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A11739" w:rsidRDefault="00A11739" w:rsidP="00A11739">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A11739" w:rsidRDefault="00A11739" w:rsidP="00A11739">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11739" w:rsidRDefault="00A11739" w:rsidP="00A11739">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A11739" w:rsidRDefault="00A11739" w:rsidP="00A11739">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A11739" w:rsidRDefault="00A11739" w:rsidP="00A11739">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A11739" w:rsidRDefault="00A11739" w:rsidP="00A11739">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A11739" w:rsidRDefault="00A11739" w:rsidP="00A11739">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w:t>
      </w:r>
      <w:r w:rsidRPr="00747DC5">
        <w:rPr>
          <w:rFonts w:hint="eastAsia"/>
          <w:bCs/>
          <w:sz w:val="24"/>
        </w:rPr>
        <w:t>或转换</w:t>
      </w:r>
      <w:r>
        <w:rPr>
          <w:rFonts w:hint="eastAsia"/>
          <w:bCs/>
          <w:sz w:val="24"/>
        </w:rPr>
        <w:t>申请；</w:t>
      </w:r>
      <w:r>
        <w:rPr>
          <w:bCs/>
          <w:sz w:val="24"/>
        </w:rPr>
        <w:t xml:space="preserve"> </w:t>
      </w:r>
    </w:p>
    <w:p w:rsidR="00A11739" w:rsidRDefault="00A11739" w:rsidP="00A11739">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A11739" w:rsidRDefault="00A11739" w:rsidP="00A11739">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rsidR="00A11739" w:rsidRDefault="00A11739" w:rsidP="00A11739">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w:t>
      </w:r>
      <w:r>
        <w:rPr>
          <w:rFonts w:hint="eastAsia"/>
          <w:bCs/>
          <w:sz w:val="24"/>
        </w:rPr>
        <w:lastRenderedPageBreak/>
        <w:t>实施其他法律行为；</w:t>
      </w:r>
      <w:r>
        <w:rPr>
          <w:bCs/>
          <w:sz w:val="24"/>
        </w:rPr>
        <w:tab/>
      </w:r>
    </w:p>
    <w:p w:rsidR="00A11739" w:rsidRDefault="00A11739" w:rsidP="00A11739">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rsidR="00A11739" w:rsidRDefault="00A11739" w:rsidP="00A11739">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rsidR="00A11739" w:rsidRDefault="00A11739" w:rsidP="00A11739">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A11739" w:rsidRDefault="00A11739" w:rsidP="00A11739">
      <w:pPr>
        <w:spacing w:line="360" w:lineRule="auto"/>
        <w:ind w:firstLineChars="200" w:firstLine="480"/>
        <w:rPr>
          <w:bCs/>
          <w:sz w:val="24"/>
        </w:rPr>
      </w:pPr>
      <w:r>
        <w:rPr>
          <w:rFonts w:hAnsi="宋体"/>
          <w:bCs/>
          <w:sz w:val="24"/>
        </w:rPr>
        <w:t>（二）基金管理人的义务</w:t>
      </w:r>
    </w:p>
    <w:p w:rsidR="00A11739" w:rsidRDefault="00A11739" w:rsidP="00A11739">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）编制季度、半年度和年度基金报告；</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25</w:t>
      </w:r>
      <w:r>
        <w:rPr>
          <w:rFonts w:hint="eastAsia"/>
          <w:bCs/>
          <w:sz w:val="24"/>
        </w:rPr>
        <w:t>）执行生效的基金份额持有人大会的决议；</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rsidR="00A11739" w:rsidRDefault="00A11739" w:rsidP="00A11739">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A11739" w:rsidRDefault="00A11739" w:rsidP="00A11739">
      <w:pPr>
        <w:spacing w:line="360" w:lineRule="auto"/>
        <w:ind w:firstLineChars="200" w:firstLine="480"/>
        <w:rPr>
          <w:bCs/>
          <w:sz w:val="24"/>
        </w:rPr>
      </w:pPr>
      <w:r>
        <w:rPr>
          <w:rFonts w:hAnsi="宋体"/>
          <w:bCs/>
          <w:sz w:val="24"/>
        </w:rPr>
        <w:t>（三）基金托管人的权利</w:t>
      </w:r>
    </w:p>
    <w:p w:rsidR="00A11739" w:rsidRDefault="00A11739" w:rsidP="00A11739">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A11739" w:rsidRDefault="00A11739" w:rsidP="00A11739">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A11739" w:rsidRDefault="00A11739" w:rsidP="00A11739">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A11739" w:rsidRDefault="00A11739" w:rsidP="00A11739">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11739" w:rsidRDefault="00A11739" w:rsidP="00A11739">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w:t>
      </w:r>
      <w:r w:rsidRPr="00747DC5">
        <w:rPr>
          <w:rFonts w:hint="eastAsia"/>
          <w:bCs/>
          <w:sz w:val="24"/>
        </w:rPr>
        <w:t>等投资所需账户</w:t>
      </w:r>
      <w:r>
        <w:rPr>
          <w:rFonts w:hint="eastAsia"/>
          <w:bCs/>
          <w:sz w:val="24"/>
        </w:rPr>
        <w:t>、协助开立股指期货业务相关账户及交易编码、为基金办理证券、期货交易资金清算；</w:t>
      </w:r>
    </w:p>
    <w:p w:rsidR="00A11739" w:rsidRDefault="00A11739" w:rsidP="00A11739">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A11739" w:rsidRDefault="00A11739" w:rsidP="00A11739">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A11739" w:rsidRDefault="00A11739" w:rsidP="00A11739">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A11739" w:rsidRDefault="00A11739" w:rsidP="00A11739">
      <w:pPr>
        <w:spacing w:line="360" w:lineRule="auto"/>
        <w:ind w:firstLineChars="200" w:firstLine="480"/>
        <w:rPr>
          <w:sz w:val="24"/>
        </w:rPr>
      </w:pPr>
      <w:r>
        <w:rPr>
          <w:rFonts w:hAnsi="宋体"/>
          <w:bCs/>
          <w:sz w:val="24"/>
        </w:rPr>
        <w:t>（四）</w:t>
      </w:r>
      <w:r>
        <w:rPr>
          <w:rFonts w:hAnsi="宋体"/>
          <w:sz w:val="24"/>
        </w:rPr>
        <w:t>基金托管人的义务</w:t>
      </w:r>
    </w:p>
    <w:p w:rsidR="00A11739" w:rsidRDefault="00A11739" w:rsidP="00A11739">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4</w:t>
      </w:r>
      <w:r>
        <w:rPr>
          <w:rFonts w:hint="eastAsia"/>
          <w:bCs/>
          <w:sz w:val="24"/>
        </w:rPr>
        <w:t>）除依据《基金法》、《基金合同》及其他有关规定外，不得利用基金财产为自己及任何第三人谋取利益，不得委托第三人托管基金财产；</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w:t>
      </w:r>
      <w:r w:rsidRPr="00747DC5">
        <w:rPr>
          <w:rFonts w:hint="eastAsia"/>
          <w:bCs/>
          <w:sz w:val="24"/>
        </w:rPr>
        <w:t>从基金管理人</w:t>
      </w:r>
      <w:r w:rsidRPr="00747DC5">
        <w:rPr>
          <w:bCs/>
          <w:sz w:val="24"/>
        </w:rPr>
        <w:t>或其委托的登记机构处</w:t>
      </w:r>
      <w:r w:rsidRPr="00747DC5">
        <w:rPr>
          <w:rFonts w:hint="eastAsia"/>
          <w:bCs/>
          <w:sz w:val="24"/>
        </w:rPr>
        <w:t>接收</w:t>
      </w:r>
      <w:r>
        <w:rPr>
          <w:rFonts w:hint="eastAsia"/>
          <w:bCs/>
          <w:sz w:val="24"/>
        </w:rPr>
        <w:t>并保存基金份额持有人名册；</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rsidR="00A11739" w:rsidRDefault="00A11739" w:rsidP="00A11739">
      <w:pPr>
        <w:pStyle w:val="aa"/>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rsidR="00A11739" w:rsidRDefault="00A11739" w:rsidP="00A11739">
      <w:pPr>
        <w:pStyle w:val="aa"/>
        <w:spacing w:afterLines="0"/>
        <w:ind w:left="480" w:firstLineChars="0" w:firstLine="0"/>
        <w:rPr>
          <w:szCs w:val="24"/>
        </w:rPr>
      </w:pPr>
      <w:r>
        <w:rPr>
          <w:rFonts w:hAnsi="宋体"/>
          <w:bCs/>
          <w:szCs w:val="24"/>
        </w:rPr>
        <w:t>（五）</w:t>
      </w:r>
      <w:r>
        <w:rPr>
          <w:rFonts w:hAnsi="宋体"/>
          <w:szCs w:val="24"/>
        </w:rPr>
        <w:t>基金份额持有人的权利</w:t>
      </w:r>
    </w:p>
    <w:p w:rsidR="00A11739" w:rsidRDefault="00A11739" w:rsidP="00A11739">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A11739" w:rsidRDefault="00A11739" w:rsidP="00A11739">
      <w:pPr>
        <w:spacing w:line="360" w:lineRule="auto"/>
        <w:ind w:firstLineChars="200" w:firstLine="480"/>
        <w:rPr>
          <w:bCs/>
          <w:sz w:val="24"/>
          <w:szCs w:val="24"/>
        </w:rPr>
      </w:pPr>
      <w:r>
        <w:rPr>
          <w:rFonts w:hint="eastAsia"/>
          <w:bCs/>
          <w:sz w:val="24"/>
          <w:szCs w:val="24"/>
        </w:rPr>
        <w:t>每份基金份额具有同等的合法权益。</w:t>
      </w:r>
    </w:p>
    <w:p w:rsidR="00A11739" w:rsidRDefault="00A11739" w:rsidP="00A11739">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rsidR="00A11739" w:rsidRDefault="00A11739" w:rsidP="00A11739">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rsidR="00A11739" w:rsidRDefault="00A11739" w:rsidP="00A11739">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rsidR="00A11739" w:rsidRDefault="00A11739" w:rsidP="00A11739">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A11739" w:rsidRDefault="00A11739" w:rsidP="00A11739">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w:t>
      </w:r>
      <w:r>
        <w:rPr>
          <w:rFonts w:hint="eastAsia"/>
          <w:bCs/>
          <w:sz w:val="24"/>
        </w:rPr>
        <w:t>）了解所投资基金产品，了解自身风险承受能力，自主判断基金的投资价值，自主做出投资决策，自行承担投资风险；</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rsidR="00A11739" w:rsidRDefault="00A11739" w:rsidP="00A11739">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rsidR="00A11739" w:rsidRDefault="00A11739" w:rsidP="00A11739">
      <w:pPr>
        <w:spacing w:line="360" w:lineRule="auto"/>
        <w:ind w:firstLineChars="200" w:firstLine="482"/>
        <w:rPr>
          <w:b/>
          <w:bCs/>
          <w:sz w:val="24"/>
        </w:rPr>
      </w:pPr>
      <w:r>
        <w:rPr>
          <w:rFonts w:hAnsi="宋体"/>
          <w:b/>
          <w:bCs/>
          <w:sz w:val="24"/>
        </w:rPr>
        <w:t>二、基金份额持有人大会召集、议事及表决的程序和规则</w:t>
      </w:r>
    </w:p>
    <w:p w:rsidR="00A11739" w:rsidRDefault="00A11739" w:rsidP="00A11739">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A11739" w:rsidRDefault="00A11739" w:rsidP="00A11739">
      <w:pPr>
        <w:spacing w:line="360" w:lineRule="auto"/>
        <w:ind w:firstLineChars="200" w:firstLine="480"/>
        <w:rPr>
          <w:bCs/>
          <w:sz w:val="24"/>
        </w:rPr>
      </w:pPr>
      <w:r>
        <w:rPr>
          <w:rFonts w:hint="eastAsia"/>
          <w:bCs/>
          <w:sz w:val="24"/>
        </w:rPr>
        <w:t>本基金份额持有人大会不设日常机构。</w:t>
      </w:r>
    </w:p>
    <w:p w:rsidR="00A11739" w:rsidRDefault="00A11739" w:rsidP="00A11739">
      <w:pPr>
        <w:spacing w:line="360" w:lineRule="auto"/>
        <w:ind w:firstLineChars="200" w:firstLine="480"/>
        <w:rPr>
          <w:bCs/>
          <w:sz w:val="24"/>
        </w:rPr>
      </w:pPr>
      <w:r>
        <w:rPr>
          <w:rFonts w:hAnsi="宋体"/>
          <w:bCs/>
          <w:sz w:val="24"/>
        </w:rPr>
        <w:t>（一）召开事由</w:t>
      </w:r>
    </w:p>
    <w:p w:rsidR="00A11739" w:rsidRDefault="00A11739" w:rsidP="00A11739">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A11739" w:rsidRDefault="00A11739" w:rsidP="00A11739">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rsidR="00A11739" w:rsidRDefault="00A11739" w:rsidP="00A11739">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rsidR="00A11739" w:rsidRDefault="00A11739" w:rsidP="00A11739">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rsidR="00A11739" w:rsidRDefault="00A11739" w:rsidP="00A11739">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rsidR="00A11739" w:rsidRDefault="00A11739" w:rsidP="00A11739">
      <w:pPr>
        <w:spacing w:line="360" w:lineRule="auto"/>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rsidR="00A11739" w:rsidRDefault="00A11739" w:rsidP="00A11739">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rsidR="00A11739" w:rsidRDefault="00A11739" w:rsidP="00A11739">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rsidR="00A11739" w:rsidRDefault="00A11739" w:rsidP="00A11739">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）变更基金投资目标、范围或策略；</w:t>
      </w:r>
    </w:p>
    <w:p w:rsidR="00A11739" w:rsidRDefault="00A11739" w:rsidP="00A11739">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rsidR="00A11739" w:rsidRDefault="00A11739" w:rsidP="00A11739">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A11739" w:rsidRDefault="00A11739" w:rsidP="00A11739">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A11739" w:rsidRDefault="00A11739" w:rsidP="00A11739">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A11739" w:rsidRDefault="00A11739" w:rsidP="00A11739">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A11739" w:rsidRDefault="00A11739" w:rsidP="00A11739">
      <w:pPr>
        <w:spacing w:line="360" w:lineRule="auto"/>
        <w:ind w:firstLineChars="200" w:firstLine="480"/>
        <w:rPr>
          <w:bCs/>
          <w:sz w:val="24"/>
        </w:rPr>
      </w:pPr>
      <w:r>
        <w:rPr>
          <w:bCs/>
          <w:sz w:val="24"/>
        </w:rPr>
        <w:t>2</w:t>
      </w:r>
      <w:r>
        <w:rPr>
          <w:rFonts w:hint="eastAsia"/>
          <w:bCs/>
          <w:sz w:val="24"/>
        </w:rPr>
        <w:t>、在符合法律法规和《基金合同</w:t>
      </w:r>
      <w:r w:rsidRPr="00747DC5">
        <w:rPr>
          <w:rFonts w:hint="eastAsia"/>
          <w:bCs/>
          <w:sz w:val="24"/>
        </w:rPr>
        <w:t>》</w:t>
      </w:r>
      <w:r>
        <w:rPr>
          <w:rFonts w:hint="eastAsia"/>
          <w:bCs/>
          <w:sz w:val="24"/>
        </w:rPr>
        <w:t>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rsidR="00A11739" w:rsidRDefault="00A11739" w:rsidP="00A11739">
      <w:pPr>
        <w:spacing w:line="360" w:lineRule="auto"/>
        <w:ind w:firstLineChars="200" w:firstLine="480"/>
        <w:rPr>
          <w:bCs/>
          <w:sz w:val="24"/>
        </w:rPr>
      </w:pPr>
      <w:r w:rsidRPr="00747DC5">
        <w:rPr>
          <w:rFonts w:hint="eastAsia"/>
          <w:bCs/>
          <w:sz w:val="24"/>
        </w:rPr>
        <w:t>（</w:t>
      </w:r>
      <w:r w:rsidRPr="00747DC5">
        <w:rPr>
          <w:rFonts w:hint="eastAsia"/>
          <w:bCs/>
          <w:sz w:val="24"/>
        </w:rPr>
        <w:t>1</w:t>
      </w:r>
      <w:r w:rsidRPr="00747DC5">
        <w:rPr>
          <w:bCs/>
          <w:sz w:val="24"/>
        </w:rPr>
        <w:t>）</w:t>
      </w:r>
      <w:r w:rsidRPr="00747DC5">
        <w:rPr>
          <w:rFonts w:hint="eastAsia"/>
          <w:bCs/>
          <w:sz w:val="24"/>
        </w:rPr>
        <w:t>调低除基金管理费、基金托管费之外</w:t>
      </w:r>
      <w:r w:rsidRPr="00747DC5">
        <w:rPr>
          <w:bCs/>
          <w:sz w:val="24"/>
        </w:rPr>
        <w:t>的</w:t>
      </w:r>
      <w:r w:rsidRPr="00747DC5">
        <w:rPr>
          <w:rFonts w:hint="eastAsia"/>
          <w:bCs/>
          <w:sz w:val="24"/>
        </w:rPr>
        <w:t>其他应由本基金或基金份额持有人承担的费用；</w:t>
      </w:r>
    </w:p>
    <w:p w:rsidR="00A11739" w:rsidRDefault="00A11739" w:rsidP="00A11739">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rsidR="00A11739" w:rsidRDefault="00A11739" w:rsidP="00A11739">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rsidR="00A11739" w:rsidRDefault="00A11739" w:rsidP="00A11739">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rsidR="00A11739" w:rsidRDefault="00A11739" w:rsidP="00A11739">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A11739" w:rsidRDefault="00A11739" w:rsidP="00A11739">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A11739" w:rsidRDefault="00A11739" w:rsidP="00A11739">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rsidR="00A11739" w:rsidRDefault="00A11739" w:rsidP="00A11739">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A11739" w:rsidRDefault="00A11739" w:rsidP="00A11739">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rsidR="00A11739" w:rsidRDefault="00A11739" w:rsidP="00A11739">
      <w:pPr>
        <w:spacing w:line="360" w:lineRule="auto"/>
        <w:ind w:firstLineChars="200" w:firstLine="480"/>
        <w:rPr>
          <w:bCs/>
          <w:sz w:val="24"/>
        </w:rPr>
      </w:pPr>
      <w:r>
        <w:rPr>
          <w:rFonts w:hAnsi="宋体"/>
          <w:bCs/>
          <w:sz w:val="24"/>
        </w:rPr>
        <w:lastRenderedPageBreak/>
        <w:t>（二）</w:t>
      </w:r>
      <w:r>
        <w:rPr>
          <w:rFonts w:hAnsi="宋体" w:hint="eastAsia"/>
          <w:bCs/>
          <w:sz w:val="24"/>
        </w:rPr>
        <w:t>会议</w:t>
      </w:r>
      <w:r>
        <w:rPr>
          <w:rFonts w:hAnsi="宋体"/>
          <w:bCs/>
          <w:sz w:val="24"/>
        </w:rPr>
        <w:t>召集人及召集方式</w:t>
      </w:r>
    </w:p>
    <w:p w:rsidR="00A11739" w:rsidRDefault="00A11739" w:rsidP="00A11739">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rsidR="00A11739" w:rsidRDefault="00A11739" w:rsidP="00A11739">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A11739" w:rsidRDefault="00A11739" w:rsidP="00A11739">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A11739" w:rsidRDefault="00A11739" w:rsidP="00A11739">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A11739" w:rsidRDefault="00A11739" w:rsidP="00A11739">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A11739" w:rsidRDefault="00A11739" w:rsidP="00A11739">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A11739" w:rsidRDefault="00A11739" w:rsidP="00A11739">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A11739" w:rsidRDefault="00A11739" w:rsidP="00A11739">
      <w:pPr>
        <w:spacing w:line="360" w:lineRule="auto"/>
        <w:ind w:firstLineChars="200" w:firstLine="480"/>
        <w:rPr>
          <w:bCs/>
          <w:sz w:val="24"/>
        </w:rPr>
      </w:pPr>
      <w:r>
        <w:rPr>
          <w:rFonts w:hAnsi="宋体"/>
          <w:bCs/>
          <w:sz w:val="24"/>
        </w:rPr>
        <w:t>（三）召开基金份额持有人大会的通知时间、通知内容、通知方式</w:t>
      </w:r>
    </w:p>
    <w:p w:rsidR="00A11739" w:rsidRDefault="00A11739" w:rsidP="00A11739">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rsidR="00A11739" w:rsidRDefault="00A11739" w:rsidP="00A11739">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）会议召开的时间、地点和会议形式；</w:t>
      </w:r>
    </w:p>
    <w:p w:rsidR="00A11739" w:rsidRDefault="00A11739" w:rsidP="00A11739">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A11739" w:rsidRDefault="00A11739" w:rsidP="00A11739">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A11739" w:rsidRDefault="00A11739" w:rsidP="00A11739">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A11739" w:rsidRDefault="00A11739" w:rsidP="00A11739">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A11739" w:rsidRDefault="00A11739" w:rsidP="00A11739">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A11739" w:rsidRDefault="00A11739" w:rsidP="00A11739">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A11739" w:rsidRDefault="00A11739" w:rsidP="00A11739">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11739" w:rsidRDefault="00A11739" w:rsidP="00A11739">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11739" w:rsidRDefault="00A11739" w:rsidP="00A11739">
      <w:pPr>
        <w:spacing w:line="360" w:lineRule="auto"/>
        <w:ind w:firstLineChars="200" w:firstLine="480"/>
        <w:rPr>
          <w:bCs/>
          <w:sz w:val="24"/>
        </w:rPr>
      </w:pPr>
      <w:r>
        <w:rPr>
          <w:rFonts w:hAnsi="宋体"/>
          <w:bCs/>
          <w:sz w:val="24"/>
        </w:rPr>
        <w:t>（四）基金份额持有人出席会议的方式</w:t>
      </w:r>
    </w:p>
    <w:p w:rsidR="00A11739" w:rsidRDefault="00A11739" w:rsidP="00A11739">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rsidR="00A11739" w:rsidRDefault="00A11739" w:rsidP="00A11739">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11739" w:rsidRDefault="00A11739" w:rsidP="00A11739">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11739" w:rsidRDefault="00A11739" w:rsidP="00A11739">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w:t>
      </w:r>
      <w:r>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11739" w:rsidRDefault="00A11739" w:rsidP="00A11739">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sidRPr="00747DC5">
        <w:rPr>
          <w:rFonts w:hint="eastAsia"/>
          <w:bCs/>
          <w:sz w:val="24"/>
        </w:rPr>
        <w:t>会议通知载明的</w:t>
      </w:r>
      <w:r>
        <w:rPr>
          <w:rFonts w:hint="eastAsia"/>
          <w:bCs/>
          <w:sz w:val="24"/>
        </w:rPr>
        <w:t>形式在表决截止日以前送达至召集人指定的地址或</w:t>
      </w:r>
      <w:r>
        <w:rPr>
          <w:bCs/>
          <w:sz w:val="24"/>
        </w:rPr>
        <w:t>系统</w:t>
      </w:r>
      <w:r>
        <w:rPr>
          <w:rFonts w:hint="eastAsia"/>
          <w:bCs/>
          <w:sz w:val="24"/>
        </w:rPr>
        <w:t>。</w:t>
      </w:r>
    </w:p>
    <w:p w:rsidR="00A11739" w:rsidRDefault="00A11739" w:rsidP="00A11739">
      <w:pPr>
        <w:spacing w:line="360" w:lineRule="auto"/>
        <w:ind w:firstLineChars="200" w:firstLine="480"/>
        <w:rPr>
          <w:bCs/>
          <w:sz w:val="24"/>
        </w:rPr>
      </w:pPr>
      <w:r>
        <w:rPr>
          <w:rFonts w:hint="eastAsia"/>
          <w:bCs/>
          <w:sz w:val="24"/>
        </w:rPr>
        <w:t>在同时符合以下条件时，通讯开会的方式视为有效：</w:t>
      </w:r>
    </w:p>
    <w:p w:rsidR="00A11739" w:rsidRDefault="00A11739" w:rsidP="00A11739">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A11739" w:rsidRDefault="00A11739" w:rsidP="00A11739">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11739" w:rsidRDefault="00A11739" w:rsidP="00A11739">
      <w:pPr>
        <w:spacing w:line="360" w:lineRule="auto"/>
        <w:ind w:firstLineChars="200" w:firstLine="48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A11739" w:rsidRDefault="00A11739" w:rsidP="00A11739">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11739" w:rsidRDefault="00A11739" w:rsidP="00A11739">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w:t>
      </w:r>
      <w:r>
        <w:rPr>
          <w:bCs/>
          <w:sz w:val="24"/>
        </w:rPr>
        <w:lastRenderedPageBreak/>
        <w:t>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A11739" w:rsidRDefault="00A11739" w:rsidP="00A11739">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A11739" w:rsidRDefault="00A11739" w:rsidP="00A11739">
      <w:pPr>
        <w:spacing w:line="360" w:lineRule="auto"/>
        <w:ind w:firstLineChars="200" w:firstLine="480"/>
        <w:rPr>
          <w:bCs/>
          <w:sz w:val="24"/>
        </w:rPr>
      </w:pPr>
      <w:r>
        <w:rPr>
          <w:rFonts w:hint="eastAsia"/>
          <w:bCs/>
          <w:sz w:val="24"/>
        </w:rPr>
        <w:t>1</w:t>
      </w:r>
      <w:r>
        <w:rPr>
          <w:rFonts w:hint="eastAsia"/>
          <w:bCs/>
          <w:sz w:val="24"/>
        </w:rPr>
        <w:t>、议事内容及提案权</w:t>
      </w:r>
    </w:p>
    <w:p w:rsidR="00A11739" w:rsidRDefault="00A11739" w:rsidP="00A11739">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A11739" w:rsidRDefault="00A11739" w:rsidP="00A11739">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A11739" w:rsidRDefault="00A11739" w:rsidP="00A11739">
      <w:pPr>
        <w:spacing w:line="360" w:lineRule="auto"/>
        <w:ind w:firstLineChars="200" w:firstLine="480"/>
        <w:rPr>
          <w:bCs/>
          <w:sz w:val="24"/>
        </w:rPr>
      </w:pPr>
      <w:r>
        <w:rPr>
          <w:rFonts w:hint="eastAsia"/>
          <w:bCs/>
          <w:sz w:val="24"/>
        </w:rPr>
        <w:t>基金份额持有人大会不得对未事先公告的议事内容进行表决。</w:t>
      </w:r>
    </w:p>
    <w:p w:rsidR="00A11739" w:rsidRDefault="00A11739" w:rsidP="00A11739">
      <w:pPr>
        <w:spacing w:line="360" w:lineRule="auto"/>
        <w:ind w:firstLineChars="200" w:firstLine="480"/>
        <w:rPr>
          <w:bCs/>
          <w:sz w:val="24"/>
        </w:rPr>
      </w:pPr>
      <w:r>
        <w:rPr>
          <w:rFonts w:hint="eastAsia"/>
          <w:bCs/>
          <w:sz w:val="24"/>
        </w:rPr>
        <w:t>2</w:t>
      </w:r>
      <w:r>
        <w:rPr>
          <w:rFonts w:hint="eastAsia"/>
          <w:bCs/>
          <w:sz w:val="24"/>
        </w:rPr>
        <w:t>、议事程序</w:t>
      </w:r>
    </w:p>
    <w:p w:rsidR="00A11739" w:rsidRDefault="00A11739" w:rsidP="00A11739">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A11739" w:rsidRDefault="00A11739" w:rsidP="00A11739">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2E6851">
        <w:rPr>
          <w:rFonts w:hint="eastAsia"/>
          <w:bCs/>
          <w:sz w:val="24"/>
        </w:rPr>
        <w:t>或</w:t>
      </w:r>
      <w:r w:rsidRPr="002E6851">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rsidR="00A11739" w:rsidRDefault="00A11739" w:rsidP="00A11739">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A11739" w:rsidRDefault="00A11739" w:rsidP="00A11739">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A11739" w:rsidRDefault="00A11739" w:rsidP="00A11739">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w:t>
      </w:r>
      <w:r>
        <w:rPr>
          <w:rFonts w:hint="eastAsia"/>
          <w:bCs/>
          <w:sz w:val="24"/>
        </w:rPr>
        <w:lastRenderedPageBreak/>
        <w:t>截止日期后</w:t>
      </w:r>
      <w:r>
        <w:rPr>
          <w:bCs/>
          <w:sz w:val="24"/>
        </w:rPr>
        <w:t>2</w:t>
      </w:r>
      <w:r>
        <w:rPr>
          <w:rFonts w:hint="eastAsia"/>
          <w:bCs/>
          <w:sz w:val="24"/>
        </w:rPr>
        <w:t>个工作日内在公证机关监督下由召集人统计全部有效表决，在公证机关监督下形成决议。</w:t>
      </w:r>
    </w:p>
    <w:p w:rsidR="00A11739" w:rsidRDefault="00A11739" w:rsidP="00A11739">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A11739" w:rsidRDefault="00A11739" w:rsidP="00A11739">
      <w:pPr>
        <w:spacing w:line="360" w:lineRule="auto"/>
        <w:ind w:firstLineChars="200" w:firstLine="480"/>
        <w:rPr>
          <w:bCs/>
          <w:sz w:val="24"/>
        </w:rPr>
      </w:pPr>
      <w:r>
        <w:rPr>
          <w:rFonts w:hint="eastAsia"/>
          <w:bCs/>
          <w:sz w:val="24"/>
        </w:rPr>
        <w:t>基金份额持有人所持每份基金份额有一票表决权。</w:t>
      </w:r>
    </w:p>
    <w:p w:rsidR="00A11739" w:rsidRDefault="00A11739" w:rsidP="00A11739">
      <w:pPr>
        <w:spacing w:line="360" w:lineRule="auto"/>
        <w:ind w:firstLineChars="200" w:firstLine="480"/>
        <w:rPr>
          <w:bCs/>
          <w:sz w:val="24"/>
        </w:rPr>
      </w:pPr>
      <w:r>
        <w:rPr>
          <w:rFonts w:hint="eastAsia"/>
          <w:bCs/>
          <w:sz w:val="24"/>
        </w:rPr>
        <w:t>基金份额持有人大会决议分为一般决议和特别决议：</w:t>
      </w:r>
    </w:p>
    <w:p w:rsidR="00A11739" w:rsidRDefault="00A11739" w:rsidP="00A11739">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A11739" w:rsidRDefault="00A11739" w:rsidP="00A11739">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Pr="002E6851">
        <w:rPr>
          <w:rFonts w:hint="eastAsia"/>
          <w:bCs/>
          <w:sz w:val="24"/>
        </w:rPr>
        <w:t>就</w:t>
      </w:r>
      <w:r w:rsidRPr="002E6851">
        <w:rPr>
          <w:bCs/>
          <w:sz w:val="24"/>
        </w:rPr>
        <w:t>上述情形，</w:t>
      </w:r>
      <w:r>
        <w:rPr>
          <w:rFonts w:hint="eastAsia"/>
          <w:bCs/>
          <w:sz w:val="24"/>
        </w:rPr>
        <w:t>法律法规、</w:t>
      </w:r>
      <w:r w:rsidRPr="002E6851">
        <w:rPr>
          <w:rFonts w:hint="eastAsia"/>
          <w:bCs/>
          <w:sz w:val="24"/>
        </w:rPr>
        <w:t>《</w:t>
      </w:r>
      <w:r>
        <w:rPr>
          <w:rFonts w:hint="eastAsia"/>
          <w:bCs/>
          <w:sz w:val="24"/>
        </w:rPr>
        <w:t>基金合同》和中国证监会另有规定的除外）以特别决议通过方为有效。</w:t>
      </w:r>
    </w:p>
    <w:p w:rsidR="00A11739" w:rsidRDefault="00A11739" w:rsidP="00A11739">
      <w:pPr>
        <w:spacing w:line="360" w:lineRule="auto"/>
        <w:ind w:firstLineChars="200" w:firstLine="480"/>
        <w:rPr>
          <w:bCs/>
          <w:sz w:val="24"/>
        </w:rPr>
      </w:pPr>
      <w:r>
        <w:rPr>
          <w:rFonts w:hint="eastAsia"/>
          <w:bCs/>
          <w:sz w:val="24"/>
        </w:rPr>
        <w:t>基金份额持有人大会采取记名方式进行投票表决。</w:t>
      </w:r>
    </w:p>
    <w:p w:rsidR="00A11739" w:rsidRDefault="00A11739" w:rsidP="00A11739">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11739" w:rsidRDefault="00A11739" w:rsidP="00A11739">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A11739" w:rsidRDefault="00A11739" w:rsidP="00A11739">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A11739" w:rsidRDefault="00A11739" w:rsidP="00A11739">
      <w:pPr>
        <w:spacing w:line="360" w:lineRule="auto"/>
        <w:ind w:firstLineChars="200" w:firstLine="480"/>
        <w:rPr>
          <w:bCs/>
          <w:sz w:val="24"/>
        </w:rPr>
      </w:pPr>
      <w:r>
        <w:rPr>
          <w:bCs/>
          <w:sz w:val="24"/>
        </w:rPr>
        <w:t>1</w:t>
      </w:r>
      <w:r>
        <w:rPr>
          <w:rFonts w:hint="eastAsia"/>
          <w:bCs/>
          <w:sz w:val="24"/>
        </w:rPr>
        <w:t>、现场开会</w:t>
      </w:r>
    </w:p>
    <w:p w:rsidR="00A11739" w:rsidRDefault="00A11739" w:rsidP="00A11739">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A11739" w:rsidRDefault="00A11739" w:rsidP="00A11739">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）监票人应当在基金份额持有人表决后立即进行清点并由大会主持人当场公布计票结果。</w:t>
      </w:r>
    </w:p>
    <w:p w:rsidR="00A11739" w:rsidRDefault="00A11739" w:rsidP="00A11739">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11739" w:rsidRDefault="00A11739" w:rsidP="00A11739">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A11739" w:rsidRDefault="00A11739" w:rsidP="00A11739">
      <w:pPr>
        <w:spacing w:line="360" w:lineRule="auto"/>
        <w:ind w:firstLineChars="200" w:firstLine="480"/>
        <w:rPr>
          <w:bCs/>
          <w:sz w:val="24"/>
        </w:rPr>
      </w:pPr>
      <w:r>
        <w:rPr>
          <w:bCs/>
          <w:sz w:val="24"/>
        </w:rPr>
        <w:t>2</w:t>
      </w:r>
      <w:r>
        <w:rPr>
          <w:rFonts w:hint="eastAsia"/>
          <w:bCs/>
          <w:sz w:val="24"/>
        </w:rPr>
        <w:t>、通讯开会</w:t>
      </w:r>
    </w:p>
    <w:p w:rsidR="00A11739" w:rsidRDefault="00A11739" w:rsidP="00A11739">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11739" w:rsidRDefault="00A11739" w:rsidP="00A11739">
      <w:pPr>
        <w:spacing w:line="360" w:lineRule="auto"/>
        <w:ind w:firstLineChars="200" w:firstLine="480"/>
        <w:rPr>
          <w:bCs/>
          <w:sz w:val="24"/>
        </w:rPr>
      </w:pPr>
      <w:r>
        <w:rPr>
          <w:rFonts w:hint="eastAsia"/>
          <w:bCs/>
          <w:sz w:val="24"/>
        </w:rPr>
        <w:t>（八）生效与公告</w:t>
      </w:r>
    </w:p>
    <w:p w:rsidR="00A11739" w:rsidRDefault="00A11739" w:rsidP="00A11739">
      <w:pPr>
        <w:spacing w:line="360" w:lineRule="auto"/>
        <w:ind w:firstLineChars="200" w:firstLine="480"/>
        <w:rPr>
          <w:bCs/>
          <w:sz w:val="24"/>
        </w:rPr>
      </w:pPr>
      <w:r>
        <w:rPr>
          <w:rFonts w:hint="eastAsia"/>
          <w:bCs/>
          <w:sz w:val="24"/>
        </w:rPr>
        <w:t>基金份额持有人大会的</w:t>
      </w:r>
      <w:r w:rsidRPr="002E6851">
        <w:rPr>
          <w:rFonts w:hint="eastAsia"/>
          <w:bCs/>
          <w:sz w:val="24"/>
        </w:rPr>
        <w:t>决议</w:t>
      </w:r>
      <w:r>
        <w:rPr>
          <w:rFonts w:hint="eastAsia"/>
          <w:bCs/>
          <w:sz w:val="24"/>
        </w:rPr>
        <w:t>，召集人应当自通过之日起</w:t>
      </w:r>
      <w:r>
        <w:rPr>
          <w:bCs/>
          <w:sz w:val="24"/>
        </w:rPr>
        <w:t>5</w:t>
      </w:r>
      <w:r>
        <w:rPr>
          <w:rFonts w:hint="eastAsia"/>
          <w:bCs/>
          <w:sz w:val="24"/>
        </w:rPr>
        <w:t>日内报中国证监会备案。</w:t>
      </w:r>
      <w:r w:rsidRPr="002E6851">
        <w:rPr>
          <w:rFonts w:hint="eastAsia"/>
          <w:bCs/>
          <w:sz w:val="24"/>
        </w:rPr>
        <w:t>基金份额持有人大会的决议自表决通过之日起生效。</w:t>
      </w:r>
    </w:p>
    <w:p w:rsidR="00A11739" w:rsidRDefault="00A11739" w:rsidP="00A11739">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rsidR="00A11739" w:rsidRDefault="00A11739" w:rsidP="00A11739">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11739" w:rsidRDefault="00A11739" w:rsidP="00A11739">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w:t>
      </w:r>
      <w:r w:rsidRPr="002E6851">
        <w:rPr>
          <w:rFonts w:hint="eastAsia"/>
          <w:bCs/>
          <w:sz w:val="24"/>
        </w:rPr>
        <w:t>或监管规则</w:t>
      </w:r>
      <w:r>
        <w:rPr>
          <w:rFonts w:hint="eastAsia"/>
          <w:bCs/>
          <w:sz w:val="24"/>
        </w:rPr>
        <w:t>的部分，如将来法律法规</w:t>
      </w:r>
      <w:r w:rsidRPr="002E6851">
        <w:rPr>
          <w:rFonts w:hint="eastAsia"/>
          <w:bCs/>
          <w:sz w:val="24"/>
        </w:rPr>
        <w:t>或监管规则</w:t>
      </w:r>
      <w:r>
        <w:rPr>
          <w:rFonts w:hint="eastAsia"/>
          <w:bCs/>
          <w:sz w:val="24"/>
        </w:rPr>
        <w:t>修改导致相关内容被取消或变更的，基金管理人</w:t>
      </w:r>
      <w:r w:rsidRPr="002E6851">
        <w:rPr>
          <w:rFonts w:hint="eastAsia"/>
          <w:bCs/>
          <w:sz w:val="24"/>
        </w:rPr>
        <w:t>经</w:t>
      </w:r>
      <w:r w:rsidRPr="002E6851">
        <w:rPr>
          <w:bCs/>
          <w:sz w:val="24"/>
        </w:rPr>
        <w:t>与基金托管人协商一致并</w:t>
      </w:r>
      <w:r>
        <w:rPr>
          <w:rFonts w:hint="eastAsia"/>
          <w:bCs/>
          <w:sz w:val="24"/>
        </w:rPr>
        <w:t>提前公告后，可直接对本部分内容进行修改和调整，无需召开基金份额持有人大会审议。</w:t>
      </w:r>
    </w:p>
    <w:p w:rsidR="00A11739" w:rsidRDefault="00A11739" w:rsidP="00A11739">
      <w:pPr>
        <w:pStyle w:val="aa"/>
        <w:spacing w:afterLines="0"/>
        <w:ind w:firstLine="482"/>
        <w:rPr>
          <w:rFonts w:ascii="宋体" w:hAnsi="宋体"/>
          <w:b/>
          <w:szCs w:val="24"/>
        </w:rPr>
      </w:pPr>
      <w:r>
        <w:rPr>
          <w:rFonts w:ascii="宋体" w:hAnsi="宋体"/>
          <w:b/>
          <w:szCs w:val="24"/>
        </w:rPr>
        <w:t>三、基金收益分配原则、执行方式</w:t>
      </w:r>
    </w:p>
    <w:p w:rsidR="00A11739" w:rsidRDefault="00A11739" w:rsidP="00A11739">
      <w:pPr>
        <w:spacing w:line="360" w:lineRule="auto"/>
        <w:ind w:firstLineChars="200" w:firstLine="480"/>
        <w:rPr>
          <w:rFonts w:ascii="宋体" w:hAnsi="宋体"/>
          <w:sz w:val="24"/>
          <w:szCs w:val="24"/>
        </w:rPr>
      </w:pPr>
      <w:r>
        <w:rPr>
          <w:rFonts w:ascii="宋体" w:hAnsi="宋体"/>
          <w:sz w:val="24"/>
          <w:szCs w:val="24"/>
        </w:rPr>
        <w:t>（一）基金收益分配原则</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lastRenderedPageBreak/>
        <w:t>1、若《基金合同》生效不满3个月可不进行收益分配；</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2、</w:t>
      </w:r>
      <w:r w:rsidRPr="008637F9">
        <w:rPr>
          <w:rFonts w:ascii="宋体" w:hAnsi="宋体" w:hint="eastAsia"/>
          <w:bCs/>
          <w:sz w:val="24"/>
          <w:szCs w:val="24"/>
        </w:rPr>
        <w:t>若基金份额净值连续</w:t>
      </w:r>
      <w:r w:rsidRPr="008637F9">
        <w:rPr>
          <w:rFonts w:ascii="宋体" w:hAnsi="宋体"/>
          <w:bCs/>
          <w:sz w:val="24"/>
          <w:szCs w:val="24"/>
        </w:rPr>
        <w:t>15</w:t>
      </w:r>
      <w:r w:rsidRPr="008637F9">
        <w:rPr>
          <w:rFonts w:ascii="宋体" w:hAnsi="宋体" w:hint="eastAsia"/>
          <w:bCs/>
          <w:sz w:val="24"/>
          <w:szCs w:val="24"/>
        </w:rPr>
        <w:t>个工作日超过</w:t>
      </w:r>
      <w:r w:rsidRPr="008637F9">
        <w:rPr>
          <w:rFonts w:ascii="宋体" w:hAnsi="宋体"/>
          <w:bCs/>
          <w:sz w:val="24"/>
          <w:szCs w:val="24"/>
        </w:rPr>
        <w:t>1.2000</w:t>
      </w:r>
      <w:r w:rsidRPr="008637F9">
        <w:rPr>
          <w:rFonts w:ascii="宋体" w:hAnsi="宋体" w:hint="eastAsia"/>
          <w:bCs/>
          <w:sz w:val="24"/>
          <w:szCs w:val="24"/>
        </w:rPr>
        <w:t>元，且可供分配利润足额的情况下，本基金需对可供分配利润实施收益分配，且基金收益分配后的基金份额净值需低于</w:t>
      </w:r>
      <w:r w:rsidRPr="008637F9">
        <w:rPr>
          <w:rFonts w:ascii="宋体" w:hAnsi="宋体"/>
          <w:bCs/>
          <w:sz w:val="24"/>
          <w:szCs w:val="24"/>
        </w:rPr>
        <w:t>1.1000</w:t>
      </w:r>
      <w:r w:rsidRPr="008637F9">
        <w:rPr>
          <w:rFonts w:ascii="宋体" w:hAnsi="宋体" w:hint="eastAsia"/>
          <w:bCs/>
          <w:sz w:val="24"/>
          <w:szCs w:val="24"/>
        </w:rPr>
        <w:t>元但不能低于面值；即基金收益分配基准日的基金份额净值减去每单位基金份额收益分配金额后需低于</w:t>
      </w:r>
      <w:r w:rsidRPr="008637F9">
        <w:rPr>
          <w:rFonts w:ascii="宋体" w:hAnsi="宋体"/>
          <w:bCs/>
          <w:sz w:val="24"/>
          <w:szCs w:val="24"/>
        </w:rPr>
        <w:t>1.1000</w:t>
      </w:r>
      <w:r w:rsidRPr="008637F9">
        <w:rPr>
          <w:rFonts w:ascii="宋体" w:hAnsi="宋体" w:hint="eastAsia"/>
          <w:bCs/>
          <w:sz w:val="24"/>
          <w:szCs w:val="24"/>
        </w:rPr>
        <w:t>元且不能低于面值；</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3、本基金收益分配方式分两种：现金分红与红利再投资，投资者可选择现金红利或将现金红利自动转为基金份额进行再投资；若投资者不选择，本基金默认的收益分配方式是现金分红；</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5、法律法规或监管</w:t>
      </w:r>
      <w:r>
        <w:rPr>
          <w:rFonts w:ascii="宋体" w:hAnsi="宋体" w:hint="eastAsia"/>
          <w:bCs/>
          <w:sz w:val="24"/>
          <w:szCs w:val="24"/>
        </w:rPr>
        <w:t>机构</w:t>
      </w:r>
      <w:r>
        <w:rPr>
          <w:rFonts w:ascii="宋体" w:hAnsi="宋体"/>
          <w:bCs/>
          <w:sz w:val="24"/>
          <w:szCs w:val="24"/>
        </w:rPr>
        <w:t>另有规定的，从其规定。</w:t>
      </w:r>
    </w:p>
    <w:p w:rsidR="00A11739" w:rsidRDefault="00A11739" w:rsidP="00A11739">
      <w:pPr>
        <w:pStyle w:val="aa"/>
        <w:spacing w:afterLines="0"/>
        <w:ind w:firstLine="480"/>
        <w:rPr>
          <w:rFonts w:ascii="宋体" w:hAnsi="宋体"/>
          <w:szCs w:val="24"/>
        </w:rPr>
      </w:pPr>
      <w:r>
        <w:rPr>
          <w:rFonts w:ascii="宋体" w:hAnsi="宋体"/>
          <w:szCs w:val="24"/>
        </w:rPr>
        <w:t>（二）收益分配方案</w:t>
      </w:r>
    </w:p>
    <w:p w:rsidR="00A11739" w:rsidRDefault="00A11739" w:rsidP="00A11739">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rsidR="00A11739" w:rsidRDefault="00A11739" w:rsidP="00A11739">
      <w:pPr>
        <w:pStyle w:val="aa"/>
        <w:spacing w:afterLines="0"/>
        <w:ind w:firstLine="480"/>
        <w:rPr>
          <w:rFonts w:ascii="宋体" w:hAnsi="宋体"/>
          <w:szCs w:val="24"/>
        </w:rPr>
      </w:pPr>
      <w:r>
        <w:rPr>
          <w:rFonts w:ascii="宋体" w:hAnsi="宋体"/>
          <w:szCs w:val="24"/>
        </w:rPr>
        <w:t>（三）收益分配方案的确定、公告与实施</w:t>
      </w:r>
    </w:p>
    <w:p w:rsidR="00A11739" w:rsidRDefault="00A11739" w:rsidP="00A11739">
      <w:pPr>
        <w:pStyle w:val="aa"/>
        <w:spacing w:afterLines="0"/>
        <w:ind w:firstLine="480"/>
        <w:rPr>
          <w:rFonts w:ascii="宋体" w:hAnsi="宋体"/>
          <w:bCs/>
          <w:szCs w:val="24"/>
        </w:rPr>
      </w:pPr>
      <w:r>
        <w:rPr>
          <w:rFonts w:ascii="宋体" w:hAnsi="宋体"/>
          <w:bCs/>
          <w:szCs w:val="24"/>
        </w:rPr>
        <w:t>本基金收益分配方案由基金管理人拟定，并由基金托管人复核，在2日</w:t>
      </w:r>
      <w:r>
        <w:rPr>
          <w:rFonts w:ascii="宋体" w:hAnsi="宋体" w:hint="eastAsia"/>
          <w:bCs/>
          <w:szCs w:val="24"/>
        </w:rPr>
        <w:t>内在指定媒介公告并报中国证监会备案。</w:t>
      </w:r>
    </w:p>
    <w:p w:rsidR="00A11739" w:rsidRDefault="00A11739" w:rsidP="00A11739">
      <w:pPr>
        <w:pStyle w:val="aa"/>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rsidR="00A11739" w:rsidRDefault="00A11739" w:rsidP="00A11739">
      <w:pPr>
        <w:pStyle w:val="aa"/>
        <w:spacing w:afterLines="0"/>
        <w:ind w:firstLine="480"/>
        <w:rPr>
          <w:rFonts w:ascii="宋体" w:hAnsi="宋体"/>
          <w:bCs/>
          <w:szCs w:val="24"/>
        </w:rPr>
      </w:pPr>
      <w:r>
        <w:rPr>
          <w:rFonts w:ascii="宋体" w:hAnsi="宋体" w:hint="eastAsia"/>
          <w:szCs w:val="24"/>
        </w:rPr>
        <w:t>法律法规或监管机关另有规定的，从其规定。</w:t>
      </w:r>
    </w:p>
    <w:p w:rsidR="00A11739" w:rsidRDefault="00A11739" w:rsidP="00A11739">
      <w:pPr>
        <w:pStyle w:val="aa"/>
        <w:spacing w:afterLines="0"/>
        <w:ind w:firstLine="482"/>
        <w:rPr>
          <w:rFonts w:ascii="宋体" w:hAnsi="宋体"/>
          <w:b/>
          <w:szCs w:val="24"/>
        </w:rPr>
      </w:pPr>
      <w:r>
        <w:rPr>
          <w:rFonts w:ascii="宋体" w:hAnsi="宋体"/>
          <w:b/>
          <w:szCs w:val="24"/>
        </w:rPr>
        <w:t>四、与基金财产管理、运用有关费用的提取、支付方式与比例</w:t>
      </w:r>
    </w:p>
    <w:p w:rsidR="00A11739" w:rsidRDefault="00A11739" w:rsidP="00A11739">
      <w:pPr>
        <w:pStyle w:val="aa"/>
        <w:spacing w:afterLines="0"/>
        <w:ind w:firstLine="480"/>
        <w:rPr>
          <w:rFonts w:ascii="宋体" w:hAnsi="宋体"/>
          <w:bCs/>
          <w:szCs w:val="24"/>
        </w:rPr>
      </w:pPr>
      <w:r>
        <w:rPr>
          <w:rFonts w:ascii="宋体" w:hAnsi="宋体" w:hint="eastAsia"/>
          <w:bCs/>
          <w:szCs w:val="24"/>
        </w:rPr>
        <w:t>（一）基金费用的种类</w:t>
      </w:r>
    </w:p>
    <w:p w:rsidR="00A11739" w:rsidRDefault="00A11739" w:rsidP="00A11739">
      <w:pPr>
        <w:pStyle w:val="aa"/>
        <w:spacing w:afterLines="0"/>
        <w:ind w:firstLine="480"/>
        <w:rPr>
          <w:rFonts w:ascii="宋体" w:hAnsi="宋体"/>
          <w:bCs/>
          <w:szCs w:val="24"/>
        </w:rPr>
      </w:pPr>
      <w:r>
        <w:rPr>
          <w:rFonts w:ascii="宋体" w:hAnsi="宋体"/>
          <w:bCs/>
          <w:szCs w:val="24"/>
        </w:rPr>
        <w:t>1、基金管理人的管理费；</w:t>
      </w:r>
    </w:p>
    <w:p w:rsidR="00A11739" w:rsidRDefault="00A11739" w:rsidP="00A11739">
      <w:pPr>
        <w:pStyle w:val="aa"/>
        <w:spacing w:afterLines="0"/>
        <w:ind w:firstLine="480"/>
        <w:rPr>
          <w:rFonts w:ascii="宋体" w:hAnsi="宋体"/>
          <w:bCs/>
          <w:szCs w:val="24"/>
        </w:rPr>
      </w:pPr>
      <w:r>
        <w:rPr>
          <w:rFonts w:ascii="宋体" w:hAnsi="宋体"/>
          <w:bCs/>
          <w:szCs w:val="24"/>
        </w:rPr>
        <w:t>2、基金托管人的托管费；</w:t>
      </w:r>
    </w:p>
    <w:p w:rsidR="00A11739" w:rsidRDefault="00A11739" w:rsidP="00A11739">
      <w:pPr>
        <w:pStyle w:val="aa"/>
        <w:spacing w:afterLines="0"/>
        <w:ind w:firstLine="480"/>
        <w:rPr>
          <w:rFonts w:ascii="宋体" w:hAnsi="宋体"/>
          <w:bCs/>
          <w:szCs w:val="24"/>
        </w:rPr>
      </w:pPr>
      <w:r>
        <w:rPr>
          <w:rFonts w:ascii="宋体" w:hAnsi="宋体"/>
          <w:bCs/>
          <w:szCs w:val="24"/>
        </w:rPr>
        <w:t>3、《基金合同》生效后与基金相关的信息披露费用；</w:t>
      </w:r>
    </w:p>
    <w:p w:rsidR="00A11739" w:rsidRDefault="00A11739" w:rsidP="00A11739">
      <w:pPr>
        <w:pStyle w:val="aa"/>
        <w:spacing w:afterLines="0"/>
        <w:ind w:firstLine="480"/>
        <w:rPr>
          <w:rFonts w:ascii="宋体" w:hAnsi="宋体"/>
          <w:bCs/>
          <w:szCs w:val="24"/>
        </w:rPr>
      </w:pPr>
      <w:r>
        <w:rPr>
          <w:rFonts w:ascii="宋体" w:hAnsi="宋体"/>
          <w:bCs/>
          <w:szCs w:val="24"/>
        </w:rPr>
        <w:t>4、《基金合同》生效后与基金相关的会计师费、律师费</w:t>
      </w:r>
      <w:r w:rsidRPr="008637F9">
        <w:rPr>
          <w:rFonts w:ascii="宋体" w:hAnsi="宋体" w:hint="eastAsia"/>
          <w:bCs/>
          <w:szCs w:val="24"/>
        </w:rPr>
        <w:t>、仲裁费</w:t>
      </w:r>
      <w:r>
        <w:rPr>
          <w:rFonts w:ascii="宋体" w:hAnsi="宋体"/>
          <w:bCs/>
          <w:szCs w:val="24"/>
        </w:rPr>
        <w:t>和诉讼费；</w:t>
      </w:r>
    </w:p>
    <w:p w:rsidR="00A11739" w:rsidRDefault="00A11739" w:rsidP="00A11739">
      <w:pPr>
        <w:pStyle w:val="aa"/>
        <w:spacing w:afterLines="0"/>
        <w:ind w:firstLine="480"/>
        <w:rPr>
          <w:rFonts w:ascii="宋体" w:hAnsi="宋体"/>
          <w:bCs/>
          <w:szCs w:val="24"/>
        </w:rPr>
      </w:pPr>
      <w:r>
        <w:rPr>
          <w:rFonts w:ascii="宋体" w:hAnsi="宋体"/>
          <w:bCs/>
          <w:szCs w:val="24"/>
        </w:rPr>
        <w:t>5、基金份额持有人大会费用；</w:t>
      </w:r>
    </w:p>
    <w:p w:rsidR="00A11739" w:rsidRDefault="00A11739" w:rsidP="00A11739">
      <w:pPr>
        <w:pStyle w:val="aa"/>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rsidR="00A11739" w:rsidRDefault="00A11739" w:rsidP="00A11739">
      <w:pPr>
        <w:pStyle w:val="aa"/>
        <w:spacing w:afterLines="0"/>
        <w:ind w:firstLine="480"/>
        <w:rPr>
          <w:rFonts w:ascii="宋体" w:hAnsi="宋体"/>
          <w:bCs/>
          <w:szCs w:val="24"/>
        </w:rPr>
      </w:pPr>
      <w:r>
        <w:rPr>
          <w:rFonts w:ascii="宋体" w:hAnsi="宋体"/>
          <w:bCs/>
          <w:szCs w:val="24"/>
        </w:rPr>
        <w:t>7、基金的银行汇划费用；</w:t>
      </w:r>
    </w:p>
    <w:p w:rsidR="00A11739" w:rsidRDefault="00A11739" w:rsidP="00A11739">
      <w:pPr>
        <w:pStyle w:val="aa"/>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rsidR="00A11739" w:rsidRDefault="00A11739" w:rsidP="00A11739">
      <w:pPr>
        <w:pStyle w:val="aa"/>
        <w:spacing w:afterLines="0"/>
        <w:ind w:firstLine="480"/>
        <w:rPr>
          <w:rFonts w:ascii="宋体" w:hAnsi="宋体"/>
          <w:bCs/>
          <w:szCs w:val="24"/>
        </w:rPr>
      </w:pPr>
      <w:r>
        <w:rPr>
          <w:rFonts w:ascii="宋体" w:hAnsi="宋体"/>
          <w:bCs/>
          <w:szCs w:val="24"/>
        </w:rPr>
        <w:lastRenderedPageBreak/>
        <w:t>9、按照国家有关规定和《基金合同》约定，可以在基金财产中列支的其他费用。</w:t>
      </w:r>
    </w:p>
    <w:p w:rsidR="00A11739" w:rsidRDefault="00A11739" w:rsidP="00A11739">
      <w:pPr>
        <w:pStyle w:val="aa"/>
        <w:spacing w:afterLines="0"/>
        <w:ind w:firstLine="480"/>
        <w:rPr>
          <w:rFonts w:ascii="宋体" w:hAnsi="宋体"/>
          <w:bCs/>
          <w:szCs w:val="24"/>
        </w:rPr>
      </w:pPr>
      <w:r>
        <w:rPr>
          <w:rFonts w:ascii="宋体" w:hAnsi="宋体" w:hint="eastAsia"/>
          <w:bCs/>
          <w:szCs w:val="24"/>
        </w:rPr>
        <w:t>（二）基金费用计提方法、计提标准和支付方式</w:t>
      </w:r>
    </w:p>
    <w:p w:rsidR="00A11739" w:rsidRDefault="00A11739" w:rsidP="00A11739">
      <w:pPr>
        <w:pStyle w:val="aa"/>
        <w:spacing w:afterLines="0"/>
        <w:ind w:firstLine="480"/>
        <w:rPr>
          <w:rFonts w:ascii="宋体" w:hAnsi="宋体"/>
          <w:bCs/>
          <w:szCs w:val="24"/>
        </w:rPr>
      </w:pPr>
      <w:r>
        <w:rPr>
          <w:rFonts w:ascii="宋体" w:hAnsi="宋体"/>
          <w:bCs/>
          <w:szCs w:val="24"/>
        </w:rPr>
        <w:t xml:space="preserve">1、基金管理人的管理费 </w:t>
      </w:r>
    </w:p>
    <w:p w:rsidR="00A11739" w:rsidRDefault="00A11739" w:rsidP="00A11739">
      <w:pPr>
        <w:pStyle w:val="aa"/>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1.5</w:t>
      </w:r>
      <w:r>
        <w:rPr>
          <w:rFonts w:ascii="宋体" w:hAnsi="宋体"/>
          <w:bCs/>
          <w:szCs w:val="24"/>
        </w:rPr>
        <w:t>%年费率计提。管理费的计算方法如下：</w:t>
      </w:r>
    </w:p>
    <w:p w:rsidR="00A11739" w:rsidRDefault="00A11739" w:rsidP="00A11739">
      <w:pPr>
        <w:pStyle w:val="aa"/>
        <w:spacing w:afterLines="0"/>
        <w:ind w:firstLine="480"/>
        <w:rPr>
          <w:rFonts w:ascii="宋体" w:hAnsi="宋体"/>
          <w:bCs/>
          <w:szCs w:val="24"/>
        </w:rPr>
      </w:pPr>
      <w:r>
        <w:rPr>
          <w:rFonts w:ascii="宋体" w:hAnsi="宋体"/>
          <w:bCs/>
          <w:szCs w:val="24"/>
        </w:rPr>
        <w:t>H＝E×</w:t>
      </w:r>
      <w:r>
        <w:rPr>
          <w:rFonts w:ascii="宋体" w:hAnsi="宋体" w:hint="eastAsia"/>
          <w:bCs/>
          <w:szCs w:val="24"/>
        </w:rPr>
        <w:t>1.5</w:t>
      </w:r>
      <w:r>
        <w:rPr>
          <w:rFonts w:ascii="宋体" w:hAnsi="宋体"/>
          <w:bCs/>
          <w:szCs w:val="24"/>
        </w:rPr>
        <w:t>%÷当年天数</w:t>
      </w:r>
    </w:p>
    <w:p w:rsidR="00A11739" w:rsidRDefault="00A11739" w:rsidP="00A11739">
      <w:pPr>
        <w:pStyle w:val="aa"/>
        <w:spacing w:afterLines="0"/>
        <w:ind w:firstLine="480"/>
        <w:rPr>
          <w:rFonts w:ascii="宋体" w:hAnsi="宋体"/>
          <w:bCs/>
          <w:szCs w:val="24"/>
        </w:rPr>
      </w:pPr>
      <w:r>
        <w:rPr>
          <w:rFonts w:ascii="宋体" w:hAnsi="宋体"/>
          <w:bCs/>
          <w:szCs w:val="24"/>
        </w:rPr>
        <w:t>H为每日应计提的基金管理费</w:t>
      </w:r>
    </w:p>
    <w:p w:rsidR="00A11739" w:rsidRDefault="00A11739" w:rsidP="00A11739">
      <w:pPr>
        <w:pStyle w:val="aa"/>
        <w:spacing w:afterLines="0"/>
        <w:ind w:firstLine="480"/>
        <w:rPr>
          <w:rFonts w:ascii="宋体" w:hAnsi="宋体"/>
          <w:bCs/>
          <w:szCs w:val="24"/>
        </w:rPr>
      </w:pPr>
      <w:r>
        <w:rPr>
          <w:rFonts w:ascii="宋体" w:hAnsi="宋体"/>
          <w:bCs/>
          <w:szCs w:val="24"/>
        </w:rPr>
        <w:t>E为前一日的基金资产净值</w:t>
      </w:r>
    </w:p>
    <w:p w:rsidR="00A11739" w:rsidRDefault="00A11739" w:rsidP="00A11739">
      <w:pPr>
        <w:pStyle w:val="aa"/>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rsidR="00A11739" w:rsidRDefault="00A11739" w:rsidP="00A11739">
      <w:pPr>
        <w:pStyle w:val="aa"/>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rsidR="00A11739" w:rsidRDefault="00A11739" w:rsidP="00A11739">
      <w:pPr>
        <w:pStyle w:val="aa"/>
        <w:spacing w:afterLines="0"/>
        <w:ind w:firstLine="480"/>
        <w:rPr>
          <w:rFonts w:ascii="宋体" w:hAnsi="宋体"/>
          <w:bCs/>
          <w:szCs w:val="24"/>
        </w:rPr>
      </w:pPr>
      <w:r>
        <w:rPr>
          <w:rFonts w:ascii="宋体" w:hAnsi="宋体"/>
          <w:bCs/>
          <w:szCs w:val="24"/>
        </w:rPr>
        <w:t>2、基金托管人的托管费</w:t>
      </w:r>
    </w:p>
    <w:p w:rsidR="00A11739" w:rsidRDefault="00A11739" w:rsidP="00A11739">
      <w:pPr>
        <w:pStyle w:val="aa"/>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rsidR="00A11739" w:rsidRDefault="00A11739" w:rsidP="00A11739">
      <w:pPr>
        <w:pStyle w:val="aa"/>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rsidR="00A11739" w:rsidRDefault="00A11739" w:rsidP="00A11739">
      <w:pPr>
        <w:pStyle w:val="aa"/>
        <w:spacing w:afterLines="0"/>
        <w:ind w:firstLine="480"/>
        <w:rPr>
          <w:rFonts w:ascii="宋体" w:hAnsi="宋体"/>
          <w:bCs/>
          <w:szCs w:val="24"/>
        </w:rPr>
      </w:pPr>
      <w:r>
        <w:rPr>
          <w:rFonts w:ascii="宋体" w:hAnsi="宋体"/>
          <w:bCs/>
          <w:szCs w:val="24"/>
        </w:rPr>
        <w:t>H为每日应计提的基金托管费</w:t>
      </w:r>
    </w:p>
    <w:p w:rsidR="00A11739" w:rsidRDefault="00A11739" w:rsidP="00A11739">
      <w:pPr>
        <w:pStyle w:val="aa"/>
        <w:spacing w:afterLines="0"/>
        <w:ind w:firstLine="480"/>
        <w:rPr>
          <w:rFonts w:ascii="宋体" w:hAnsi="宋体"/>
          <w:bCs/>
          <w:szCs w:val="24"/>
        </w:rPr>
      </w:pPr>
      <w:r>
        <w:rPr>
          <w:rFonts w:ascii="宋体" w:hAnsi="宋体"/>
          <w:bCs/>
          <w:szCs w:val="24"/>
        </w:rPr>
        <w:t>E为前一日的基金资产净值</w:t>
      </w:r>
    </w:p>
    <w:p w:rsidR="00A11739" w:rsidRDefault="00A11739" w:rsidP="00A11739">
      <w:pPr>
        <w:pStyle w:val="aa"/>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rsidR="00A11739" w:rsidRDefault="00A11739" w:rsidP="00A11739">
      <w:pPr>
        <w:pStyle w:val="aa"/>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rsidR="00A11739" w:rsidRDefault="00A11739" w:rsidP="00A11739">
      <w:pPr>
        <w:pStyle w:val="aa"/>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项费用，根据有关法规及相应协议规定，按费用实际支出金额列入当期费用，由基金托管人从基金财产中支付。</w:t>
      </w:r>
    </w:p>
    <w:p w:rsidR="00A11739" w:rsidRDefault="00A11739" w:rsidP="00A11739">
      <w:pPr>
        <w:pStyle w:val="aa"/>
        <w:spacing w:afterLines="0"/>
        <w:ind w:firstLine="480"/>
        <w:rPr>
          <w:rFonts w:ascii="宋体" w:hAnsi="宋体"/>
          <w:bCs/>
          <w:szCs w:val="24"/>
        </w:rPr>
      </w:pPr>
      <w:r>
        <w:rPr>
          <w:rFonts w:ascii="宋体" w:hAnsi="宋体" w:hint="eastAsia"/>
          <w:bCs/>
          <w:szCs w:val="24"/>
        </w:rPr>
        <w:t>（三）不列入基金费用的项目</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lastRenderedPageBreak/>
        <w:t>1、基金管理人和基金托管人因未履行或未完全履行义务导致的费用支出或基金财产的损失；</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rsidR="00A11739" w:rsidRDefault="00A11739" w:rsidP="00A11739">
      <w:pPr>
        <w:pStyle w:val="aa"/>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rsidR="00A11739" w:rsidRDefault="00A11739" w:rsidP="00A11739">
      <w:pPr>
        <w:pStyle w:val="aa"/>
        <w:spacing w:afterLines="0"/>
        <w:ind w:firstLine="480"/>
        <w:rPr>
          <w:rFonts w:ascii="宋体" w:hAnsi="宋体"/>
          <w:bCs/>
          <w:szCs w:val="24"/>
        </w:rPr>
      </w:pPr>
      <w:r>
        <w:rPr>
          <w:rFonts w:ascii="宋体" w:hAnsi="宋体" w:hint="eastAsia"/>
          <w:bCs/>
          <w:szCs w:val="24"/>
        </w:rPr>
        <w:t>（四）基金税收</w:t>
      </w:r>
    </w:p>
    <w:p w:rsidR="00A11739" w:rsidRDefault="00A11739" w:rsidP="00A11739">
      <w:pPr>
        <w:pStyle w:val="aa"/>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rsidR="00A11739" w:rsidRDefault="00A11739" w:rsidP="00A11739">
      <w:pPr>
        <w:pStyle w:val="aa"/>
        <w:spacing w:afterLines="0"/>
        <w:ind w:firstLine="482"/>
        <w:rPr>
          <w:rFonts w:ascii="宋体" w:hAnsi="宋体"/>
          <w:b/>
          <w:szCs w:val="24"/>
        </w:rPr>
      </w:pPr>
      <w:r>
        <w:rPr>
          <w:rFonts w:ascii="宋体" w:hAnsi="宋体"/>
          <w:b/>
          <w:szCs w:val="24"/>
        </w:rPr>
        <w:t>五、基金财产的投资方向和投资限制</w:t>
      </w:r>
    </w:p>
    <w:p w:rsidR="00A11739" w:rsidRDefault="00A11739" w:rsidP="00A11739">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A11739" w:rsidRDefault="00A11739" w:rsidP="00A11739">
      <w:pPr>
        <w:spacing w:line="360" w:lineRule="auto"/>
        <w:ind w:firstLineChars="200" w:firstLine="480"/>
        <w:rPr>
          <w:bCs/>
          <w:sz w:val="24"/>
        </w:rPr>
      </w:pPr>
      <w:r w:rsidRPr="008637F9">
        <w:rPr>
          <w:rFonts w:hint="eastAsia"/>
          <w:bCs/>
          <w:sz w:val="24"/>
        </w:rPr>
        <w:t>本基金在有效控制投资风险的前提下，通过积极主动的投资管理，力争获取超越业绩比较基准的投资收益，追求基金资产的长期稳定增值</w:t>
      </w:r>
      <w:r>
        <w:rPr>
          <w:rFonts w:hint="eastAsia"/>
          <w:bCs/>
          <w:sz w:val="24"/>
        </w:rPr>
        <w:t>。</w:t>
      </w:r>
    </w:p>
    <w:p w:rsidR="00A11739" w:rsidRDefault="00A11739" w:rsidP="00A11739">
      <w:pPr>
        <w:spacing w:line="360" w:lineRule="auto"/>
        <w:ind w:firstLineChars="200" w:firstLine="480"/>
        <w:rPr>
          <w:rFonts w:ascii="宋体" w:hAnsi="宋体"/>
          <w:sz w:val="24"/>
          <w:szCs w:val="24"/>
        </w:rPr>
      </w:pPr>
      <w:r>
        <w:rPr>
          <w:rFonts w:ascii="宋体" w:hAnsi="宋体" w:hint="eastAsia"/>
          <w:sz w:val="24"/>
          <w:szCs w:val="24"/>
        </w:rPr>
        <w:t>（二）投资范围</w:t>
      </w:r>
    </w:p>
    <w:p w:rsidR="00A11739" w:rsidRPr="008637F9" w:rsidRDefault="00A11739" w:rsidP="00A11739">
      <w:pPr>
        <w:spacing w:line="360" w:lineRule="auto"/>
        <w:ind w:firstLineChars="200" w:firstLine="480"/>
        <w:rPr>
          <w:rFonts w:ascii="宋体" w:hAnsi="宋体"/>
          <w:bCs/>
          <w:sz w:val="24"/>
          <w:szCs w:val="24"/>
        </w:rPr>
      </w:pPr>
      <w:r w:rsidRPr="008637F9">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rsidR="00A11739" w:rsidRPr="008637F9" w:rsidRDefault="00A11739" w:rsidP="00A11739">
      <w:pPr>
        <w:spacing w:line="360" w:lineRule="auto"/>
        <w:ind w:firstLineChars="200" w:firstLine="480"/>
        <w:rPr>
          <w:rFonts w:ascii="宋体" w:hAnsi="宋体"/>
          <w:bCs/>
          <w:sz w:val="24"/>
          <w:szCs w:val="24"/>
        </w:rPr>
      </w:pPr>
      <w:r w:rsidRPr="008637F9">
        <w:rPr>
          <w:rFonts w:ascii="宋体" w:hAnsi="宋体" w:hint="eastAsia"/>
          <w:bCs/>
          <w:sz w:val="24"/>
          <w:szCs w:val="24"/>
        </w:rPr>
        <w:t>如法律法规或监管机构以后允许基金投资其他品种，基金管理人在履行适当程序后，可以将其纳入投资范围。</w:t>
      </w:r>
    </w:p>
    <w:p w:rsidR="00A11739" w:rsidRPr="008637F9" w:rsidRDefault="00A11739" w:rsidP="00A11739">
      <w:pPr>
        <w:spacing w:line="360" w:lineRule="auto"/>
        <w:ind w:firstLineChars="200" w:firstLine="480"/>
        <w:rPr>
          <w:rFonts w:ascii="宋体" w:hAnsi="宋体"/>
          <w:bCs/>
          <w:sz w:val="24"/>
          <w:szCs w:val="24"/>
        </w:rPr>
      </w:pPr>
      <w:r w:rsidRPr="008637F9">
        <w:rPr>
          <w:rFonts w:ascii="宋体" w:hAnsi="宋体" w:hint="eastAsia"/>
          <w:bCs/>
          <w:sz w:val="24"/>
          <w:szCs w:val="24"/>
        </w:rPr>
        <w:t>基金的投资组合比例为：</w:t>
      </w:r>
      <w:r w:rsidRPr="008637F9">
        <w:rPr>
          <w:rFonts w:ascii="宋体" w:hAnsi="宋体"/>
          <w:bCs/>
          <w:sz w:val="24"/>
          <w:szCs w:val="24"/>
        </w:rPr>
        <w:t>股票资产占基金资产的0%-95%</w:t>
      </w:r>
      <w:r w:rsidRPr="008637F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sidRPr="008637F9">
        <w:rPr>
          <w:rFonts w:ascii="宋体" w:hAnsi="宋体"/>
          <w:bCs/>
          <w:sz w:val="24"/>
          <w:szCs w:val="24"/>
        </w:rPr>
        <w:t>5%</w:t>
      </w:r>
      <w:r w:rsidRPr="008637F9">
        <w:rPr>
          <w:rFonts w:ascii="宋体" w:hAnsi="宋体" w:hint="eastAsia"/>
          <w:bCs/>
          <w:sz w:val="24"/>
          <w:szCs w:val="24"/>
        </w:rPr>
        <w:t>。</w:t>
      </w:r>
    </w:p>
    <w:p w:rsidR="00A1173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如果法律法规或中国证监会变更投资品种的投资比例限制，基金管理人在履行适当程序后，可以调整上述投资品种的投资比例。</w:t>
      </w:r>
      <w:r>
        <w:rPr>
          <w:rFonts w:ascii="宋体" w:hAnsi="宋体" w:hint="eastAsia"/>
          <w:bCs/>
          <w:sz w:val="24"/>
          <w:szCs w:val="24"/>
        </w:rPr>
        <w:t>。</w:t>
      </w:r>
    </w:p>
    <w:p w:rsidR="00A11739" w:rsidRDefault="00A11739" w:rsidP="00A11739">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bCs/>
          <w:sz w:val="24"/>
          <w:szCs w:val="24"/>
        </w:rPr>
        <w:t>本基金充分发挥</w:t>
      </w:r>
      <w:r w:rsidRPr="008637F9">
        <w:rPr>
          <w:rFonts w:ascii="宋体" w:hAnsi="宋体" w:hint="eastAsia"/>
          <w:bCs/>
          <w:sz w:val="24"/>
          <w:szCs w:val="24"/>
        </w:rPr>
        <w:t>基金</w:t>
      </w:r>
      <w:r w:rsidRPr="008637F9">
        <w:rPr>
          <w:rFonts w:ascii="宋体" w:hAnsi="宋体"/>
          <w:bCs/>
          <w:sz w:val="24"/>
          <w:szCs w:val="24"/>
        </w:rPr>
        <w:t>管理人的研究优势，在分析和判断宏观经济周期和金融市场运行趋势的基础上，运用</w:t>
      </w:r>
      <w:r w:rsidRPr="008637F9">
        <w:rPr>
          <w:rFonts w:ascii="宋体" w:hAnsi="宋体" w:hint="eastAsia"/>
          <w:bCs/>
          <w:sz w:val="24"/>
          <w:szCs w:val="24"/>
        </w:rPr>
        <w:t>修正后的</w:t>
      </w:r>
      <w:r w:rsidRPr="008637F9">
        <w:rPr>
          <w:rFonts w:ascii="宋体" w:hAnsi="宋体"/>
          <w:bCs/>
          <w:sz w:val="24"/>
          <w:szCs w:val="24"/>
        </w:rPr>
        <w:t>投资时钟分析框架，自上而下调整基金大类资产配置和股票行业配置</w:t>
      </w:r>
      <w:r w:rsidRPr="008637F9">
        <w:rPr>
          <w:rFonts w:ascii="宋体" w:hAnsi="宋体" w:hint="eastAsia"/>
          <w:bCs/>
          <w:sz w:val="24"/>
          <w:szCs w:val="24"/>
        </w:rPr>
        <w:t>策略</w:t>
      </w:r>
      <w:r w:rsidRPr="008637F9">
        <w:rPr>
          <w:rFonts w:ascii="宋体" w:hAnsi="宋体"/>
          <w:bCs/>
          <w:sz w:val="24"/>
          <w:szCs w:val="24"/>
        </w:rPr>
        <w:t>，确定债券组合久期和债券类别配置；在严谨深入的股票和债券研究分析基础上，自下而上精选</w:t>
      </w:r>
      <w:r w:rsidRPr="008637F9">
        <w:rPr>
          <w:rFonts w:ascii="宋体" w:hAnsi="宋体" w:hint="eastAsia"/>
          <w:bCs/>
          <w:sz w:val="24"/>
          <w:szCs w:val="24"/>
        </w:rPr>
        <w:t>个券；在保持总体风险水平相对稳定的基础上，力争获取投资组合的较高回报。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1、大类资产配置</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本基金以基金份额净值为标准，对股票资产投资比例控制如下：</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1</w:t>
      </w:r>
      <w:r w:rsidRPr="008637F9">
        <w:rPr>
          <w:rFonts w:ascii="宋体" w:hAnsi="宋体" w:hint="eastAsia"/>
          <w:bCs/>
          <w:sz w:val="24"/>
          <w:szCs w:val="24"/>
        </w:rPr>
        <w:t>）当基金份额净值小于</w:t>
      </w:r>
      <w:r w:rsidRPr="008637F9">
        <w:rPr>
          <w:rFonts w:ascii="宋体" w:hAnsi="宋体"/>
          <w:bCs/>
          <w:sz w:val="24"/>
          <w:szCs w:val="24"/>
        </w:rPr>
        <w:t>1.0500</w:t>
      </w:r>
      <w:r w:rsidRPr="008637F9">
        <w:rPr>
          <w:rFonts w:ascii="宋体" w:hAnsi="宋体" w:hint="eastAsia"/>
          <w:bCs/>
          <w:sz w:val="24"/>
          <w:szCs w:val="24"/>
        </w:rPr>
        <w:t>元时，股票资产占基金资产的比例不应超过</w:t>
      </w:r>
      <w:r w:rsidRPr="008637F9">
        <w:rPr>
          <w:rFonts w:ascii="宋体" w:hAnsi="宋体"/>
          <w:bCs/>
          <w:sz w:val="24"/>
          <w:szCs w:val="24"/>
        </w:rPr>
        <w:t>40%</w:t>
      </w:r>
      <w:r w:rsidRPr="008637F9">
        <w:rPr>
          <w:rFonts w:ascii="宋体" w:hAnsi="宋体" w:hint="eastAsia"/>
          <w:bCs/>
          <w:sz w:val="24"/>
          <w:szCs w:val="24"/>
        </w:rPr>
        <w:t>；</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2</w:t>
      </w:r>
      <w:r w:rsidRPr="008637F9">
        <w:rPr>
          <w:rFonts w:ascii="宋体" w:hAnsi="宋体" w:hint="eastAsia"/>
          <w:bCs/>
          <w:sz w:val="24"/>
          <w:szCs w:val="24"/>
        </w:rPr>
        <w:t>）当基金份额净值大于或等于</w:t>
      </w:r>
      <w:r w:rsidRPr="008637F9">
        <w:rPr>
          <w:rFonts w:ascii="宋体" w:hAnsi="宋体"/>
          <w:bCs/>
          <w:sz w:val="24"/>
          <w:szCs w:val="24"/>
        </w:rPr>
        <w:t>1.0500</w:t>
      </w:r>
      <w:r w:rsidRPr="008637F9">
        <w:rPr>
          <w:rFonts w:ascii="宋体" w:hAnsi="宋体" w:hint="eastAsia"/>
          <w:bCs/>
          <w:sz w:val="24"/>
          <w:szCs w:val="24"/>
        </w:rPr>
        <w:t>元且小于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60%</w:t>
      </w:r>
      <w:r w:rsidRPr="008637F9">
        <w:rPr>
          <w:rFonts w:ascii="宋体" w:hAnsi="宋体" w:hint="eastAsia"/>
          <w:bCs/>
          <w:sz w:val="24"/>
          <w:szCs w:val="24"/>
        </w:rPr>
        <w:t>；</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3</w:t>
      </w:r>
      <w:r w:rsidRPr="008637F9">
        <w:rPr>
          <w:rFonts w:ascii="宋体" w:hAnsi="宋体" w:hint="eastAsia"/>
          <w:bCs/>
          <w:sz w:val="24"/>
          <w:szCs w:val="24"/>
        </w:rPr>
        <w:t>）当基金份额净值大于或等于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95%</w:t>
      </w:r>
      <w:r w:rsidRPr="008637F9">
        <w:rPr>
          <w:rFonts w:ascii="宋体" w:hAnsi="宋体" w:hint="eastAsia"/>
          <w:bCs/>
          <w:sz w:val="24"/>
          <w:szCs w:val="24"/>
        </w:rPr>
        <w:t>。</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由于收益分配</w:t>
      </w:r>
      <w:r w:rsidRPr="008637F9">
        <w:rPr>
          <w:rFonts w:ascii="宋体" w:hAnsi="宋体"/>
          <w:bCs/>
          <w:sz w:val="24"/>
          <w:szCs w:val="24"/>
        </w:rPr>
        <w:t>、</w:t>
      </w:r>
      <w:r w:rsidRPr="008637F9">
        <w:rPr>
          <w:rFonts w:ascii="宋体" w:hAnsi="宋体" w:hint="eastAsia"/>
          <w:bCs/>
          <w:sz w:val="24"/>
          <w:szCs w:val="24"/>
        </w:rPr>
        <w:t>市场波动等</w:t>
      </w:r>
      <w:r w:rsidRPr="008637F9">
        <w:rPr>
          <w:rFonts w:ascii="宋体" w:hAnsi="宋体"/>
          <w:bCs/>
          <w:sz w:val="24"/>
          <w:szCs w:val="24"/>
        </w:rPr>
        <w:t>引起的</w:t>
      </w:r>
      <w:r w:rsidRPr="008637F9">
        <w:rPr>
          <w:rFonts w:ascii="宋体" w:hAnsi="宋体" w:hint="eastAsia"/>
          <w:bCs/>
          <w:sz w:val="24"/>
          <w:szCs w:val="24"/>
        </w:rPr>
        <w:t>基金份额净值变化或者申购赎回引起的基金规模变动、</w:t>
      </w:r>
      <w:r w:rsidRPr="008637F9">
        <w:rPr>
          <w:rFonts w:ascii="宋体" w:hAnsi="宋体"/>
          <w:bCs/>
          <w:sz w:val="24"/>
          <w:szCs w:val="24"/>
        </w:rPr>
        <w:t>证券发行人合并</w:t>
      </w:r>
      <w:r w:rsidRPr="008637F9">
        <w:rPr>
          <w:rFonts w:ascii="宋体" w:hAnsi="宋体" w:hint="eastAsia"/>
          <w:bCs/>
          <w:sz w:val="24"/>
          <w:szCs w:val="24"/>
        </w:rPr>
        <w:t>等原因，导致本基金股票资产占比不符合上述规定投资比例的，基金管理人应当在</w:t>
      </w:r>
      <w:r>
        <w:rPr>
          <w:rFonts w:ascii="宋体" w:hAnsi="宋体"/>
          <w:bCs/>
          <w:sz w:val="24"/>
          <w:szCs w:val="24"/>
        </w:rPr>
        <w:t>20</w:t>
      </w:r>
      <w:r w:rsidRPr="008637F9">
        <w:rPr>
          <w:rFonts w:ascii="宋体" w:hAnsi="宋体" w:hint="eastAsia"/>
          <w:bCs/>
          <w:sz w:val="24"/>
          <w:szCs w:val="24"/>
        </w:rPr>
        <w:t>个交易日内进行调整。</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在遵守股票资产投资比例控制安排的前提下，本基金利用经交银施罗德研究团队修正后的投资时钟</w:t>
      </w:r>
      <w:r w:rsidRPr="008637F9">
        <w:rPr>
          <w:rFonts w:ascii="宋体" w:hAnsi="宋体"/>
          <w:bCs/>
          <w:sz w:val="24"/>
          <w:szCs w:val="24"/>
        </w:rPr>
        <w:t>分析框架，</w:t>
      </w:r>
      <w:r w:rsidRPr="008637F9">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2、股票投资策略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（1）行业选择和配置</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lastRenderedPageBreak/>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（2）个股精选</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本基金在前述行业优选的基础上，根据下述标准挑选出其中具有投资潜力的上市公司构建股票池并从中精选个股，且需满足以下要求：</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1）主业清晰并在产品、技术、营销、营运、成本控制等某一方面具有较强竞争优势，销售收入或利润超过行业平均水平；</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2）根据波特五要素分析，行业发展环境良好；</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3）具有较强或可预期的盈利增长前景；</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4）盈利质量较高，经营性现金流加投资收益应该超过净利润（特殊理由除外）；</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5）较好的公司治理结构，财务报表和信息披露较为透明、规范；</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6）股票估值具有吸引力，或符合一定时期内的投资主题。</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对上述重点上市公司进行内在价值的评估和成长性跟踪研究，在明确的价值评估基础上精选优秀质地的投资标的构建股票组合。</w:t>
      </w:r>
    </w:p>
    <w:p w:rsidR="00A11739" w:rsidRPr="008637F9" w:rsidRDefault="00A11739" w:rsidP="00A11739">
      <w:pPr>
        <w:spacing w:line="360" w:lineRule="auto"/>
        <w:ind w:firstLine="480"/>
        <w:rPr>
          <w:rFonts w:ascii="宋体" w:hAnsi="宋体"/>
          <w:bCs/>
          <w:sz w:val="24"/>
          <w:szCs w:val="24"/>
        </w:rPr>
      </w:pPr>
      <w:r w:rsidRPr="008637F9">
        <w:rPr>
          <w:rFonts w:ascii="宋体" w:hAnsi="宋体"/>
          <w:bCs/>
          <w:sz w:val="24"/>
          <w:szCs w:val="24"/>
        </w:rPr>
        <w:t>3</w:t>
      </w:r>
      <w:r w:rsidRPr="008637F9">
        <w:rPr>
          <w:rFonts w:ascii="宋体" w:hAnsi="宋体" w:hint="eastAsia"/>
          <w:bCs/>
          <w:sz w:val="24"/>
          <w:szCs w:val="24"/>
        </w:rPr>
        <w:t>、债券投资策略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（1）久期管理策略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在全球经济的框架下，本基金管理人对宏观经济运行趋势及其引致的财政货币政策变化做出判断，密切跟踪CPI、PPI、汇率、M2等利率敏感指标，运用数</w:t>
      </w:r>
      <w:r w:rsidRPr="008637F9">
        <w:rPr>
          <w:rFonts w:ascii="宋体" w:hAnsi="宋体" w:hint="eastAsia"/>
          <w:bCs/>
          <w:sz w:val="24"/>
          <w:szCs w:val="24"/>
        </w:rPr>
        <w:lastRenderedPageBreak/>
        <w:t>量化工具，对未来市场利率趋势进行分析与预测，并据此确定合理的债券组合目标久期。</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（2）类属配置策略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（3）收益率曲线配置策略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本基金将通过预期收益率曲线形态变化来调整投资组合的头寸。在考察收益率曲线的基础上，将确定采用子弹策略、哑铃策略或梯形策略等，以从收益率曲线的形变中获利。</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（4）杠杆放大策略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当回购利率低于债券收益率时，本基金将通过正回购融入资金并投资于信用债券等可投资标的，从而获取收益率超出回购资金成本（即回购利率）的套利价值。</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（5）信用债券投资策略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（6）可转换债券投资策略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A11739" w:rsidRPr="008637F9" w:rsidRDefault="00A11739" w:rsidP="00A11739">
      <w:pPr>
        <w:spacing w:line="360" w:lineRule="auto"/>
        <w:ind w:firstLine="480"/>
        <w:rPr>
          <w:rFonts w:ascii="宋体" w:hAnsi="宋体"/>
          <w:bCs/>
          <w:sz w:val="24"/>
          <w:szCs w:val="24"/>
        </w:rPr>
      </w:pPr>
      <w:r w:rsidRPr="008637F9">
        <w:rPr>
          <w:rFonts w:ascii="宋体" w:hAnsi="宋体"/>
          <w:bCs/>
          <w:sz w:val="24"/>
          <w:szCs w:val="24"/>
        </w:rPr>
        <w:t>4</w:t>
      </w:r>
      <w:r w:rsidRPr="008637F9">
        <w:rPr>
          <w:rFonts w:ascii="宋体" w:hAnsi="宋体" w:hint="eastAsia"/>
          <w:bCs/>
          <w:sz w:val="24"/>
          <w:szCs w:val="24"/>
        </w:rPr>
        <w:t>、权证投资策略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w:t>
      </w:r>
      <w:r w:rsidRPr="008637F9">
        <w:rPr>
          <w:rFonts w:ascii="宋体" w:hAnsi="宋体" w:hint="eastAsia"/>
          <w:bCs/>
          <w:sz w:val="24"/>
          <w:szCs w:val="24"/>
        </w:rPr>
        <w:lastRenderedPageBreak/>
        <w:t>流动性及风险性特征，通过资产配置、品种与类属选择，追求基金资产稳定的当期收益。</w:t>
      </w:r>
    </w:p>
    <w:p w:rsidR="00A11739" w:rsidRPr="008637F9" w:rsidRDefault="00A11739" w:rsidP="00A11739">
      <w:pPr>
        <w:spacing w:line="360" w:lineRule="auto"/>
        <w:ind w:firstLine="480"/>
        <w:rPr>
          <w:rFonts w:ascii="宋体" w:hAnsi="宋体"/>
          <w:bCs/>
          <w:sz w:val="24"/>
          <w:szCs w:val="24"/>
        </w:rPr>
      </w:pPr>
      <w:r w:rsidRPr="008637F9">
        <w:rPr>
          <w:rFonts w:ascii="宋体" w:hAnsi="宋体"/>
          <w:bCs/>
          <w:sz w:val="24"/>
          <w:szCs w:val="24"/>
        </w:rPr>
        <w:t>5</w:t>
      </w:r>
      <w:r w:rsidRPr="008637F9">
        <w:rPr>
          <w:rFonts w:ascii="宋体" w:hAnsi="宋体" w:hint="eastAsia"/>
          <w:bCs/>
          <w:sz w:val="24"/>
          <w:szCs w:val="24"/>
        </w:rPr>
        <w:t>、资产支持证券投资策略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A11739" w:rsidRPr="008637F9" w:rsidRDefault="00A11739" w:rsidP="00A11739">
      <w:pPr>
        <w:spacing w:line="360" w:lineRule="auto"/>
        <w:ind w:firstLine="480"/>
        <w:rPr>
          <w:rFonts w:ascii="宋体" w:hAnsi="宋体"/>
          <w:bCs/>
          <w:sz w:val="24"/>
          <w:szCs w:val="24"/>
        </w:rPr>
      </w:pPr>
      <w:r w:rsidRPr="008637F9">
        <w:rPr>
          <w:rFonts w:ascii="宋体" w:hAnsi="宋体"/>
          <w:bCs/>
          <w:sz w:val="24"/>
          <w:szCs w:val="24"/>
        </w:rPr>
        <w:t>6</w:t>
      </w:r>
      <w:r w:rsidRPr="008637F9">
        <w:rPr>
          <w:rFonts w:ascii="宋体" w:hAnsi="宋体" w:hint="eastAsia"/>
          <w:bCs/>
          <w:sz w:val="24"/>
          <w:szCs w:val="24"/>
        </w:rPr>
        <w:t>、股指期货投资策略</w:t>
      </w:r>
    </w:p>
    <w:p w:rsidR="00A11739" w:rsidRPr="008637F9" w:rsidRDefault="00A11739" w:rsidP="00A11739">
      <w:pPr>
        <w:spacing w:line="360" w:lineRule="auto"/>
        <w:ind w:firstLine="480"/>
        <w:rPr>
          <w:rFonts w:ascii="宋体" w:hAnsi="宋体"/>
          <w:bCs/>
          <w:sz w:val="24"/>
          <w:szCs w:val="24"/>
        </w:rPr>
      </w:pPr>
      <w:r w:rsidRPr="008637F9">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A11739" w:rsidRDefault="00A11739" w:rsidP="00A11739">
      <w:pPr>
        <w:spacing w:line="360" w:lineRule="auto"/>
        <w:ind w:firstLineChars="200" w:firstLine="480"/>
        <w:rPr>
          <w:rFonts w:ascii="宋体" w:hAnsi="宋体"/>
          <w:bCs/>
          <w:sz w:val="24"/>
          <w:szCs w:val="24"/>
        </w:rPr>
      </w:pPr>
      <w:r w:rsidRPr="008637F9">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1、组合限制</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）股票资产占基金资产的</w:t>
      </w:r>
      <w:r>
        <w:rPr>
          <w:rFonts w:ascii="宋体" w:hAnsi="宋体"/>
          <w:bCs/>
          <w:sz w:val="24"/>
          <w:szCs w:val="24"/>
        </w:rPr>
        <w:t>0%-95%</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Pr>
          <w:rFonts w:ascii="宋体" w:hAnsi="宋体" w:hint="eastAsia"/>
          <w:bCs/>
          <w:sz w:val="24"/>
          <w:szCs w:val="24"/>
        </w:rPr>
        <w:t>%的现金或者到期日在一年以内的政府债券；</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lastRenderedPageBreak/>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w:t>
      </w:r>
      <w:r>
        <w:rPr>
          <w:rFonts w:ascii="宋体" w:hAnsi="宋体" w:hint="eastAsia"/>
          <w:bCs/>
          <w:sz w:val="24"/>
          <w:szCs w:val="24"/>
        </w:rPr>
        <w:t>（</w:t>
      </w:r>
      <w:r>
        <w:rPr>
          <w:rFonts w:ascii="宋体" w:hAnsi="宋体"/>
          <w:bCs/>
          <w:sz w:val="24"/>
          <w:szCs w:val="24"/>
        </w:rPr>
        <w:t>指同一信用级别</w:t>
      </w:r>
      <w:r>
        <w:rPr>
          <w:rFonts w:ascii="宋体" w:hAnsi="宋体" w:hint="eastAsia"/>
          <w:bCs/>
          <w:sz w:val="24"/>
          <w:szCs w:val="24"/>
        </w:rPr>
        <w:t>）</w:t>
      </w:r>
      <w:r>
        <w:rPr>
          <w:rFonts w:ascii="宋体" w:hAnsi="宋体"/>
          <w:bCs/>
          <w:sz w:val="24"/>
          <w:szCs w:val="24"/>
        </w:rPr>
        <w:t>资产支持证券的比例，不得超过该资产支持证券规模的10</w:t>
      </w:r>
      <w:r>
        <w:rPr>
          <w:rFonts w:ascii="宋体" w:hAnsi="宋体" w:hint="eastAsia"/>
          <w:bCs/>
          <w:sz w:val="24"/>
          <w:szCs w:val="24"/>
        </w:rPr>
        <w:t>%</w:t>
      </w:r>
      <w:r>
        <w:rPr>
          <w:rFonts w:ascii="宋体" w:hAnsi="宋体"/>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w:t>
      </w:r>
      <w:r>
        <w:rPr>
          <w:rFonts w:ascii="宋体" w:hAnsi="宋体" w:hint="eastAsia"/>
          <w:bCs/>
          <w:sz w:val="24"/>
          <w:szCs w:val="24"/>
        </w:rPr>
        <w:t>（</w:t>
      </w:r>
      <w:r>
        <w:rPr>
          <w:rFonts w:ascii="宋体" w:hAnsi="宋体"/>
          <w:bCs/>
          <w:sz w:val="24"/>
          <w:szCs w:val="24"/>
        </w:rPr>
        <w:t>含BBB</w:t>
      </w:r>
      <w:r>
        <w:rPr>
          <w:rFonts w:ascii="宋体" w:hAnsi="宋体" w:hint="eastAsia"/>
          <w:bCs/>
          <w:sz w:val="24"/>
          <w:szCs w:val="24"/>
        </w:rPr>
        <w:t>）</w:t>
      </w:r>
      <w:r>
        <w:rPr>
          <w:rFonts w:ascii="宋体" w:hAnsi="宋体"/>
          <w:bCs/>
          <w:sz w:val="24"/>
          <w:szCs w:val="24"/>
        </w:rPr>
        <w:t>的资产支持证券。基金持有资产支持证券期间，如果其信用等级下降、不再符合投资标准，应在评级报告发布之日起3个月内予以全部卖出；</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（15）本基金</w:t>
      </w:r>
      <w:r w:rsidRPr="0074018B">
        <w:rPr>
          <w:rFonts w:ascii="宋体" w:hAnsi="宋体" w:hint="eastAsia"/>
          <w:bCs/>
          <w:sz w:val="24"/>
          <w:szCs w:val="24"/>
        </w:rPr>
        <w:t>参与</w:t>
      </w:r>
      <w:r>
        <w:rPr>
          <w:rFonts w:ascii="宋体" w:hAnsi="宋体" w:hint="eastAsia"/>
          <w:bCs/>
          <w:sz w:val="24"/>
          <w:szCs w:val="24"/>
        </w:rPr>
        <w:t>股指期货交易，则：</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）本基金在任何交易日日终，持有的卖出股指期货合约价值不得超过基金持有的股票总市值的</w:t>
      </w:r>
      <w:r>
        <w:rPr>
          <w:rFonts w:ascii="宋体" w:hAnsi="宋体"/>
          <w:bCs/>
          <w:sz w:val="24"/>
          <w:szCs w:val="24"/>
        </w:rPr>
        <w:t>20%</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lastRenderedPageBreak/>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7）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（18）法律法规及中国证监会规定的和《基金合同》约定的其他投资限制。</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除上述第（12）项以外，因证券、期货市场波动、证券发行人合并或基金规模变动等基金管理人之外的因素致使基金投资比例不符合上述规定投资比例的，基金管理人应当在</w:t>
      </w:r>
      <w:r>
        <w:rPr>
          <w:rFonts w:ascii="宋体" w:hAnsi="宋体"/>
          <w:bCs/>
          <w:sz w:val="24"/>
          <w:szCs w:val="24"/>
        </w:rPr>
        <w:t>10</w:t>
      </w:r>
      <w:r>
        <w:rPr>
          <w:rFonts w:ascii="宋体" w:hAnsi="宋体" w:hint="eastAsia"/>
          <w:bCs/>
          <w:sz w:val="24"/>
          <w:szCs w:val="24"/>
        </w:rPr>
        <w:t>个交易日内进行调整，但中国证监会规定的特殊情形除外。法律法规另有规定的，从其规定。</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（1）承销证券；</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w:t>
      </w:r>
      <w:r>
        <w:rPr>
          <w:rFonts w:ascii="宋体" w:hAnsi="宋体" w:hint="eastAsia"/>
          <w:bCs/>
          <w:sz w:val="24"/>
          <w:szCs w:val="24"/>
        </w:rPr>
        <w:lastRenderedPageBreak/>
        <w:t>管理人在履行适当程序后，本基金可不受上述规定的限制。</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A11739" w:rsidRPr="003A6F93" w:rsidRDefault="00A11739" w:rsidP="00A11739">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指数收益率×</w:t>
      </w:r>
      <w:r w:rsidRPr="003A6F93">
        <w:rPr>
          <w:rFonts w:hint="eastAsia"/>
          <w:bCs/>
          <w:sz w:val="24"/>
        </w:rPr>
        <w:t>40%+</w:t>
      </w:r>
      <w:r w:rsidRPr="003A6F93">
        <w:rPr>
          <w:rFonts w:hint="eastAsia"/>
          <w:bCs/>
          <w:sz w:val="24"/>
        </w:rPr>
        <w:t>中证综合债券指数收益率×</w:t>
      </w:r>
      <w:r w:rsidRPr="003A6F93">
        <w:rPr>
          <w:rFonts w:hint="eastAsia"/>
          <w:bCs/>
          <w:sz w:val="24"/>
        </w:rPr>
        <w:t>60%</w:t>
      </w:r>
    </w:p>
    <w:p w:rsidR="00A11739" w:rsidRPr="003A6F93" w:rsidRDefault="00A11739" w:rsidP="00A11739">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指数是沪深证券交易所第一次联合发布的反映</w:t>
      </w:r>
      <w:r w:rsidRPr="003A6F93">
        <w:rPr>
          <w:rFonts w:hint="eastAsia"/>
          <w:bCs/>
          <w:sz w:val="24"/>
        </w:rPr>
        <w:t>A</w:t>
      </w:r>
      <w:r w:rsidRPr="003A6F93">
        <w:rPr>
          <w:rFonts w:hint="eastAsia"/>
          <w:bCs/>
          <w:sz w:val="24"/>
        </w:rPr>
        <w:t>股市场整体走势的指数，由中证指数有限公司编制和维护，是在上海和深圳证券市场中选取</w:t>
      </w:r>
      <w:r w:rsidRPr="003A6F93">
        <w:rPr>
          <w:rFonts w:hint="eastAsia"/>
          <w:bCs/>
          <w:sz w:val="24"/>
        </w:rPr>
        <w:t>300</w:t>
      </w:r>
      <w:r w:rsidRPr="003A6F93">
        <w:rPr>
          <w:rFonts w:hint="eastAsia"/>
          <w:bCs/>
          <w:sz w:val="24"/>
        </w:rPr>
        <w:t>只</w:t>
      </w:r>
      <w:r w:rsidRPr="003A6F93">
        <w:rPr>
          <w:rFonts w:hint="eastAsia"/>
          <w:bCs/>
          <w:sz w:val="24"/>
        </w:rPr>
        <w:t>A</w:t>
      </w:r>
      <w:r w:rsidRPr="003A6F93">
        <w:rPr>
          <w:rFonts w:hint="eastAsia"/>
          <w:bCs/>
          <w:sz w:val="24"/>
        </w:rPr>
        <w:t>股作为样本编制而成。该指数样本对沪深市场的覆盖度高，具有良好的市场代表性，投资者可以方便地从报纸、互联网等财经媒体中获取。沪深</w:t>
      </w:r>
      <w:r w:rsidRPr="003A6F93">
        <w:rPr>
          <w:rFonts w:hint="eastAsia"/>
          <w:bCs/>
          <w:sz w:val="24"/>
        </w:rPr>
        <w:t>300</w:t>
      </w:r>
      <w:r w:rsidRPr="003A6F9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w:t>
      </w:r>
      <w:r>
        <w:rPr>
          <w:rFonts w:hint="eastAsia"/>
          <w:bCs/>
          <w:sz w:val="24"/>
        </w:rPr>
        <w:t>类</w:t>
      </w:r>
      <w:r w:rsidRPr="003A6F93">
        <w:rPr>
          <w:rFonts w:hint="eastAsia"/>
          <w:bCs/>
          <w:sz w:val="24"/>
        </w:rPr>
        <w:t>投资的业绩比较基准。</w:t>
      </w:r>
    </w:p>
    <w:p w:rsidR="00A11739" w:rsidRPr="008637F9" w:rsidRDefault="00A11739" w:rsidP="00A11739">
      <w:pPr>
        <w:spacing w:line="360" w:lineRule="auto"/>
        <w:ind w:firstLineChars="200" w:firstLine="480"/>
        <w:rPr>
          <w:bCs/>
          <w:sz w:val="24"/>
        </w:rPr>
      </w:pPr>
      <w:r w:rsidRPr="003A6F93">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w:t>
      </w:r>
      <w:r>
        <w:rPr>
          <w:rFonts w:hint="eastAsia"/>
          <w:bCs/>
          <w:sz w:val="24"/>
        </w:rPr>
        <w:t>债券类</w:t>
      </w:r>
      <w:r w:rsidRPr="003A6F93">
        <w:rPr>
          <w:rFonts w:hint="eastAsia"/>
          <w:bCs/>
          <w:sz w:val="24"/>
        </w:rPr>
        <w:t>投资的业绩比较基准</w:t>
      </w:r>
      <w:r w:rsidRPr="008637F9">
        <w:rPr>
          <w:bCs/>
          <w:sz w:val="24"/>
        </w:rPr>
        <w:t>。</w:t>
      </w:r>
    </w:p>
    <w:p w:rsidR="00A11739" w:rsidRPr="008637F9" w:rsidRDefault="00A11739" w:rsidP="00A11739">
      <w:pPr>
        <w:spacing w:line="360" w:lineRule="auto"/>
        <w:ind w:firstLineChars="200" w:firstLine="480"/>
        <w:rPr>
          <w:bCs/>
          <w:sz w:val="24"/>
        </w:rPr>
      </w:pPr>
      <w:r w:rsidRPr="008637F9">
        <w:rPr>
          <w:rFonts w:hint="eastAsia"/>
          <w:bCs/>
          <w:sz w:val="24"/>
        </w:rPr>
        <w:t>该业绩比较基准能比较贴切体现和衡量本基金的投资目标、投资策略以及投资业绩。</w:t>
      </w:r>
    </w:p>
    <w:p w:rsidR="00A11739" w:rsidRDefault="00A11739" w:rsidP="00A11739">
      <w:pPr>
        <w:pStyle w:val="aa"/>
        <w:spacing w:afterLines="0"/>
        <w:ind w:firstLine="480"/>
        <w:rPr>
          <w:rFonts w:ascii="宋体" w:hAnsi="宋体"/>
          <w:bCs/>
          <w:szCs w:val="24"/>
        </w:rPr>
      </w:pPr>
      <w:r w:rsidRPr="008637F9">
        <w:rPr>
          <w:bCs/>
        </w:rPr>
        <w:t>如果今后法律法规发生变化</w:t>
      </w:r>
      <w:r w:rsidRPr="008637F9">
        <w:rPr>
          <w:rFonts w:hint="eastAsia"/>
          <w:bCs/>
        </w:rPr>
        <w:t>，或者市场变化导致本业绩比较基准不再适用</w:t>
      </w:r>
      <w:r w:rsidRPr="008637F9">
        <w:rPr>
          <w:bCs/>
        </w:rPr>
        <w:t>，又或者市场推出更具权威、且更能够表征</w:t>
      </w:r>
      <w:r w:rsidRPr="008637F9">
        <w:rPr>
          <w:rFonts w:hint="eastAsia"/>
          <w:bCs/>
        </w:rPr>
        <w:t>本</w:t>
      </w:r>
      <w:r w:rsidRPr="008637F9">
        <w:rPr>
          <w:bCs/>
        </w:rPr>
        <w:t>基金风险收益特征的</w:t>
      </w:r>
      <w:r w:rsidRPr="008637F9">
        <w:rPr>
          <w:rFonts w:hint="eastAsia"/>
          <w:bCs/>
        </w:rPr>
        <w:t>业绩比较基准</w:t>
      </w:r>
      <w:r w:rsidRPr="008637F9">
        <w:rPr>
          <w:bCs/>
        </w:rPr>
        <w:t>，则</w:t>
      </w:r>
      <w:r w:rsidRPr="008637F9">
        <w:rPr>
          <w:rFonts w:hint="eastAsia"/>
          <w:bCs/>
        </w:rPr>
        <w:t>本</w:t>
      </w:r>
      <w:r w:rsidRPr="008637F9">
        <w:rPr>
          <w:bCs/>
        </w:rPr>
        <w:t>基金管理人</w:t>
      </w:r>
      <w:r w:rsidRPr="008637F9">
        <w:rPr>
          <w:rFonts w:hint="eastAsia"/>
          <w:bCs/>
        </w:rPr>
        <w:t>可以依据维护基金份额持有人合法权益的原则，在按照监管部门要求履行适当程序后根据实际情况对业绩比较基准进行相应调整。调整业绩比较基准应经基金托管人同意，并报中国证监会备案，而无需召开基</w:t>
      </w:r>
      <w:r>
        <w:rPr>
          <w:rFonts w:hint="eastAsia"/>
          <w:bCs/>
        </w:rPr>
        <w:t>金份额持有人大会。基金管理人应在调整实施前在指定媒介上予以公告</w:t>
      </w:r>
      <w:r>
        <w:rPr>
          <w:rFonts w:ascii="宋体" w:hAnsi="宋体" w:hint="eastAsia"/>
          <w:bCs/>
          <w:szCs w:val="24"/>
        </w:rPr>
        <w:t>。</w:t>
      </w:r>
    </w:p>
    <w:p w:rsidR="00A11739" w:rsidRDefault="00A11739" w:rsidP="00A11739">
      <w:pPr>
        <w:pStyle w:val="aa"/>
        <w:spacing w:afterLines="0"/>
        <w:ind w:firstLine="482"/>
        <w:rPr>
          <w:rFonts w:ascii="宋体" w:hAnsi="宋体"/>
          <w:b/>
          <w:szCs w:val="24"/>
        </w:rPr>
      </w:pPr>
      <w:r>
        <w:rPr>
          <w:rFonts w:ascii="宋体" w:hAnsi="宋体"/>
          <w:b/>
          <w:szCs w:val="24"/>
        </w:rPr>
        <w:lastRenderedPageBreak/>
        <w:t>六、基金资产净值的计算方法和公告方式</w:t>
      </w:r>
    </w:p>
    <w:p w:rsidR="00A11739" w:rsidRDefault="00A11739" w:rsidP="00A11739">
      <w:pPr>
        <w:pStyle w:val="aa"/>
        <w:spacing w:afterLines="0"/>
        <w:ind w:firstLine="480"/>
        <w:rPr>
          <w:rFonts w:ascii="宋体" w:hAnsi="宋体"/>
          <w:szCs w:val="24"/>
        </w:rPr>
      </w:pPr>
      <w:r>
        <w:rPr>
          <w:rFonts w:ascii="宋体" w:hAnsi="宋体"/>
          <w:bCs/>
          <w:szCs w:val="24"/>
        </w:rPr>
        <w:t>（一）估值方法</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w:t>
      </w:r>
      <w:r>
        <w:rPr>
          <w:rFonts w:ascii="宋体" w:hAnsi="宋体" w:hint="eastAsia"/>
          <w:bCs/>
          <w:sz w:val="24"/>
          <w:szCs w:val="24"/>
        </w:rPr>
        <w:lastRenderedPageBreak/>
        <w:t>价估值。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6、相关法律法规以及监管部门有强制规定的，从其规定。如有新增事项，按法律法规以及监管部门最新规定估值。</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rsidR="00A11739" w:rsidRDefault="00A11739" w:rsidP="00A11739">
      <w:pPr>
        <w:spacing w:line="360" w:lineRule="auto"/>
        <w:ind w:firstLineChars="200" w:firstLine="480"/>
        <w:rPr>
          <w:rFonts w:ascii="宋体" w:hAnsi="宋体"/>
          <w:sz w:val="24"/>
          <w:szCs w:val="24"/>
        </w:rPr>
      </w:pPr>
      <w:r>
        <w:rPr>
          <w:rFonts w:ascii="宋体" w:hAnsi="宋体"/>
          <w:sz w:val="24"/>
          <w:szCs w:val="24"/>
        </w:rPr>
        <w:t>（二）估值程序</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1、基金份额净值是按照每个工作日闭市后，基金资产净值除以当日基金份额的余额数量计算，精确到</w:t>
      </w:r>
      <w:r>
        <w:rPr>
          <w:rFonts w:ascii="宋体" w:hAnsi="宋体" w:hint="eastAsia"/>
          <w:bCs/>
          <w:sz w:val="24"/>
          <w:szCs w:val="24"/>
        </w:rPr>
        <w:t>0.00</w:t>
      </w:r>
      <w:r>
        <w:rPr>
          <w:rFonts w:ascii="宋体" w:hAnsi="宋体"/>
          <w:bCs/>
          <w:sz w:val="24"/>
          <w:szCs w:val="24"/>
        </w:rPr>
        <w:t>0</w:t>
      </w:r>
      <w:r>
        <w:rPr>
          <w:rFonts w:ascii="宋体" w:hAnsi="宋体" w:hint="eastAsia"/>
          <w:bCs/>
          <w:sz w:val="24"/>
          <w:szCs w:val="24"/>
        </w:rPr>
        <w:t>1</w:t>
      </w:r>
      <w:r>
        <w:rPr>
          <w:rFonts w:ascii="宋体" w:hAnsi="宋体"/>
          <w:bCs/>
          <w:sz w:val="24"/>
          <w:szCs w:val="24"/>
        </w:rPr>
        <w:t>元，小数点后第</w:t>
      </w:r>
      <w:r>
        <w:rPr>
          <w:rFonts w:ascii="宋体" w:hAnsi="宋体" w:hint="eastAsia"/>
          <w:bCs/>
          <w:sz w:val="24"/>
          <w:szCs w:val="24"/>
        </w:rPr>
        <w:t>五</w:t>
      </w:r>
      <w:r>
        <w:rPr>
          <w:rFonts w:ascii="宋体" w:hAnsi="宋体"/>
          <w:bCs/>
          <w:sz w:val="24"/>
          <w:szCs w:val="24"/>
        </w:rPr>
        <w:t>位四舍五入。国家另有规定的，从其规定。</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t>如遇特殊情况，经中国证监会同意，可以适当延迟计算或公告。</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w:t>
      </w:r>
      <w:r w:rsidRPr="008637F9">
        <w:rPr>
          <w:rFonts w:ascii="宋体" w:hAnsi="宋体" w:hint="eastAsia"/>
          <w:bCs/>
          <w:sz w:val="24"/>
          <w:szCs w:val="24"/>
        </w:rPr>
        <w:t>的约定</w:t>
      </w:r>
      <w:r>
        <w:rPr>
          <w:rFonts w:ascii="宋体" w:hAnsi="宋体" w:hint="eastAsia"/>
          <w:bCs/>
          <w:sz w:val="24"/>
          <w:szCs w:val="24"/>
        </w:rPr>
        <w:t>和相关法律法规的规定</w:t>
      </w:r>
      <w:r>
        <w:rPr>
          <w:rFonts w:ascii="宋体" w:hAnsi="宋体"/>
          <w:bCs/>
          <w:sz w:val="24"/>
          <w:szCs w:val="24"/>
        </w:rPr>
        <w:t>对外公布。</w:t>
      </w:r>
    </w:p>
    <w:p w:rsidR="00A11739" w:rsidRDefault="00A11739" w:rsidP="00A11739">
      <w:pPr>
        <w:spacing w:line="360" w:lineRule="auto"/>
        <w:ind w:firstLineChars="200" w:firstLine="480"/>
        <w:rPr>
          <w:rFonts w:ascii="宋体" w:hAnsi="宋体"/>
          <w:sz w:val="24"/>
          <w:szCs w:val="24"/>
        </w:rPr>
      </w:pPr>
      <w:r>
        <w:rPr>
          <w:rFonts w:ascii="宋体" w:hAnsi="宋体"/>
          <w:sz w:val="24"/>
          <w:szCs w:val="24"/>
        </w:rPr>
        <w:t>（三）暂停估值的情形</w:t>
      </w:r>
    </w:p>
    <w:p w:rsidR="00A11739" w:rsidRDefault="00A11739" w:rsidP="00A11739">
      <w:pPr>
        <w:pStyle w:val="aa"/>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rsidR="00A11739" w:rsidRDefault="00A11739" w:rsidP="00A11739">
      <w:pPr>
        <w:pStyle w:val="aa"/>
        <w:spacing w:afterLines="0"/>
        <w:ind w:firstLine="480"/>
        <w:rPr>
          <w:rFonts w:ascii="宋体" w:hAnsi="宋体"/>
          <w:bCs/>
          <w:szCs w:val="24"/>
        </w:rPr>
      </w:pPr>
      <w:r>
        <w:rPr>
          <w:rFonts w:ascii="宋体" w:hAnsi="宋体"/>
          <w:bCs/>
          <w:szCs w:val="24"/>
        </w:rPr>
        <w:t>2、因不可抗力致使基金管理人、基金托管人无法准确评估基金资产价值时；</w:t>
      </w:r>
    </w:p>
    <w:p w:rsidR="00A11739" w:rsidRDefault="00A11739" w:rsidP="00A11739">
      <w:pPr>
        <w:pStyle w:val="aa"/>
        <w:spacing w:afterLines="0"/>
        <w:ind w:firstLine="480"/>
        <w:rPr>
          <w:rFonts w:ascii="宋体" w:hAnsi="宋体"/>
          <w:bCs/>
          <w:szCs w:val="24"/>
        </w:rPr>
      </w:pPr>
      <w:r>
        <w:rPr>
          <w:rFonts w:ascii="宋体" w:hAnsi="宋体"/>
          <w:bCs/>
          <w:szCs w:val="24"/>
        </w:rPr>
        <w:t>3、</w:t>
      </w:r>
      <w:r>
        <w:rPr>
          <w:rFonts w:ascii="宋体" w:hAnsi="宋体" w:hint="eastAsia"/>
          <w:bCs/>
          <w:szCs w:val="24"/>
        </w:rPr>
        <w:t>法律法规或</w:t>
      </w:r>
      <w:r>
        <w:rPr>
          <w:rFonts w:ascii="宋体" w:hAnsi="宋体"/>
          <w:bCs/>
          <w:szCs w:val="24"/>
        </w:rPr>
        <w:t>中国证监会</w:t>
      </w:r>
      <w:r>
        <w:rPr>
          <w:rFonts w:ascii="宋体" w:hAnsi="宋体" w:hint="eastAsia"/>
          <w:bCs/>
          <w:szCs w:val="24"/>
        </w:rPr>
        <w:t>规定的</w:t>
      </w:r>
      <w:r>
        <w:rPr>
          <w:rFonts w:ascii="宋体" w:hAnsi="宋体"/>
          <w:bCs/>
          <w:szCs w:val="24"/>
        </w:rPr>
        <w:t>和基金合同认定的其它情形。</w:t>
      </w:r>
    </w:p>
    <w:p w:rsidR="00D632E6" w:rsidRDefault="00D632E6" w:rsidP="00D632E6">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基金资产净值、基金份额净值和基金份额累计净值</w:t>
      </w:r>
      <w:r w:rsidRPr="00ED4E35">
        <w:rPr>
          <w:rFonts w:ascii="宋体" w:hAnsi="宋体"/>
          <w:bCs/>
          <w:sz w:val="24"/>
          <w:szCs w:val="24"/>
        </w:rPr>
        <w:t>的公告方式</w:t>
      </w:r>
    </w:p>
    <w:p w:rsidR="00D632E6" w:rsidRDefault="00D632E6" w:rsidP="00D632E6">
      <w:pPr>
        <w:spacing w:line="360" w:lineRule="auto"/>
        <w:ind w:firstLineChars="200" w:firstLine="480"/>
        <w:rPr>
          <w:bCs/>
          <w:sz w:val="24"/>
        </w:rPr>
      </w:pPr>
      <w:r>
        <w:rPr>
          <w:bCs/>
          <w:sz w:val="24"/>
        </w:rPr>
        <w:t>《基金合同》生效后，在开始办理基金份额申购或者赎回前，基金管理人应</w:t>
      </w:r>
      <w:r>
        <w:rPr>
          <w:bCs/>
          <w:sz w:val="24"/>
        </w:rPr>
        <w:lastRenderedPageBreak/>
        <w:t>当至少每周公告一次基金资产净值和基金份额净值。</w:t>
      </w:r>
    </w:p>
    <w:p w:rsidR="00D632E6" w:rsidRDefault="00D632E6" w:rsidP="00D632E6">
      <w:pPr>
        <w:spacing w:line="360" w:lineRule="auto"/>
        <w:ind w:firstLineChars="200" w:firstLine="480"/>
        <w:rPr>
          <w:bCs/>
          <w:sz w:val="24"/>
        </w:rPr>
      </w:pPr>
      <w:r>
        <w:rPr>
          <w:bCs/>
          <w:sz w:val="24"/>
        </w:rPr>
        <w:t>在开始办理基金份额申购或者赎回后，基金管理人应当在每个开放日的次日，通过网站、基金</w:t>
      </w:r>
      <w:r>
        <w:rPr>
          <w:rFonts w:hint="eastAsia"/>
          <w:bCs/>
          <w:sz w:val="24"/>
        </w:rPr>
        <w:t>销售机构</w:t>
      </w:r>
      <w:r>
        <w:rPr>
          <w:bCs/>
          <w:sz w:val="24"/>
        </w:rPr>
        <w:t>以及其他媒介，披露开放日的基金份额净值和基金份额累计净值。</w:t>
      </w:r>
    </w:p>
    <w:p w:rsidR="00D632E6" w:rsidRPr="00D632E6" w:rsidRDefault="00D632E6" w:rsidP="00D632E6">
      <w:pPr>
        <w:pStyle w:val="aa"/>
        <w:spacing w:afterLines="0"/>
        <w:ind w:firstLine="480"/>
        <w:rPr>
          <w:rFonts w:ascii="宋体" w:hAnsi="宋体"/>
          <w:b/>
          <w:szCs w:val="24"/>
        </w:rPr>
      </w:pPr>
      <w:r>
        <w:rPr>
          <w:bCs/>
        </w:rPr>
        <w:t>基金管理人应当公告半年度和年度最后一个市场交易日</w:t>
      </w:r>
      <w:r>
        <w:rPr>
          <w:rFonts w:hint="eastAsia"/>
          <w:bCs/>
        </w:rPr>
        <w:t>（或自然日）</w:t>
      </w:r>
      <w:r>
        <w:rPr>
          <w:bCs/>
        </w:rPr>
        <w:t>基金资产净值和基金份额净值。基金管理人应当在前款规定的市场交易日</w:t>
      </w:r>
      <w:r>
        <w:rPr>
          <w:rFonts w:hint="eastAsia"/>
          <w:bCs/>
        </w:rPr>
        <w:t>（或自然日）</w:t>
      </w:r>
      <w:r>
        <w:rPr>
          <w:bCs/>
        </w:rPr>
        <w:t>的次日，将基金资产净值、基金份额净值和基金份额累计净值登载在指定</w:t>
      </w:r>
      <w:r>
        <w:rPr>
          <w:rFonts w:hint="eastAsia"/>
          <w:bCs/>
        </w:rPr>
        <w:t>媒介</w:t>
      </w:r>
      <w:r>
        <w:rPr>
          <w:bCs/>
        </w:rPr>
        <w:t>上。</w:t>
      </w:r>
    </w:p>
    <w:p w:rsidR="00A11739" w:rsidRDefault="00A11739" w:rsidP="00A11739">
      <w:pPr>
        <w:pStyle w:val="aa"/>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A11739" w:rsidRDefault="00A11739" w:rsidP="00A11739">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w:t>
      </w:r>
      <w:r>
        <w:rPr>
          <w:rFonts w:hint="eastAsia"/>
          <w:bCs/>
          <w:sz w:val="24"/>
        </w:rPr>
        <w:t>表决通过之日起生效，</w:t>
      </w:r>
      <w:r>
        <w:rPr>
          <w:rFonts w:ascii="宋体" w:hAnsi="宋体"/>
          <w:bCs/>
          <w:sz w:val="24"/>
          <w:szCs w:val="24"/>
        </w:rPr>
        <w:t>决议生效后</w:t>
      </w:r>
      <w:r>
        <w:rPr>
          <w:rFonts w:ascii="宋体" w:hAnsi="宋体" w:hint="eastAsia"/>
          <w:bCs/>
          <w:sz w:val="24"/>
          <w:szCs w:val="24"/>
        </w:rPr>
        <w:t>依照《信息披露办法》的规定</w:t>
      </w:r>
      <w:r>
        <w:rPr>
          <w:rFonts w:ascii="宋体" w:hAnsi="宋体"/>
          <w:bCs/>
          <w:sz w:val="24"/>
          <w:szCs w:val="24"/>
        </w:rPr>
        <w:t>在指定媒介公告。</w:t>
      </w:r>
    </w:p>
    <w:p w:rsidR="00A11739" w:rsidRDefault="00A11739" w:rsidP="00A11739">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3、</w:t>
      </w:r>
      <w:r w:rsidRPr="008637F9">
        <w:rPr>
          <w:rFonts w:ascii="宋体" w:hAnsi="宋体" w:hint="eastAsia"/>
          <w:bCs/>
          <w:sz w:val="24"/>
          <w:szCs w:val="24"/>
        </w:rPr>
        <w:t>本基金作为被合并方与其他基金进行合并的；</w:t>
      </w:r>
    </w:p>
    <w:p w:rsidR="00A11739" w:rsidRDefault="00A11739" w:rsidP="00A11739">
      <w:pPr>
        <w:spacing w:line="360" w:lineRule="auto"/>
        <w:ind w:firstLineChars="200" w:firstLine="480"/>
        <w:rPr>
          <w:rFonts w:ascii="宋体" w:hAnsi="宋体"/>
          <w:bCs/>
          <w:sz w:val="24"/>
          <w:szCs w:val="24"/>
        </w:rPr>
      </w:pPr>
      <w:r>
        <w:rPr>
          <w:rFonts w:ascii="宋体" w:hAnsi="宋体" w:hint="eastAsia"/>
          <w:bCs/>
          <w:sz w:val="24"/>
          <w:szCs w:val="24"/>
        </w:rPr>
        <w:t>4、《基金合同》约定的其他情形；</w:t>
      </w:r>
    </w:p>
    <w:p w:rsidR="00A11739" w:rsidRDefault="00A11739" w:rsidP="00A11739">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、相关法律法规和中国证监会规定的其他情况。</w:t>
      </w:r>
    </w:p>
    <w:p w:rsidR="00A11739" w:rsidRDefault="00A11739" w:rsidP="00A11739">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A11739" w:rsidRDefault="00A11739" w:rsidP="00A11739">
      <w:pPr>
        <w:pStyle w:val="aa"/>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rsidR="00A11739" w:rsidRDefault="00A11739" w:rsidP="00A11739">
      <w:pPr>
        <w:pStyle w:val="aa"/>
        <w:spacing w:afterLines="0"/>
        <w:ind w:firstLine="480"/>
        <w:rPr>
          <w:rFonts w:ascii="宋体" w:hAnsi="宋体"/>
          <w:bCs/>
          <w:szCs w:val="24"/>
        </w:rPr>
      </w:pPr>
      <w:r>
        <w:rPr>
          <w:rFonts w:ascii="宋体" w:hAnsi="宋体"/>
          <w:bCs/>
          <w:szCs w:val="24"/>
        </w:rPr>
        <w:t>2、基金财产清算小组组成：基金财产清算小组成员由基金管理人、基金托</w:t>
      </w:r>
      <w:r>
        <w:rPr>
          <w:rFonts w:ascii="宋体" w:hAnsi="宋体"/>
          <w:bCs/>
          <w:szCs w:val="24"/>
        </w:rPr>
        <w:lastRenderedPageBreak/>
        <w:t>管人、具有从事证券相关业务资格的注册会计师、律师以及中国证监会指定的人员组成。基金财产清算小组可以聘用必要的工作人员。</w:t>
      </w:r>
    </w:p>
    <w:p w:rsidR="00A11739" w:rsidRDefault="00A11739" w:rsidP="00A11739">
      <w:pPr>
        <w:pStyle w:val="aa"/>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rsidR="00A11739" w:rsidRDefault="00A11739" w:rsidP="00A11739">
      <w:pPr>
        <w:pStyle w:val="aa"/>
        <w:spacing w:afterLines="0" w:line="276" w:lineRule="auto"/>
        <w:ind w:firstLine="480"/>
        <w:rPr>
          <w:rFonts w:ascii="宋体" w:hAnsi="宋体"/>
          <w:bCs/>
          <w:szCs w:val="24"/>
        </w:rPr>
      </w:pPr>
      <w:r>
        <w:rPr>
          <w:rFonts w:ascii="宋体" w:hAnsi="宋体"/>
          <w:bCs/>
          <w:szCs w:val="24"/>
        </w:rPr>
        <w:t>4、基金财产清算程序：</w:t>
      </w:r>
    </w:p>
    <w:p w:rsidR="00A11739" w:rsidRPr="006E6E8E" w:rsidRDefault="00A11739" w:rsidP="00A11739">
      <w:pPr>
        <w:pStyle w:val="aa"/>
        <w:spacing w:after="78" w:line="276" w:lineRule="auto"/>
        <w:ind w:firstLine="480"/>
        <w:rPr>
          <w:rFonts w:ascii="宋体" w:hAnsi="宋体"/>
          <w:bCs/>
          <w:szCs w:val="24"/>
        </w:rPr>
      </w:pPr>
      <w:r w:rsidRPr="006E6E8E">
        <w:rPr>
          <w:rFonts w:ascii="宋体" w:hAnsi="宋体"/>
          <w:bCs/>
          <w:szCs w:val="24"/>
        </w:rPr>
        <w:t>（1）《基金合同》终止情形出现时，由基金财产清算小组统一接管基金</w:t>
      </w:r>
      <w:r w:rsidRPr="006E6E8E">
        <w:rPr>
          <w:rFonts w:ascii="宋体" w:hAnsi="宋体" w:hint="eastAsia"/>
          <w:bCs/>
          <w:szCs w:val="24"/>
        </w:rPr>
        <w:t>财产</w:t>
      </w:r>
      <w:r w:rsidRPr="006E6E8E">
        <w:rPr>
          <w:rFonts w:ascii="宋体" w:hAnsi="宋体"/>
          <w:bCs/>
          <w:szCs w:val="24"/>
        </w:rPr>
        <w:t>；</w:t>
      </w:r>
    </w:p>
    <w:p w:rsidR="00A11739" w:rsidRPr="006E6E8E" w:rsidRDefault="00A11739" w:rsidP="00A11739">
      <w:pPr>
        <w:pStyle w:val="aa"/>
        <w:spacing w:after="78" w:line="276" w:lineRule="auto"/>
        <w:ind w:firstLine="480"/>
        <w:rPr>
          <w:rFonts w:ascii="宋体" w:hAnsi="宋体"/>
          <w:bCs/>
          <w:szCs w:val="24"/>
        </w:rPr>
      </w:pPr>
      <w:r w:rsidRPr="006E6E8E">
        <w:rPr>
          <w:rFonts w:ascii="宋体" w:hAnsi="宋体"/>
          <w:bCs/>
          <w:szCs w:val="24"/>
        </w:rPr>
        <w:t>（2）对基金财产和债权债务进行清理和确认；</w:t>
      </w:r>
    </w:p>
    <w:p w:rsidR="00A11739" w:rsidRPr="006E6E8E" w:rsidRDefault="00A11739" w:rsidP="00A11739">
      <w:pPr>
        <w:pStyle w:val="aa"/>
        <w:spacing w:after="78" w:line="276" w:lineRule="auto"/>
        <w:ind w:firstLine="480"/>
        <w:rPr>
          <w:rFonts w:ascii="宋体" w:hAnsi="宋体"/>
          <w:bCs/>
          <w:szCs w:val="24"/>
        </w:rPr>
      </w:pPr>
      <w:r w:rsidRPr="006E6E8E">
        <w:rPr>
          <w:rFonts w:ascii="宋体" w:hAnsi="宋体"/>
          <w:bCs/>
          <w:szCs w:val="24"/>
        </w:rPr>
        <w:t>（3）对基金财产进行估值和变现；</w:t>
      </w:r>
    </w:p>
    <w:p w:rsidR="00A11739" w:rsidRPr="006E6E8E" w:rsidRDefault="00A11739" w:rsidP="00A11739">
      <w:pPr>
        <w:pStyle w:val="aa"/>
        <w:spacing w:after="78" w:line="276" w:lineRule="auto"/>
        <w:ind w:firstLine="480"/>
        <w:rPr>
          <w:rFonts w:ascii="宋体" w:hAnsi="宋体"/>
          <w:bCs/>
          <w:szCs w:val="24"/>
        </w:rPr>
      </w:pPr>
      <w:r w:rsidRPr="006E6E8E">
        <w:rPr>
          <w:rFonts w:ascii="宋体" w:hAnsi="宋体"/>
          <w:bCs/>
          <w:szCs w:val="24"/>
        </w:rPr>
        <w:t>（4）制作清算报告；</w:t>
      </w:r>
    </w:p>
    <w:p w:rsidR="00A11739" w:rsidRPr="006E6E8E" w:rsidRDefault="00A11739" w:rsidP="00A11739">
      <w:pPr>
        <w:pStyle w:val="aa"/>
        <w:spacing w:after="78" w:line="276" w:lineRule="auto"/>
        <w:ind w:firstLine="480"/>
        <w:rPr>
          <w:rFonts w:ascii="宋体" w:hAnsi="宋体"/>
          <w:bCs/>
          <w:szCs w:val="24"/>
        </w:rPr>
      </w:pPr>
      <w:r w:rsidRPr="006E6E8E">
        <w:rPr>
          <w:rFonts w:ascii="宋体" w:hAnsi="宋体"/>
          <w:bCs/>
          <w:szCs w:val="24"/>
        </w:rPr>
        <w:t>（5）聘请会计师事务所对清算报告进行外部审计，聘请律师事务所对清算报告出具法律意见书；</w:t>
      </w:r>
    </w:p>
    <w:p w:rsidR="00A11739" w:rsidRPr="006E6E8E" w:rsidRDefault="00A11739" w:rsidP="00A11739">
      <w:pPr>
        <w:pStyle w:val="aa"/>
        <w:spacing w:after="78" w:line="276" w:lineRule="auto"/>
        <w:ind w:firstLine="480"/>
        <w:rPr>
          <w:rFonts w:ascii="宋体" w:hAnsi="宋体"/>
          <w:bCs/>
          <w:szCs w:val="24"/>
        </w:rPr>
      </w:pPr>
      <w:r w:rsidRPr="006E6E8E">
        <w:rPr>
          <w:rFonts w:ascii="宋体" w:hAnsi="宋体"/>
          <w:bCs/>
          <w:szCs w:val="24"/>
        </w:rPr>
        <w:t>（6）将清算报告报中国证监会备案并公告</w:t>
      </w:r>
      <w:r w:rsidRPr="006E6E8E">
        <w:rPr>
          <w:rFonts w:ascii="宋体" w:hAnsi="宋体" w:hint="eastAsia"/>
          <w:bCs/>
          <w:szCs w:val="24"/>
        </w:rPr>
        <w:t>；</w:t>
      </w:r>
    </w:p>
    <w:p w:rsidR="00A11739" w:rsidRDefault="00A11739" w:rsidP="00A11739">
      <w:pPr>
        <w:pStyle w:val="aa"/>
        <w:spacing w:after="78" w:line="276" w:lineRule="auto"/>
        <w:ind w:firstLine="480"/>
        <w:rPr>
          <w:rFonts w:ascii="宋体" w:hAnsi="宋体"/>
          <w:bCs/>
          <w:szCs w:val="24"/>
        </w:rPr>
      </w:pPr>
      <w:r w:rsidRPr="006E6E8E">
        <w:rPr>
          <w:rFonts w:ascii="宋体" w:hAnsi="宋体"/>
          <w:bCs/>
          <w:szCs w:val="24"/>
        </w:rPr>
        <w:t>（7）对基金</w:t>
      </w:r>
      <w:r w:rsidRPr="006E6E8E">
        <w:rPr>
          <w:rFonts w:ascii="宋体" w:hAnsi="宋体" w:hint="eastAsia"/>
          <w:bCs/>
          <w:szCs w:val="24"/>
        </w:rPr>
        <w:t>剩余</w:t>
      </w:r>
      <w:r w:rsidRPr="006E6E8E">
        <w:rPr>
          <w:rFonts w:ascii="宋体" w:hAnsi="宋体"/>
          <w:bCs/>
          <w:szCs w:val="24"/>
        </w:rPr>
        <w:t>财产进行分配</w:t>
      </w:r>
      <w:r w:rsidRPr="006E6E8E">
        <w:rPr>
          <w:rFonts w:ascii="宋体" w:hAnsi="宋体" w:hint="eastAsia"/>
          <w:bCs/>
          <w:szCs w:val="24"/>
        </w:rPr>
        <w:t>。</w:t>
      </w:r>
    </w:p>
    <w:p w:rsidR="00A11739" w:rsidRDefault="00A11739" w:rsidP="00A11739">
      <w:pPr>
        <w:pStyle w:val="aa"/>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rsidR="00A11739" w:rsidRDefault="00A11739" w:rsidP="00A11739">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A11739" w:rsidRDefault="00A11739" w:rsidP="00A11739">
      <w:pPr>
        <w:pStyle w:val="aa"/>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rsidR="00A11739" w:rsidRDefault="00A11739" w:rsidP="00A11739">
      <w:pPr>
        <w:pStyle w:val="aa"/>
        <w:spacing w:afterLines="0"/>
        <w:ind w:firstLine="480"/>
        <w:rPr>
          <w:rFonts w:ascii="宋体" w:hAnsi="宋体"/>
          <w:szCs w:val="24"/>
        </w:rPr>
      </w:pPr>
      <w:r w:rsidRPr="00A061C6">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rsidR="00A11739" w:rsidRDefault="00A11739" w:rsidP="00A11739">
      <w:pPr>
        <w:pStyle w:val="aa"/>
        <w:spacing w:afterLines="0"/>
        <w:ind w:firstLine="480"/>
        <w:rPr>
          <w:rFonts w:ascii="宋体" w:hAnsi="宋体"/>
          <w:bCs/>
          <w:szCs w:val="24"/>
        </w:rPr>
      </w:pPr>
      <w:r>
        <w:rPr>
          <w:rFonts w:ascii="宋体" w:hAnsi="宋体"/>
          <w:bCs/>
          <w:szCs w:val="24"/>
        </w:rPr>
        <w:t>《基金合同》受中国法律管辖。</w:t>
      </w:r>
    </w:p>
    <w:p w:rsidR="00A11739" w:rsidRDefault="00A11739" w:rsidP="00A11739">
      <w:pPr>
        <w:pStyle w:val="aa"/>
        <w:spacing w:afterLines="0"/>
        <w:ind w:firstLine="482"/>
        <w:rPr>
          <w:rFonts w:ascii="宋体" w:hAnsi="宋体"/>
          <w:szCs w:val="24"/>
        </w:rPr>
      </w:pPr>
      <w:r>
        <w:rPr>
          <w:rFonts w:ascii="宋体" w:hAnsi="宋体"/>
          <w:b/>
          <w:szCs w:val="24"/>
        </w:rPr>
        <w:t>九、基金合同存放地和投资者取得基金合同的方式</w:t>
      </w:r>
    </w:p>
    <w:p w:rsidR="00A11739" w:rsidRDefault="00A11739" w:rsidP="00A11739">
      <w:pPr>
        <w:pStyle w:val="aa"/>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rsidR="00D67793" w:rsidRPr="00A33B26" w:rsidRDefault="00A11739" w:rsidP="00A11739">
      <w:pPr>
        <w:spacing w:line="360" w:lineRule="auto"/>
        <w:ind w:firstLineChars="200" w:firstLine="420"/>
        <w:rPr>
          <w:bCs/>
          <w:sz w:val="24"/>
        </w:rPr>
      </w:pPr>
      <w:r>
        <w:rPr>
          <w:rFonts w:ascii="宋体" w:hAnsi="宋体"/>
          <w:bCs/>
          <w:szCs w:val="24"/>
        </w:rPr>
        <w:t>《基金合同》可印制成册，供投资者在基金管理人、基金托管人、销售机构的办公场所和营业场所查阅</w:t>
      </w:r>
      <w:r w:rsidRPr="00A061C6">
        <w:rPr>
          <w:rFonts w:ascii="宋体" w:hAnsi="宋体" w:hint="eastAsia"/>
          <w:b/>
          <w:bCs/>
          <w:szCs w:val="24"/>
        </w:rPr>
        <w:t>，但应以《基金合同》正本为准</w:t>
      </w:r>
      <w:r>
        <w:rPr>
          <w:rFonts w:ascii="宋体" w:hAnsi="宋体"/>
          <w:bCs/>
          <w:szCs w:val="24"/>
        </w:rPr>
        <w:t>。</w:t>
      </w: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57" w:rsidRDefault="00196D57">
      <w:r>
        <w:separator/>
      </w:r>
    </w:p>
  </w:endnote>
  <w:endnote w:type="continuationSeparator" w:id="0">
    <w:p w:rsidR="00196D57" w:rsidRDefault="0019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F156B4" w:rsidRPr="00F156B4">
          <w:rPr>
            <w:noProof/>
            <w:lang w:val="zh-CN"/>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57" w:rsidRDefault="00196D57">
      <w:r>
        <w:separator/>
      </w:r>
    </w:p>
  </w:footnote>
  <w:footnote w:type="continuationSeparator" w:id="0">
    <w:p w:rsidR="00196D57" w:rsidRDefault="0019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288"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交银施罗德恒益灵活配置混合型证券投资基金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D5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3D3"/>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32E6"/>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6B4"/>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7D124-FAFB-40D8-9842-B392FC0076C2}">
  <ds:schemaRefs>
    <ds:schemaRef ds:uri="http://schemas.openxmlformats.org/officeDocument/2006/bibliography"/>
  </ds:schemaRefs>
</ds:datastoreItem>
</file>

<file path=customXml/itemProps2.xml><?xml version="1.0" encoding="utf-8"?>
<ds:datastoreItem xmlns:ds="http://schemas.openxmlformats.org/officeDocument/2006/customXml" ds:itemID="{0092AE7E-68C9-47DD-8397-D36A0D79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3165</Words>
  <Characters>18043</Characters>
  <Application>Microsoft Office Word</Application>
  <DocSecurity>0</DocSecurity>
  <Lines>150</Lines>
  <Paragraphs>42</Paragraphs>
  <ScaleCrop>false</ScaleCrop>
  <Company>Sky123.Org</Company>
  <LinksUpToDate>false</LinksUpToDate>
  <CharactersWithSpaces>21166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31</cp:revision>
  <dcterms:created xsi:type="dcterms:W3CDTF">2016-10-24T01:15:00Z</dcterms:created>
  <dcterms:modified xsi:type="dcterms:W3CDTF">2017-08-08T06:26:00Z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