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2F" w:rsidRDefault="003E10BC">
      <w:pPr>
        <w:spacing w:line="360" w:lineRule="auto"/>
        <w:jc w:val="center"/>
        <w:rPr>
          <w:b/>
          <w:sz w:val="28"/>
          <w:szCs w:val="28"/>
        </w:rPr>
      </w:pPr>
      <w:r>
        <w:rPr>
          <w:rFonts w:hint="eastAsia"/>
          <w:b/>
          <w:sz w:val="28"/>
          <w:szCs w:val="28"/>
        </w:rPr>
        <w:t>交银</w:t>
      </w:r>
      <w:r>
        <w:rPr>
          <w:b/>
          <w:sz w:val="28"/>
          <w:szCs w:val="28"/>
        </w:rPr>
        <w:t>施罗德基金管理有限公司</w:t>
      </w:r>
      <w:r>
        <w:rPr>
          <w:rFonts w:hint="eastAsia"/>
          <w:b/>
          <w:sz w:val="28"/>
          <w:szCs w:val="28"/>
        </w:rPr>
        <w:t>关于旗下部分</w:t>
      </w:r>
      <w:r>
        <w:rPr>
          <w:b/>
          <w:sz w:val="28"/>
          <w:szCs w:val="28"/>
        </w:rPr>
        <w:t>基金</w:t>
      </w:r>
      <w:r>
        <w:rPr>
          <w:rFonts w:hint="eastAsia"/>
          <w:b/>
          <w:sz w:val="28"/>
          <w:szCs w:val="28"/>
        </w:rPr>
        <w:t>参加华西</w:t>
      </w:r>
      <w:r>
        <w:rPr>
          <w:b/>
          <w:sz w:val="28"/>
          <w:szCs w:val="28"/>
        </w:rPr>
        <w:t>证券股份</w:t>
      </w:r>
      <w:r>
        <w:rPr>
          <w:rFonts w:hint="eastAsia"/>
          <w:b/>
          <w:sz w:val="28"/>
          <w:szCs w:val="28"/>
        </w:rPr>
        <w:t>有</w:t>
      </w:r>
      <w:r>
        <w:rPr>
          <w:b/>
          <w:sz w:val="28"/>
          <w:szCs w:val="28"/>
        </w:rPr>
        <w:t>限公司</w:t>
      </w:r>
      <w:r>
        <w:rPr>
          <w:rFonts w:hint="eastAsia"/>
          <w:b/>
          <w:sz w:val="28"/>
          <w:szCs w:val="28"/>
        </w:rPr>
        <w:t>基金前端申购（</w:t>
      </w:r>
      <w:r>
        <w:rPr>
          <w:b/>
          <w:sz w:val="28"/>
          <w:szCs w:val="28"/>
        </w:rPr>
        <w:t>含定期定额投资</w:t>
      </w:r>
      <w:r>
        <w:rPr>
          <w:rFonts w:hint="eastAsia"/>
          <w:b/>
          <w:sz w:val="28"/>
          <w:szCs w:val="28"/>
        </w:rPr>
        <w:t>业务</w:t>
      </w:r>
      <w:r>
        <w:rPr>
          <w:b/>
          <w:sz w:val="28"/>
          <w:szCs w:val="28"/>
        </w:rPr>
        <w:t>）</w:t>
      </w:r>
      <w:r>
        <w:rPr>
          <w:rFonts w:hint="eastAsia"/>
          <w:b/>
          <w:sz w:val="28"/>
          <w:szCs w:val="28"/>
        </w:rPr>
        <w:t>费率优惠活动</w:t>
      </w:r>
    </w:p>
    <w:p w:rsidR="00343334" w:rsidRDefault="003E10BC">
      <w:pPr>
        <w:spacing w:line="360" w:lineRule="auto"/>
        <w:jc w:val="center"/>
        <w:rPr>
          <w:b/>
          <w:sz w:val="28"/>
          <w:szCs w:val="28"/>
        </w:rPr>
      </w:pPr>
      <w:bookmarkStart w:id="0" w:name="_GoBack"/>
      <w:bookmarkEnd w:id="0"/>
      <w:r>
        <w:rPr>
          <w:rFonts w:hint="eastAsia"/>
          <w:b/>
          <w:sz w:val="28"/>
          <w:szCs w:val="28"/>
        </w:rPr>
        <w:t>的公告</w:t>
      </w:r>
    </w:p>
    <w:p w:rsidR="00343334" w:rsidRDefault="00343334">
      <w:pPr>
        <w:spacing w:line="360" w:lineRule="auto"/>
        <w:ind w:firstLine="420"/>
      </w:pPr>
    </w:p>
    <w:p w:rsidR="00343334" w:rsidRDefault="003E10BC">
      <w:pPr>
        <w:spacing w:line="360" w:lineRule="auto"/>
        <w:ind w:firstLine="420"/>
        <w:rPr>
          <w:sz w:val="24"/>
          <w:szCs w:val="24"/>
        </w:rPr>
      </w:pPr>
      <w:r>
        <w:rPr>
          <w:rFonts w:hint="eastAsia"/>
          <w:sz w:val="24"/>
          <w:szCs w:val="24"/>
        </w:rPr>
        <w:t>为答谢广大客户长期以来给予的信任与支持，更好地服务于基金投资客户，</w:t>
      </w:r>
      <w:r>
        <w:rPr>
          <w:sz w:val="24"/>
          <w:szCs w:val="24"/>
        </w:rPr>
        <w:t>交银施罗德基金管理有限公司（以下简称</w:t>
      </w:r>
      <w:r>
        <w:rPr>
          <w:rFonts w:hint="eastAsia"/>
          <w:sz w:val="24"/>
          <w:szCs w:val="24"/>
        </w:rPr>
        <w:t>“</w:t>
      </w:r>
      <w:r>
        <w:rPr>
          <w:sz w:val="24"/>
          <w:szCs w:val="24"/>
        </w:rPr>
        <w:t>本公司</w:t>
      </w:r>
      <w:r>
        <w:rPr>
          <w:rFonts w:hint="eastAsia"/>
          <w:sz w:val="24"/>
          <w:szCs w:val="24"/>
        </w:rPr>
        <w:t>”</w:t>
      </w:r>
      <w:r>
        <w:rPr>
          <w:sz w:val="24"/>
          <w:szCs w:val="24"/>
        </w:rPr>
        <w:t>）</w:t>
      </w:r>
      <w:r>
        <w:rPr>
          <w:rFonts w:hint="eastAsia"/>
          <w:sz w:val="24"/>
          <w:szCs w:val="24"/>
        </w:rPr>
        <w:t>与华西证券</w:t>
      </w:r>
      <w:r>
        <w:rPr>
          <w:sz w:val="24"/>
          <w:szCs w:val="24"/>
        </w:rPr>
        <w:t>股份</w:t>
      </w:r>
      <w:r>
        <w:rPr>
          <w:rFonts w:hint="eastAsia"/>
          <w:sz w:val="24"/>
          <w:szCs w:val="24"/>
        </w:rPr>
        <w:t>有限</w:t>
      </w:r>
      <w:r>
        <w:rPr>
          <w:sz w:val="24"/>
          <w:szCs w:val="24"/>
        </w:rPr>
        <w:t>公司</w:t>
      </w:r>
      <w:r>
        <w:rPr>
          <w:rFonts w:hint="eastAsia"/>
          <w:sz w:val="24"/>
          <w:szCs w:val="24"/>
        </w:rPr>
        <w:t>（以下简称“华西证券”）协商</w:t>
      </w:r>
      <w:r>
        <w:rPr>
          <w:rFonts w:ascii="Times New Roman" w:hAnsi="Times New Roman" w:cs="Times New Roman" w:hint="eastAsia"/>
          <w:sz w:val="24"/>
          <w:szCs w:val="24"/>
        </w:rPr>
        <w:t>决定，自</w:t>
      </w:r>
      <w:r>
        <w:rPr>
          <w:rFonts w:ascii="Times New Roman" w:hAnsi="Times New Roman" w:cs="Times New Roman"/>
          <w:sz w:val="24"/>
          <w:szCs w:val="24"/>
        </w:rPr>
        <w:t>2017</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sz w:val="24"/>
          <w:szCs w:val="24"/>
        </w:rPr>
        <w:t>2</w:t>
      </w:r>
      <w:r>
        <w:rPr>
          <w:rFonts w:ascii="Times New Roman" w:hAnsi="Times New Roman" w:cs="Times New Roman" w:hint="eastAsia"/>
          <w:sz w:val="24"/>
          <w:szCs w:val="24"/>
        </w:rPr>
        <w:t>1</w:t>
      </w:r>
      <w:r>
        <w:rPr>
          <w:rFonts w:ascii="Times New Roman" w:hAnsi="Times New Roman" w:cs="Times New Roman" w:hint="eastAsia"/>
          <w:sz w:val="24"/>
          <w:szCs w:val="24"/>
        </w:rPr>
        <w:t>日起，</w:t>
      </w:r>
      <w:r>
        <w:rPr>
          <w:rFonts w:hint="eastAsia"/>
          <w:sz w:val="24"/>
          <w:szCs w:val="24"/>
        </w:rPr>
        <w:t>本公司</w:t>
      </w:r>
      <w:r>
        <w:rPr>
          <w:sz w:val="24"/>
          <w:szCs w:val="24"/>
        </w:rPr>
        <w:t>旗下部分基金</w:t>
      </w:r>
      <w:r>
        <w:rPr>
          <w:rFonts w:hint="eastAsia"/>
          <w:sz w:val="24"/>
          <w:szCs w:val="24"/>
        </w:rPr>
        <w:t>参加华西证券电子交易</w:t>
      </w:r>
      <w:r>
        <w:rPr>
          <w:sz w:val="24"/>
          <w:szCs w:val="24"/>
        </w:rPr>
        <w:t>平台和柜台</w:t>
      </w:r>
      <w:r>
        <w:rPr>
          <w:rFonts w:hint="eastAsia"/>
          <w:sz w:val="24"/>
          <w:szCs w:val="24"/>
        </w:rPr>
        <w:t>基金前端申购（含定期</w:t>
      </w:r>
      <w:r>
        <w:rPr>
          <w:sz w:val="24"/>
          <w:szCs w:val="24"/>
        </w:rPr>
        <w:t>定额</w:t>
      </w:r>
      <w:r>
        <w:rPr>
          <w:rFonts w:hint="eastAsia"/>
          <w:sz w:val="24"/>
          <w:szCs w:val="24"/>
        </w:rPr>
        <w:t>投资业务）费率优惠活动。具体情况公告如下：</w:t>
      </w:r>
    </w:p>
    <w:p w:rsidR="00343334" w:rsidRDefault="003E10BC">
      <w:pPr>
        <w:spacing w:line="360" w:lineRule="auto"/>
        <w:rPr>
          <w:sz w:val="24"/>
          <w:szCs w:val="24"/>
        </w:rPr>
      </w:pPr>
      <w:r>
        <w:rPr>
          <w:rFonts w:hint="eastAsia"/>
          <w:sz w:val="24"/>
          <w:szCs w:val="24"/>
        </w:rPr>
        <w:t>一、适用投资者范围</w:t>
      </w:r>
      <w:r>
        <w:rPr>
          <w:sz w:val="24"/>
          <w:szCs w:val="24"/>
        </w:rPr>
        <w:br/>
        <w:t xml:space="preserve">    </w:t>
      </w:r>
      <w:r>
        <w:rPr>
          <w:rFonts w:hint="eastAsia"/>
          <w:sz w:val="24"/>
          <w:szCs w:val="24"/>
        </w:rPr>
        <w:t>本活动适用于依据中华人民共和国有关法律法规和基金合同规定可以投资证券投资基金的合法投资者。</w:t>
      </w:r>
    </w:p>
    <w:p w:rsidR="00343334" w:rsidRDefault="00343334">
      <w:pPr>
        <w:spacing w:line="360" w:lineRule="auto"/>
        <w:rPr>
          <w:sz w:val="24"/>
          <w:szCs w:val="24"/>
        </w:rPr>
      </w:pPr>
    </w:p>
    <w:p w:rsidR="00343334" w:rsidRDefault="003E10BC">
      <w:pPr>
        <w:spacing w:line="360" w:lineRule="auto"/>
        <w:rPr>
          <w:sz w:val="24"/>
          <w:szCs w:val="24"/>
        </w:rPr>
      </w:pPr>
      <w:r>
        <w:rPr>
          <w:rFonts w:hint="eastAsia"/>
          <w:sz w:val="24"/>
          <w:szCs w:val="24"/>
        </w:rPr>
        <w:t>二、适用基金范围</w:t>
      </w:r>
    </w:p>
    <w:tbl>
      <w:tblPr>
        <w:tblW w:w="8286" w:type="dxa"/>
        <w:tblLayout w:type="fixed"/>
        <w:tblCellMar>
          <w:left w:w="0" w:type="dxa"/>
          <w:right w:w="0" w:type="dxa"/>
        </w:tblCellMar>
        <w:tblLook w:val="04A0" w:firstRow="1" w:lastRow="0" w:firstColumn="1" w:lastColumn="0" w:noHBand="0" w:noVBand="1"/>
      </w:tblPr>
      <w:tblGrid>
        <w:gridCol w:w="699"/>
        <w:gridCol w:w="3260"/>
        <w:gridCol w:w="2268"/>
        <w:gridCol w:w="2059"/>
      </w:tblGrid>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序号</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center"/>
              <w:rPr>
                <w:rFonts w:asciiTheme="minorEastAsia" w:hAnsiTheme="minorEastAsia" w:cs="Times New Roman"/>
                <w:sz w:val="24"/>
                <w:szCs w:val="24"/>
              </w:rPr>
            </w:pPr>
            <w:r>
              <w:rPr>
                <w:rFonts w:asciiTheme="minorEastAsia" w:hAnsiTheme="minorEastAsia" w:cs="Times New Roman"/>
                <w:sz w:val="24"/>
                <w:szCs w:val="24"/>
              </w:rPr>
              <w:t>基金名称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center"/>
              <w:rPr>
                <w:rFonts w:asciiTheme="minorEastAsia" w:hAnsiTheme="minorEastAsia" w:cs="Times New Roman"/>
                <w:sz w:val="24"/>
                <w:szCs w:val="24"/>
              </w:rPr>
            </w:pPr>
            <w:r>
              <w:rPr>
                <w:rFonts w:asciiTheme="minorEastAsia" w:hAnsiTheme="minorEastAsia" w:cs="Times New Roman"/>
                <w:sz w:val="24"/>
                <w:szCs w:val="24"/>
              </w:rPr>
              <w:t>简称</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center"/>
              <w:rPr>
                <w:rFonts w:asciiTheme="minorEastAsia" w:hAnsiTheme="minorEastAsia" w:cs="Times New Roman"/>
                <w:sz w:val="24"/>
                <w:szCs w:val="24"/>
              </w:rPr>
            </w:pPr>
            <w:r>
              <w:rPr>
                <w:rFonts w:asciiTheme="minorEastAsia" w:hAnsiTheme="minorEastAsia" w:cs="Times New Roman"/>
                <w:sz w:val="24"/>
                <w:szCs w:val="24"/>
              </w:rPr>
              <w:t>基金代码</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交银施罗德精选混合型证券投资基金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交银精选</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前端519688</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交银施罗德稳健配置混合型证券投资基金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交银稳健</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A类</w:t>
            </w:r>
            <w:r>
              <w:rPr>
                <w:rFonts w:asciiTheme="minorEastAsia" w:hAnsiTheme="minorEastAsia" w:cs="Times New Roman"/>
                <w:sz w:val="24"/>
                <w:szCs w:val="24"/>
              </w:rPr>
              <w:t>前端519690</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交银施罗德成长混合型证券投资基金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交银成长</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w:t>
            </w:r>
            <w:r>
              <w:rPr>
                <w:rFonts w:asciiTheme="minorEastAsia" w:hAnsiTheme="minorEastAsia" w:cs="Times New Roman" w:hint="eastAsia"/>
                <w:sz w:val="24"/>
                <w:szCs w:val="24"/>
              </w:rPr>
              <w:t>类</w:t>
            </w:r>
            <w:r>
              <w:rPr>
                <w:rFonts w:asciiTheme="minorEastAsia" w:hAnsiTheme="minorEastAsia" w:cs="Times New Roman"/>
                <w:sz w:val="24"/>
                <w:szCs w:val="24"/>
              </w:rPr>
              <w:t>前端519692</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交银施罗德蓝筹混合型证券投资基金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交银蓝筹</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前端519694</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交银施罗德增利债券证券投资基金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交银增利</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A类519680</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交银施罗德环球精选价值证券投资基金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交银环球</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519696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交银施罗德优势行业灵活配置混合型证券投资基金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交银行业</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519697</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交银施罗德先锋混合型证券投资基金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交银先锋</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前端519698</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交银施罗德上证180公司治理交易型开放式指数证券投资基金联接基金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交银治理</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前端519686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lastRenderedPageBreak/>
              <w:t>10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交银施罗德主题优选灵活配置混合型证券投资基金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交银主题</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前端519700</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交银施罗德趋势优先混合型证券投资基金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交银趋势</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前端519702</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交银施罗德信用添利债券证券投资基金(LOF)</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交银添利（LOF）</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前端164902</w:t>
            </w:r>
          </w:p>
        </w:tc>
      </w:tr>
      <w:tr w:rsidR="009F695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6954" w:rsidRDefault="009F6954">
            <w:pPr>
              <w:widowControl/>
              <w:jc w:val="left"/>
              <w:rPr>
                <w:rFonts w:asciiTheme="minorEastAsia" w:hAnsiTheme="minorEastAsia" w:cs="Times New Roman"/>
                <w:sz w:val="24"/>
                <w:szCs w:val="24"/>
              </w:rPr>
            </w:pPr>
            <w:r>
              <w:rPr>
                <w:rFonts w:asciiTheme="minorEastAsia" w:hAnsiTheme="minorEastAsia" w:cs="Times New Roman" w:hint="eastAsia"/>
                <w:sz w:val="24"/>
                <w:szCs w:val="24"/>
              </w:rPr>
              <w:t>13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6954" w:rsidRDefault="009F6954">
            <w:pPr>
              <w:widowControl/>
              <w:jc w:val="left"/>
              <w:rPr>
                <w:rFonts w:asciiTheme="minorEastAsia" w:hAnsiTheme="minorEastAsia" w:cs="Times New Roman"/>
                <w:sz w:val="24"/>
                <w:szCs w:val="24"/>
              </w:rPr>
            </w:pPr>
            <w:r w:rsidRPr="009F6954">
              <w:rPr>
                <w:rFonts w:asciiTheme="minorEastAsia" w:hAnsiTheme="minorEastAsia" w:cs="Times New Roman" w:hint="eastAsia"/>
                <w:sz w:val="24"/>
                <w:szCs w:val="24"/>
              </w:rPr>
              <w:t>交银施罗德先进制造混合型证券投资基金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6954" w:rsidRDefault="009F6954">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w:t>
            </w:r>
            <w:r>
              <w:rPr>
                <w:rFonts w:asciiTheme="minorEastAsia" w:hAnsiTheme="minorEastAsia" w:cs="Times New Roman"/>
                <w:sz w:val="24"/>
                <w:szCs w:val="24"/>
              </w:rPr>
              <w:t>制造</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F6954" w:rsidRDefault="009F6954" w:rsidP="009F6954">
            <w:pPr>
              <w:widowControl/>
              <w:jc w:val="left"/>
              <w:rPr>
                <w:rFonts w:asciiTheme="minorEastAsia" w:hAnsiTheme="minorEastAsia" w:cs="Times New Roman"/>
                <w:sz w:val="24"/>
                <w:szCs w:val="24"/>
              </w:rPr>
            </w:pPr>
            <w:r w:rsidRPr="009F6954">
              <w:rPr>
                <w:rFonts w:asciiTheme="minorEastAsia" w:hAnsiTheme="minorEastAsia" w:cs="Times New Roman" w:hint="eastAsia"/>
                <w:sz w:val="24"/>
                <w:szCs w:val="24"/>
              </w:rPr>
              <w:t>前端</w:t>
            </w:r>
            <w:r>
              <w:rPr>
                <w:rFonts w:asciiTheme="minorEastAsia" w:hAnsiTheme="minorEastAsia" w:cs="Times New Roman" w:hint="eastAsia"/>
                <w:sz w:val="24"/>
                <w:szCs w:val="24"/>
              </w:rPr>
              <w:t>519704</w:t>
            </w:r>
            <w:r>
              <w:rPr>
                <w:rFonts w:asciiTheme="minorEastAsia" w:hAnsiTheme="minorEastAsia" w:cs="Times New Roman"/>
                <w:sz w:val="24"/>
                <w:szCs w:val="24"/>
              </w:rPr>
              <w:t xml:space="preserve"> </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交银施罗德双利债券证券投资基金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交银双利</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A类519683</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交银施罗德深证300价值交易型开放式指数证券投资基金联接基金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交银价值</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前端519706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交银施罗德全球自然资源证券投资基金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交银资源</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519709</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交银施罗德策略回报灵活配置混合型证券投资基金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交银策略回报</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519710</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交银施罗德阿尔法核心混合型证券投资基金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交银核心</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前端519712</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19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交银施罗德消费新驱动股票型证券投资基金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交银消费新驱动</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前端519714</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pPr>
              <w:widowControl/>
              <w:jc w:val="left"/>
              <w:rPr>
                <w:rFonts w:asciiTheme="minorEastAsia" w:hAnsiTheme="minorEastAsia" w:cs="Times New Roman"/>
                <w:sz w:val="24"/>
                <w:szCs w:val="24"/>
              </w:rPr>
            </w:pPr>
            <w:r>
              <w:rPr>
                <w:rFonts w:asciiTheme="minorEastAsia" w:hAnsiTheme="minorEastAsia" w:cs="Times New Roman"/>
                <w:sz w:val="24"/>
                <w:szCs w:val="24"/>
              </w:rPr>
              <w:t>20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交银施罗德纯债债券型发起式证券投资基金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交银纯债</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A类519718</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交银施罗德双轮动债券型证券投资基金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交银双轮动</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A类519723</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交银施罗德荣祥保本混合型证券投资基金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交银荣祥保本</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519726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交银施罗德成长30混合型证券投资基金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交银成长30</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前端519727</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交银施罗德定期支付月月丰债券型证券投资基金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交银月月丰</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A类519730</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交银施罗德定期支付双息平衡混合型证券投资基金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交银双息平衡</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519732</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交银施罗德增强收益债券型证券投资基金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w:t>
            </w:r>
            <w:r>
              <w:rPr>
                <w:rFonts w:asciiTheme="minorEastAsia" w:hAnsiTheme="minorEastAsia" w:cs="Times New Roman"/>
                <w:sz w:val="24"/>
                <w:szCs w:val="24"/>
              </w:rPr>
              <w:t>增强收益</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519729</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交银施罗德强化回报债券型证券投资基金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交银强化回报</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A类519733</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交银施罗德新成长混合型证券投资基金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交银新成长</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前端519736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29</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交银施罗德周期回报灵活配置混合型证券投资基金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交银周期回报</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A类前端519738</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pPr>
              <w:widowControl/>
              <w:jc w:val="left"/>
              <w:rPr>
                <w:rFonts w:asciiTheme="minorEastAsia" w:hAnsiTheme="minorEastAsia" w:cs="Times New Roman"/>
                <w:sz w:val="24"/>
                <w:szCs w:val="24"/>
              </w:rPr>
            </w:pPr>
            <w:r>
              <w:rPr>
                <w:rFonts w:asciiTheme="minorEastAsia" w:hAnsiTheme="minorEastAsia" w:cs="Times New Roman"/>
                <w:sz w:val="24"/>
                <w:szCs w:val="24"/>
              </w:rPr>
              <w:t>30</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交银施罗德国证新能源指数分级证券投资基金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交银新能源</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164905</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lastRenderedPageBreak/>
              <w:t>31</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交银施罗德国企改革灵活配置混合型证券投资基金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交银国企改革</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519756</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交银施罗德科技创新灵活配置混合型证券投资基金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交银科技创新</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519767</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交银施罗德数据产业灵活配置混合型证券投资基金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交银数据产业</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sz w:val="24"/>
                <w:szCs w:val="24"/>
              </w:rPr>
              <w:t>519773</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34</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交银施罗德经济新动力混合型证券投资基金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交银经济新动力</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519778</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35</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交银施罗德沪港深价值精选灵活配置混合型证券</w:t>
            </w:r>
            <w:r>
              <w:rPr>
                <w:rFonts w:asciiTheme="minorEastAsia" w:hAnsiTheme="minorEastAsia" w:cs="Times New Roman"/>
                <w:sz w:val="24"/>
                <w:szCs w:val="24"/>
              </w:rPr>
              <w:t>投资</w:t>
            </w:r>
            <w:r>
              <w:rPr>
                <w:rFonts w:asciiTheme="minorEastAsia" w:hAnsiTheme="minorEastAsia" w:cs="Times New Roman" w:hint="eastAsia"/>
                <w:sz w:val="24"/>
                <w:szCs w:val="24"/>
              </w:rPr>
              <w:t>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w:t>
            </w:r>
            <w:r>
              <w:rPr>
                <w:rFonts w:asciiTheme="minorEastAsia" w:hAnsiTheme="minorEastAsia" w:cs="Times New Roman"/>
                <w:sz w:val="24"/>
                <w:szCs w:val="24"/>
              </w:rPr>
              <w:t>沪港深价值精选</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519779</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36</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交银施罗德新生活力灵活配置混合型证券投资基金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w:t>
            </w:r>
            <w:r>
              <w:rPr>
                <w:rFonts w:asciiTheme="minorEastAsia" w:hAnsiTheme="minorEastAsia" w:cs="Times New Roman"/>
                <w:sz w:val="24"/>
                <w:szCs w:val="24"/>
              </w:rPr>
              <w:t>新生活力</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519772</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sz w:val="24"/>
                <w:szCs w:val="24"/>
              </w:rPr>
              <w:t>37</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交银施罗德医药创新股票型证券投资基金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w:t>
            </w:r>
            <w:r>
              <w:rPr>
                <w:rFonts w:asciiTheme="minorEastAsia" w:hAnsiTheme="minorEastAsia" w:cs="Times New Roman"/>
                <w:sz w:val="24"/>
                <w:szCs w:val="24"/>
              </w:rPr>
              <w:t>医药创新</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004075</w:t>
            </w:r>
          </w:p>
        </w:tc>
      </w:tr>
      <w:tr w:rsidR="00343334">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9F6954" w:rsidP="009F6954">
            <w:pPr>
              <w:widowControl/>
              <w:jc w:val="left"/>
              <w:rPr>
                <w:rFonts w:asciiTheme="minorEastAsia" w:hAnsiTheme="minorEastAsia" w:cs="Times New Roman"/>
                <w:sz w:val="24"/>
                <w:szCs w:val="24"/>
              </w:rPr>
            </w:pPr>
            <w:r>
              <w:rPr>
                <w:rFonts w:asciiTheme="minorEastAsia" w:hAnsiTheme="minorEastAsia" w:cs="Times New Roman" w:hint="eastAsia"/>
                <w:sz w:val="24"/>
                <w:szCs w:val="24"/>
              </w:rPr>
              <w:t>3</w:t>
            </w:r>
            <w:r>
              <w:rPr>
                <w:rFonts w:asciiTheme="minorEastAsia" w:hAnsiTheme="minorEastAsia" w:cs="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交银施罗德增利增强债券型证券投资基金</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交银增利增强</w:t>
            </w:r>
          </w:p>
        </w:tc>
        <w:tc>
          <w:tcPr>
            <w:tcW w:w="20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43334" w:rsidRDefault="003E10BC">
            <w:pPr>
              <w:widowControl/>
              <w:jc w:val="left"/>
              <w:rPr>
                <w:rFonts w:asciiTheme="minorEastAsia" w:hAnsiTheme="minorEastAsia" w:cs="Times New Roman"/>
                <w:sz w:val="24"/>
                <w:szCs w:val="24"/>
              </w:rPr>
            </w:pPr>
            <w:r>
              <w:rPr>
                <w:rFonts w:asciiTheme="minorEastAsia" w:hAnsiTheme="minorEastAsia" w:cs="Times New Roman" w:hint="eastAsia"/>
                <w:sz w:val="24"/>
                <w:szCs w:val="24"/>
              </w:rPr>
              <w:t>A类0</w:t>
            </w:r>
            <w:r>
              <w:rPr>
                <w:rFonts w:asciiTheme="minorEastAsia" w:hAnsiTheme="minorEastAsia" w:cs="Times New Roman"/>
                <w:sz w:val="24"/>
                <w:szCs w:val="24"/>
              </w:rPr>
              <w:t>04427</w:t>
            </w:r>
          </w:p>
        </w:tc>
      </w:tr>
    </w:tbl>
    <w:p w:rsidR="00343334" w:rsidRDefault="00343334">
      <w:pPr>
        <w:spacing w:line="360" w:lineRule="auto"/>
        <w:rPr>
          <w:sz w:val="24"/>
          <w:szCs w:val="24"/>
        </w:rPr>
      </w:pPr>
    </w:p>
    <w:p w:rsidR="00343334" w:rsidRDefault="003E10BC">
      <w:pPr>
        <w:spacing w:line="360" w:lineRule="auto"/>
        <w:rPr>
          <w:rFonts w:ascii="Times New Roman" w:hAnsi="Times New Roman" w:cs="Times New Roman"/>
          <w:sz w:val="24"/>
          <w:szCs w:val="24"/>
        </w:rPr>
      </w:pPr>
      <w:r>
        <w:rPr>
          <w:rFonts w:ascii="Times New Roman" w:hAnsi="Times New Roman" w:cs="Times New Roman" w:hint="eastAsia"/>
          <w:sz w:val="24"/>
          <w:szCs w:val="24"/>
        </w:rPr>
        <w:t>三、业务范围</w:t>
      </w:r>
    </w:p>
    <w:p w:rsidR="00343334" w:rsidRDefault="003E10BC">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自</w:t>
      </w:r>
      <w:r>
        <w:rPr>
          <w:rFonts w:ascii="Times New Roman" w:hAnsi="Times New Roman" w:cs="Times New Roman"/>
          <w:sz w:val="24"/>
          <w:szCs w:val="24"/>
        </w:rPr>
        <w:t>2017</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sz w:val="24"/>
          <w:szCs w:val="24"/>
        </w:rPr>
        <w:t>2</w:t>
      </w:r>
      <w:r>
        <w:rPr>
          <w:rFonts w:ascii="Times New Roman" w:hAnsi="Times New Roman" w:cs="Times New Roman" w:hint="eastAsia"/>
          <w:sz w:val="24"/>
          <w:szCs w:val="24"/>
        </w:rPr>
        <w:t>1</w:t>
      </w:r>
      <w:r>
        <w:rPr>
          <w:rFonts w:ascii="Times New Roman" w:hAnsi="Times New Roman" w:cs="Times New Roman" w:hint="eastAsia"/>
          <w:sz w:val="24"/>
          <w:szCs w:val="24"/>
        </w:rPr>
        <w:t>日起，投资者通过华西证券电子交易平台</w:t>
      </w:r>
      <w:r>
        <w:rPr>
          <w:rFonts w:ascii="Times New Roman" w:hAnsi="Times New Roman" w:cs="Times New Roman"/>
          <w:sz w:val="24"/>
          <w:szCs w:val="24"/>
        </w:rPr>
        <w:t>和柜台</w:t>
      </w:r>
      <w:r>
        <w:rPr>
          <w:rFonts w:ascii="Times New Roman" w:hAnsi="Times New Roman" w:cs="Times New Roman" w:hint="eastAsia"/>
          <w:sz w:val="24"/>
          <w:szCs w:val="24"/>
        </w:rPr>
        <w:t>办理本公司上述开放式基金前端收费模式下申购业务</w:t>
      </w:r>
      <w:r>
        <w:rPr>
          <w:rFonts w:ascii="宋体" w:hAnsi="宋体" w:hint="eastAsia"/>
          <w:sz w:val="24"/>
          <w:szCs w:val="24"/>
        </w:rPr>
        <w:t>（</w:t>
      </w:r>
      <w:r>
        <w:rPr>
          <w:rFonts w:ascii="宋体" w:hAnsi="宋体"/>
          <w:sz w:val="24"/>
          <w:szCs w:val="24"/>
        </w:rPr>
        <w:t>含</w:t>
      </w:r>
      <w:r>
        <w:rPr>
          <w:rFonts w:ascii="宋体" w:hAnsi="宋体" w:hint="eastAsia"/>
          <w:sz w:val="24"/>
          <w:szCs w:val="24"/>
        </w:rPr>
        <w:t>定期定额投资业务</w:t>
      </w:r>
      <w:r>
        <w:rPr>
          <w:rFonts w:ascii="宋体" w:hAnsi="宋体"/>
          <w:sz w:val="24"/>
          <w:szCs w:val="24"/>
        </w:rPr>
        <w:t>）</w:t>
      </w:r>
      <w:r>
        <w:rPr>
          <w:rFonts w:ascii="Times New Roman" w:hAnsi="Times New Roman" w:cs="Times New Roman" w:hint="eastAsia"/>
          <w:sz w:val="24"/>
          <w:szCs w:val="24"/>
        </w:rPr>
        <w:t>，其前端申购费率为原费率的</w:t>
      </w:r>
      <w:r>
        <w:rPr>
          <w:rFonts w:ascii="Times New Roman" w:hAnsi="Times New Roman" w:cs="Times New Roman"/>
          <w:sz w:val="24"/>
          <w:szCs w:val="24"/>
        </w:rPr>
        <w:t>1</w:t>
      </w:r>
      <w:r>
        <w:rPr>
          <w:rFonts w:ascii="Times New Roman" w:hAnsi="Times New Roman" w:cs="Times New Roman" w:hint="eastAsia"/>
          <w:sz w:val="24"/>
          <w:szCs w:val="24"/>
        </w:rPr>
        <w:t>折。基金原费率请详见各</w:t>
      </w:r>
      <w:r>
        <w:rPr>
          <w:rFonts w:ascii="Times New Roman" w:hAnsi="Times New Roman" w:cs="Times New Roman"/>
          <w:sz w:val="24"/>
          <w:szCs w:val="24"/>
        </w:rPr>
        <w:t>基金</w:t>
      </w:r>
      <w:r>
        <w:rPr>
          <w:rFonts w:ascii="Times New Roman" w:hAnsi="Times New Roman" w:cs="Times New Roman" w:hint="eastAsia"/>
          <w:sz w:val="24"/>
          <w:szCs w:val="24"/>
        </w:rPr>
        <w:t>招募说明书（更新）等法律文件，以及本公司发布的最新业务公告。</w:t>
      </w:r>
    </w:p>
    <w:p w:rsidR="00343334" w:rsidRDefault="003E10BC">
      <w:pPr>
        <w:spacing w:line="360" w:lineRule="auto"/>
        <w:ind w:firstLine="420"/>
        <w:rPr>
          <w:sz w:val="24"/>
        </w:rPr>
      </w:pPr>
      <w:r>
        <w:rPr>
          <w:rFonts w:ascii="Times New Roman" w:hAnsi="Times New Roman" w:cs="Times New Roman" w:hint="eastAsia"/>
          <w:kern w:val="0"/>
          <w:sz w:val="24"/>
        </w:rPr>
        <w:t>上述费率优惠活动解释权归华西证券所有。优</w:t>
      </w:r>
      <w:r>
        <w:rPr>
          <w:rFonts w:ascii="Times New Roman" w:hAnsi="Times New Roman" w:cs="Times New Roman" w:hint="eastAsia"/>
          <w:sz w:val="24"/>
        </w:rPr>
        <w:t>惠活动期间，业务办理的业务规则和流程以华西证券的安排和规定为准，华西证券</w:t>
      </w:r>
      <w:r>
        <w:rPr>
          <w:rFonts w:ascii="Times New Roman" w:hAnsi="Times New Roman" w:cs="Times New Roman" w:hint="eastAsia"/>
          <w:kern w:val="0"/>
          <w:sz w:val="24"/>
        </w:rPr>
        <w:t>有权不时调整该活动相关规则（包括删减适用基金范围及变更费率优惠安排等）。</w:t>
      </w:r>
      <w:r>
        <w:rPr>
          <w:rFonts w:ascii="Times New Roman" w:hAnsi="Times New Roman" w:cs="Times New Roman" w:hint="eastAsia"/>
          <w:sz w:val="24"/>
        </w:rPr>
        <w:t>相关活动的具体规定如有变化，以华西证券的最新公告为准，</w:t>
      </w:r>
      <w:r>
        <w:rPr>
          <w:rFonts w:ascii="Times New Roman" w:hAnsi="Times New Roman" w:cs="Times New Roman" w:hint="eastAsia"/>
          <w:kern w:val="0"/>
          <w:sz w:val="24"/>
        </w:rPr>
        <w:t>本公司不再另行公告，</w:t>
      </w:r>
      <w:r>
        <w:rPr>
          <w:rFonts w:ascii="Times New Roman" w:hAnsi="Times New Roman" w:cs="Times New Roman" w:hint="eastAsia"/>
          <w:sz w:val="24"/>
        </w:rPr>
        <w:t>敬请投资者关注。</w:t>
      </w:r>
    </w:p>
    <w:p w:rsidR="00343334" w:rsidRDefault="00343334">
      <w:pPr>
        <w:spacing w:line="360" w:lineRule="auto"/>
        <w:rPr>
          <w:sz w:val="24"/>
          <w:szCs w:val="24"/>
        </w:rPr>
      </w:pPr>
    </w:p>
    <w:p w:rsidR="00343334" w:rsidRDefault="003E10BC">
      <w:pPr>
        <w:spacing w:line="360" w:lineRule="auto"/>
        <w:rPr>
          <w:rFonts w:ascii="Times New Roman" w:hAnsi="Times New Roman" w:cs="Times New Roman"/>
          <w:kern w:val="0"/>
          <w:sz w:val="24"/>
        </w:rPr>
      </w:pPr>
      <w:r>
        <w:rPr>
          <w:rFonts w:ascii="Times New Roman" w:hAnsi="Times New Roman" w:cs="Times New Roman" w:hint="eastAsia"/>
          <w:kern w:val="0"/>
          <w:sz w:val="24"/>
        </w:rPr>
        <w:t>四、重要提示</w:t>
      </w:r>
    </w:p>
    <w:p w:rsidR="00343334" w:rsidRDefault="003E10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、本次优惠活动仅针对处于正常申购期的上述基金前端收费模式下申购费率</w:t>
      </w:r>
      <w:r>
        <w:rPr>
          <w:rFonts w:ascii="宋体" w:hAnsi="宋体" w:hint="eastAsia"/>
          <w:sz w:val="24"/>
          <w:szCs w:val="24"/>
        </w:rPr>
        <w:t>（</w:t>
      </w:r>
      <w:r>
        <w:rPr>
          <w:rFonts w:ascii="宋体" w:hAnsi="宋体"/>
          <w:sz w:val="24"/>
          <w:szCs w:val="24"/>
        </w:rPr>
        <w:t>含</w:t>
      </w:r>
      <w:r>
        <w:rPr>
          <w:rFonts w:ascii="宋体" w:hAnsi="宋体" w:hint="eastAsia"/>
          <w:sz w:val="24"/>
          <w:szCs w:val="24"/>
        </w:rPr>
        <w:t>定期定额投资业务费率</w:t>
      </w:r>
      <w:r>
        <w:rPr>
          <w:rFonts w:ascii="宋体" w:hAnsi="宋体"/>
          <w:sz w:val="24"/>
          <w:szCs w:val="24"/>
        </w:rPr>
        <w:t>）</w:t>
      </w:r>
      <w:r>
        <w:rPr>
          <w:rFonts w:ascii="Times New Roman" w:hAnsi="Times New Roman" w:cs="Times New Roman" w:hint="eastAsia"/>
          <w:sz w:val="24"/>
          <w:szCs w:val="24"/>
        </w:rPr>
        <w:t>，不包括转换费率、后端收费模式下的申购费率以及处于基金募集期的开放式基金认购费。</w:t>
      </w:r>
      <w:r>
        <w:rPr>
          <w:rFonts w:ascii="Times New Roman" w:hAnsi="Times New Roman" w:cs="Times New Roman"/>
          <w:sz w:val="24"/>
          <w:szCs w:val="24"/>
        </w:rPr>
        <w:t xml:space="preserve"> </w:t>
      </w:r>
    </w:p>
    <w:p w:rsidR="00343334" w:rsidRDefault="003E10BC">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Pr>
          <w:rFonts w:ascii="Times New Roman" w:hAnsi="Times New Roman" w:cs="Times New Roman" w:hint="eastAsia"/>
          <w:sz w:val="24"/>
          <w:szCs w:val="24"/>
        </w:rPr>
        <w:t>、本公司所管理的其他基金及今后发行的开放式基金是否参与上述优惠活动，将根据具体情况确定并由华西证券或本公司另行发布公告。</w:t>
      </w:r>
    </w:p>
    <w:p w:rsidR="00343334" w:rsidRDefault="003E10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、有关上述费率优惠活动的具体费率折扣及活动起止时间如有变化，敬请</w:t>
      </w:r>
      <w:r>
        <w:rPr>
          <w:rFonts w:ascii="Times New Roman" w:hAnsi="Times New Roman" w:cs="Times New Roman" w:hint="eastAsia"/>
          <w:sz w:val="24"/>
          <w:szCs w:val="24"/>
        </w:rPr>
        <w:lastRenderedPageBreak/>
        <w:t>投资者留意华西证券的有关公告。</w:t>
      </w:r>
    </w:p>
    <w:p w:rsidR="00343334" w:rsidRDefault="003E10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、本公告未涉及的内容仍按相关公告内容执行。</w:t>
      </w:r>
    </w:p>
    <w:p w:rsidR="00343334" w:rsidRDefault="00343334">
      <w:pPr>
        <w:spacing w:line="360" w:lineRule="auto"/>
        <w:ind w:firstLineChars="200" w:firstLine="480"/>
        <w:rPr>
          <w:rFonts w:ascii="Times New Roman" w:hAnsi="Times New Roman" w:cs="Times New Roman"/>
          <w:sz w:val="24"/>
          <w:szCs w:val="24"/>
        </w:rPr>
      </w:pPr>
    </w:p>
    <w:p w:rsidR="00343334" w:rsidRDefault="003E10BC">
      <w:pPr>
        <w:spacing w:line="360" w:lineRule="auto"/>
        <w:rPr>
          <w:sz w:val="24"/>
          <w:szCs w:val="24"/>
        </w:rPr>
      </w:pPr>
      <w:r>
        <w:rPr>
          <w:rFonts w:hint="eastAsia"/>
          <w:sz w:val="24"/>
          <w:szCs w:val="24"/>
        </w:rPr>
        <w:t>五、投资者可通过以下途径咨询有关详情</w:t>
      </w:r>
    </w:p>
    <w:p w:rsidR="00343334" w:rsidRDefault="003E10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、华西证券股份有限</w:t>
      </w:r>
      <w:r>
        <w:rPr>
          <w:rFonts w:ascii="Times New Roman" w:hAnsi="Times New Roman" w:cs="Times New Roman"/>
          <w:sz w:val="24"/>
          <w:szCs w:val="24"/>
        </w:rPr>
        <w:t>公司</w:t>
      </w:r>
    </w:p>
    <w:p w:rsidR="00343334" w:rsidRDefault="003E10BC">
      <w:pPr>
        <w:spacing w:line="360" w:lineRule="auto"/>
        <w:ind w:firstLineChars="350" w:firstLine="840"/>
        <w:rPr>
          <w:rFonts w:ascii="Times New Roman" w:hAnsi="Times New Roman" w:cs="Times New Roman"/>
          <w:sz w:val="24"/>
          <w:szCs w:val="24"/>
        </w:rPr>
      </w:pPr>
      <w:r>
        <w:rPr>
          <w:rFonts w:ascii="Times New Roman" w:hAnsi="Times New Roman" w:cs="Times New Roman" w:hint="eastAsia"/>
          <w:sz w:val="24"/>
          <w:szCs w:val="24"/>
        </w:rPr>
        <w:t>客户服务电话：</w:t>
      </w:r>
      <w:r>
        <w:rPr>
          <w:rFonts w:ascii="Times New Roman" w:hAnsi="Times New Roman" w:cs="Times New Roman"/>
          <w:sz w:val="24"/>
          <w:szCs w:val="24"/>
        </w:rPr>
        <w:t>95584</w:t>
      </w:r>
    </w:p>
    <w:p w:rsidR="00343334" w:rsidRDefault="003E10BC">
      <w:pPr>
        <w:spacing w:line="360" w:lineRule="auto"/>
        <w:ind w:firstLineChars="350" w:firstLine="840"/>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www.hx168.com.cn</w:t>
      </w:r>
    </w:p>
    <w:p w:rsidR="00343334" w:rsidRDefault="003E10BC">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、交银施罗德基金管理有限公司</w:t>
      </w:r>
    </w:p>
    <w:p w:rsidR="00343334" w:rsidRDefault="003E10BC">
      <w:pPr>
        <w:spacing w:line="360" w:lineRule="auto"/>
        <w:ind w:firstLineChars="350" w:firstLine="840"/>
        <w:rPr>
          <w:rFonts w:ascii="Times New Roman" w:hAnsi="Times New Roman" w:cs="Times New Roman"/>
          <w:sz w:val="24"/>
          <w:szCs w:val="24"/>
        </w:rPr>
      </w:pPr>
      <w:r>
        <w:rPr>
          <w:rFonts w:ascii="Times New Roman" w:hAnsi="Times New Roman" w:cs="Times New Roman" w:hint="eastAsia"/>
          <w:sz w:val="24"/>
          <w:szCs w:val="24"/>
        </w:rPr>
        <w:t>客户服务电话：</w:t>
      </w:r>
      <w:r>
        <w:rPr>
          <w:rFonts w:ascii="Times New Roman" w:hAnsi="Times New Roman" w:cs="Times New Roman"/>
          <w:sz w:val="24"/>
          <w:szCs w:val="24"/>
        </w:rPr>
        <w:t>400-700-5000</w:t>
      </w:r>
      <w:r>
        <w:rPr>
          <w:rFonts w:ascii="Times New Roman" w:hAnsi="Times New Roman" w:cs="Times New Roman" w:hint="eastAsia"/>
          <w:sz w:val="24"/>
          <w:szCs w:val="24"/>
        </w:rPr>
        <w:t>（免长途话费），（</w:t>
      </w:r>
      <w:r>
        <w:rPr>
          <w:rFonts w:ascii="Times New Roman" w:hAnsi="Times New Roman" w:cs="Times New Roman"/>
          <w:sz w:val="24"/>
          <w:szCs w:val="24"/>
        </w:rPr>
        <w:t>021</w:t>
      </w:r>
      <w:r>
        <w:rPr>
          <w:rFonts w:ascii="Times New Roman" w:hAnsi="Times New Roman" w:cs="Times New Roman" w:hint="eastAsia"/>
          <w:sz w:val="24"/>
          <w:szCs w:val="24"/>
        </w:rPr>
        <w:t>）</w:t>
      </w:r>
      <w:r>
        <w:rPr>
          <w:rFonts w:ascii="Times New Roman" w:hAnsi="Times New Roman" w:cs="Times New Roman"/>
          <w:sz w:val="24"/>
          <w:szCs w:val="24"/>
        </w:rPr>
        <w:t>61055000</w:t>
      </w:r>
    </w:p>
    <w:p w:rsidR="00343334" w:rsidRDefault="003E10BC">
      <w:pPr>
        <w:spacing w:line="360" w:lineRule="auto"/>
        <w:ind w:firstLineChars="350" w:firstLine="840"/>
        <w:rPr>
          <w:rFonts w:ascii="Times New Roman" w:hAnsi="Times New Roman" w:cs="Times New Roman"/>
          <w:sz w:val="24"/>
          <w:szCs w:val="24"/>
        </w:rPr>
      </w:pPr>
      <w:r>
        <w:rPr>
          <w:rFonts w:ascii="Times New Roman" w:hAnsi="Times New Roman" w:cs="Times New Roman" w:hint="eastAsia"/>
          <w:sz w:val="24"/>
          <w:szCs w:val="24"/>
        </w:rPr>
        <w:t>网址：</w:t>
      </w:r>
      <w:r>
        <w:rPr>
          <w:rFonts w:ascii="Times New Roman" w:hAnsi="Times New Roman" w:cs="Times New Roman"/>
          <w:sz w:val="24"/>
          <w:szCs w:val="24"/>
        </w:rPr>
        <w:t>www.fund001.com</w:t>
      </w:r>
      <w:r>
        <w:rPr>
          <w:rFonts w:ascii="Times New Roman" w:hAnsi="Times New Roman" w:cs="Times New Roman" w:hint="eastAsia"/>
          <w:sz w:val="24"/>
          <w:szCs w:val="24"/>
        </w:rPr>
        <w:t>，</w:t>
      </w:r>
      <w:r>
        <w:rPr>
          <w:rFonts w:ascii="Times New Roman" w:hAnsi="Times New Roman" w:cs="Times New Roman"/>
          <w:sz w:val="24"/>
          <w:szCs w:val="24"/>
        </w:rPr>
        <w:t>www.bocomschroder.com</w:t>
      </w:r>
    </w:p>
    <w:p w:rsidR="00343334" w:rsidRDefault="00343334">
      <w:pPr>
        <w:spacing w:line="360" w:lineRule="auto"/>
        <w:rPr>
          <w:sz w:val="24"/>
          <w:szCs w:val="24"/>
        </w:rPr>
      </w:pPr>
    </w:p>
    <w:p w:rsidR="00343334" w:rsidRDefault="003E10BC">
      <w:pPr>
        <w:spacing w:line="360" w:lineRule="auto"/>
        <w:rPr>
          <w:sz w:val="24"/>
          <w:szCs w:val="24"/>
        </w:rPr>
      </w:pPr>
      <w:r>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343334" w:rsidRDefault="003E10BC">
      <w:pPr>
        <w:spacing w:line="360" w:lineRule="auto"/>
        <w:rPr>
          <w:sz w:val="24"/>
          <w:szCs w:val="24"/>
        </w:rPr>
      </w:pPr>
      <w:r>
        <w:rPr>
          <w:sz w:val="24"/>
          <w:szCs w:val="24"/>
        </w:rPr>
        <w:t>特此公告。</w:t>
      </w:r>
    </w:p>
    <w:p w:rsidR="00343334" w:rsidRDefault="00343334">
      <w:pPr>
        <w:spacing w:line="360" w:lineRule="auto"/>
        <w:rPr>
          <w:sz w:val="24"/>
          <w:szCs w:val="24"/>
        </w:rPr>
      </w:pPr>
    </w:p>
    <w:p w:rsidR="00343334" w:rsidRDefault="00343334">
      <w:pPr>
        <w:spacing w:line="360" w:lineRule="auto"/>
        <w:rPr>
          <w:sz w:val="24"/>
          <w:szCs w:val="24"/>
        </w:rPr>
      </w:pPr>
    </w:p>
    <w:p w:rsidR="00343334" w:rsidRDefault="003E10BC">
      <w:pPr>
        <w:spacing w:line="360" w:lineRule="auto"/>
        <w:jc w:val="right"/>
        <w:rPr>
          <w:sz w:val="24"/>
          <w:szCs w:val="24"/>
        </w:rPr>
      </w:pPr>
      <w:r>
        <w:rPr>
          <w:sz w:val="24"/>
          <w:szCs w:val="24"/>
        </w:rPr>
        <w:t>交银施罗德基金管理有限公司</w:t>
      </w:r>
    </w:p>
    <w:p w:rsidR="00343334" w:rsidRDefault="00A6250F">
      <w:pPr>
        <w:spacing w:line="360" w:lineRule="auto"/>
        <w:jc w:val="right"/>
        <w:rPr>
          <w:sz w:val="24"/>
          <w:szCs w:val="24"/>
        </w:rPr>
      </w:pPr>
      <w:r w:rsidRPr="00A6250F">
        <w:rPr>
          <w:rFonts w:hint="eastAsia"/>
          <w:sz w:val="24"/>
          <w:szCs w:val="24"/>
        </w:rPr>
        <w:t>二〇一七年七月二十一日</w:t>
      </w:r>
    </w:p>
    <w:p w:rsidR="00343334" w:rsidRDefault="00343334">
      <w:pPr>
        <w:spacing w:line="360" w:lineRule="auto"/>
      </w:pPr>
    </w:p>
    <w:sectPr w:rsidR="003433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91" w:rsidRDefault="00FC0F91" w:rsidP="009F6954">
      <w:r>
        <w:separator/>
      </w:r>
    </w:p>
  </w:endnote>
  <w:endnote w:type="continuationSeparator" w:id="0">
    <w:p w:rsidR="00FC0F91" w:rsidRDefault="00FC0F91" w:rsidP="009F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91" w:rsidRDefault="00FC0F91" w:rsidP="009F6954">
      <w:r>
        <w:separator/>
      </w:r>
    </w:p>
  </w:footnote>
  <w:footnote w:type="continuationSeparator" w:id="0">
    <w:p w:rsidR="00FC0F91" w:rsidRDefault="00FC0F91" w:rsidP="009F6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17DD"/>
    <w:rsid w:val="00003D43"/>
    <w:rsid w:val="00020B52"/>
    <w:rsid w:val="00037279"/>
    <w:rsid w:val="000448BD"/>
    <w:rsid w:val="00047E11"/>
    <w:rsid w:val="00055597"/>
    <w:rsid w:val="00062293"/>
    <w:rsid w:val="00075C1A"/>
    <w:rsid w:val="000A6FE9"/>
    <w:rsid w:val="000C1662"/>
    <w:rsid w:val="000D2C31"/>
    <w:rsid w:val="000E06B1"/>
    <w:rsid w:val="00107542"/>
    <w:rsid w:val="00114E6A"/>
    <w:rsid w:val="00136809"/>
    <w:rsid w:val="0017715D"/>
    <w:rsid w:val="00180E5B"/>
    <w:rsid w:val="001C2657"/>
    <w:rsid w:val="001C33B9"/>
    <w:rsid w:val="001D1974"/>
    <w:rsid w:val="001D26F3"/>
    <w:rsid w:val="001D47B4"/>
    <w:rsid w:val="001F2AAE"/>
    <w:rsid w:val="00227CF3"/>
    <w:rsid w:val="00244065"/>
    <w:rsid w:val="0025486B"/>
    <w:rsid w:val="002652B0"/>
    <w:rsid w:val="00266B13"/>
    <w:rsid w:val="00266D04"/>
    <w:rsid w:val="0029058F"/>
    <w:rsid w:val="00343334"/>
    <w:rsid w:val="00354C8D"/>
    <w:rsid w:val="003714E5"/>
    <w:rsid w:val="003825B6"/>
    <w:rsid w:val="003831BA"/>
    <w:rsid w:val="003B541F"/>
    <w:rsid w:val="003D74B9"/>
    <w:rsid w:val="003E10BC"/>
    <w:rsid w:val="0040510C"/>
    <w:rsid w:val="004327BC"/>
    <w:rsid w:val="00446917"/>
    <w:rsid w:val="004561AB"/>
    <w:rsid w:val="00487987"/>
    <w:rsid w:val="004A65D1"/>
    <w:rsid w:val="004C198F"/>
    <w:rsid w:val="004D04B0"/>
    <w:rsid w:val="00536047"/>
    <w:rsid w:val="00543FBA"/>
    <w:rsid w:val="0054609D"/>
    <w:rsid w:val="0058179E"/>
    <w:rsid w:val="005D3245"/>
    <w:rsid w:val="00601177"/>
    <w:rsid w:val="00601E9F"/>
    <w:rsid w:val="006568E2"/>
    <w:rsid w:val="0068053E"/>
    <w:rsid w:val="00694F55"/>
    <w:rsid w:val="006A0C9E"/>
    <w:rsid w:val="006A7EBE"/>
    <w:rsid w:val="006C3E86"/>
    <w:rsid w:val="006C47A7"/>
    <w:rsid w:val="006D6DBD"/>
    <w:rsid w:val="006D7090"/>
    <w:rsid w:val="00704CAB"/>
    <w:rsid w:val="00734075"/>
    <w:rsid w:val="007362D5"/>
    <w:rsid w:val="00745BC5"/>
    <w:rsid w:val="007678D2"/>
    <w:rsid w:val="00773D9F"/>
    <w:rsid w:val="00796746"/>
    <w:rsid w:val="007A228B"/>
    <w:rsid w:val="007B2B19"/>
    <w:rsid w:val="007C7959"/>
    <w:rsid w:val="007F2EE8"/>
    <w:rsid w:val="007F4016"/>
    <w:rsid w:val="00807584"/>
    <w:rsid w:val="00813F20"/>
    <w:rsid w:val="0082479B"/>
    <w:rsid w:val="0082612A"/>
    <w:rsid w:val="00834E0A"/>
    <w:rsid w:val="00836436"/>
    <w:rsid w:val="008C0358"/>
    <w:rsid w:val="008F4D69"/>
    <w:rsid w:val="00930E2C"/>
    <w:rsid w:val="00935D0C"/>
    <w:rsid w:val="00952889"/>
    <w:rsid w:val="009648ED"/>
    <w:rsid w:val="009762EE"/>
    <w:rsid w:val="00986FC9"/>
    <w:rsid w:val="009A0A23"/>
    <w:rsid w:val="009A7BF6"/>
    <w:rsid w:val="009B7B68"/>
    <w:rsid w:val="009F2B8D"/>
    <w:rsid w:val="009F2E50"/>
    <w:rsid w:val="009F6954"/>
    <w:rsid w:val="00A171F4"/>
    <w:rsid w:val="00A40AAB"/>
    <w:rsid w:val="00A60C4B"/>
    <w:rsid w:val="00A6250F"/>
    <w:rsid w:val="00A66D8C"/>
    <w:rsid w:val="00A66DA7"/>
    <w:rsid w:val="00AE4B51"/>
    <w:rsid w:val="00B04D86"/>
    <w:rsid w:val="00B1038A"/>
    <w:rsid w:val="00B13DBF"/>
    <w:rsid w:val="00B2401E"/>
    <w:rsid w:val="00B2473C"/>
    <w:rsid w:val="00B24F25"/>
    <w:rsid w:val="00B33CB4"/>
    <w:rsid w:val="00B41A69"/>
    <w:rsid w:val="00B60083"/>
    <w:rsid w:val="00BA4C0A"/>
    <w:rsid w:val="00BD206A"/>
    <w:rsid w:val="00BF5A61"/>
    <w:rsid w:val="00C14470"/>
    <w:rsid w:val="00C209C2"/>
    <w:rsid w:val="00C2225D"/>
    <w:rsid w:val="00CA6E65"/>
    <w:rsid w:val="00CD7BF2"/>
    <w:rsid w:val="00CE76B2"/>
    <w:rsid w:val="00CF65D4"/>
    <w:rsid w:val="00CF7636"/>
    <w:rsid w:val="00D12350"/>
    <w:rsid w:val="00D43CCE"/>
    <w:rsid w:val="00D56751"/>
    <w:rsid w:val="00D61948"/>
    <w:rsid w:val="00D94802"/>
    <w:rsid w:val="00DA3DAA"/>
    <w:rsid w:val="00DB21D1"/>
    <w:rsid w:val="00DC69D2"/>
    <w:rsid w:val="00E141C3"/>
    <w:rsid w:val="00E230A1"/>
    <w:rsid w:val="00E270C7"/>
    <w:rsid w:val="00E70849"/>
    <w:rsid w:val="00EC3B2F"/>
    <w:rsid w:val="00EC6B71"/>
    <w:rsid w:val="00EF66ED"/>
    <w:rsid w:val="00F039F5"/>
    <w:rsid w:val="00F272C6"/>
    <w:rsid w:val="00F51CE3"/>
    <w:rsid w:val="00F67EAA"/>
    <w:rsid w:val="00F824B1"/>
    <w:rsid w:val="00F8647F"/>
    <w:rsid w:val="00F95F3E"/>
    <w:rsid w:val="00FB2380"/>
    <w:rsid w:val="00FB2472"/>
    <w:rsid w:val="00FC0F91"/>
    <w:rsid w:val="00FD54E3"/>
    <w:rsid w:val="00FF4F16"/>
    <w:rsid w:val="044C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FD5734-4F1C-4F63-AB98-682C2664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basedOn w:val="a0"/>
    <w:uiPriority w:val="99"/>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unhideWhenUsed/>
    <w:qFormat/>
    <w:rPr>
      <w:sz w:val="21"/>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paragraph" w:customStyle="1" w:styleId="1">
    <w:name w:val="修订1"/>
    <w:hidden/>
    <w:uiPriority w:val="99"/>
    <w:semiHidden/>
    <w:qFormat/>
    <w:rPr>
      <w:kern w:val="2"/>
      <w:sz w:val="21"/>
      <w:szCs w:val="22"/>
    </w:rPr>
  </w:style>
  <w:style w:type="character" w:customStyle="1" w:styleId="Char1">
    <w:name w:val="批注框文本 Char"/>
    <w:basedOn w:val="a0"/>
    <w:link w:val="a5"/>
    <w:uiPriority w:val="99"/>
    <w:semiHidden/>
    <w:qFormat/>
    <w:rPr>
      <w:sz w:val="18"/>
      <w:szCs w:val="18"/>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田欢</dc:creator>
  <cp:lastModifiedBy>许帆</cp:lastModifiedBy>
  <cp:revision>8</cp:revision>
  <cp:lastPrinted>2017-06-07T02:18:00Z</cp:lastPrinted>
  <dcterms:created xsi:type="dcterms:W3CDTF">2017-07-12T01:37:00Z</dcterms:created>
  <dcterms:modified xsi:type="dcterms:W3CDTF">2017-07-19T09:58:00Z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