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交银施罗德瑞利定期开放灵活配置混合型证券投资基金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2</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6</w:t>
      </w:r>
      <w:r w:rsidRPr="0081286B">
        <w:rPr>
          <w:b/>
          <w:sz w:val="36"/>
          <w:szCs w:val="36"/>
        </w:rPr>
        <w:t>月</w:t>
      </w:r>
      <w:r w:rsidRPr="0081286B">
        <w:rPr>
          <w:b/>
          <w:sz w:val="36"/>
          <w:szCs w:val="36"/>
        </w:rPr>
        <w:t>30</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基金托管人：招商银行股份有限公司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二〇一七年七月二十日</w:t>
      </w:r>
    </w:p>
    <w:p w:rsidR="004061AC" w:rsidRPr="00414345" w:rsidRDefault="004061AC" w:rsidP="00F42D9F">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123F2F" w:rsidRDefault="00392244">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123F2F" w:rsidRDefault="00392244">
      <w:pPr>
        <w:spacing w:before="29" w:line="288" w:lineRule="auto"/>
        <w:ind w:firstLineChars="200" w:firstLine="480"/>
        <w:rPr>
          <w:color w:val="000000"/>
          <w:sz w:val="24"/>
          <w:szCs w:val="24"/>
        </w:rPr>
      </w:pPr>
      <w:r>
        <w:rPr>
          <w:color w:val="000000"/>
          <w:sz w:val="24"/>
          <w:szCs w:val="24"/>
        </w:rPr>
        <w:t>基金托管人招商银行股份有限公司根据本基金合同规定，于</w:t>
      </w:r>
      <w:r>
        <w:rPr>
          <w:color w:val="000000"/>
          <w:sz w:val="24"/>
          <w:szCs w:val="24"/>
        </w:rPr>
        <w:t>2017</w:t>
      </w:r>
      <w:r>
        <w:rPr>
          <w:color w:val="000000"/>
          <w:sz w:val="24"/>
          <w:szCs w:val="24"/>
        </w:rPr>
        <w:t>年</w:t>
      </w:r>
      <w:r>
        <w:rPr>
          <w:color w:val="000000"/>
          <w:sz w:val="24"/>
          <w:szCs w:val="24"/>
        </w:rPr>
        <w:t>7</w:t>
      </w:r>
      <w:r>
        <w:rPr>
          <w:color w:val="000000"/>
          <w:sz w:val="24"/>
          <w:szCs w:val="24"/>
        </w:rPr>
        <w:t>月</w:t>
      </w:r>
      <w:r>
        <w:rPr>
          <w:color w:val="000000"/>
          <w:sz w:val="24"/>
          <w:szCs w:val="24"/>
        </w:rPr>
        <w:t>19</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123F2F" w:rsidRDefault="00392244">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123F2F" w:rsidRDefault="00392244">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123F2F" w:rsidRDefault="00392244">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F42D9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交银瑞利定期开放灵活配置混合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004064</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004064</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2017</w:t>
            </w:r>
            <w:r w:rsidRPr="00414345">
              <w:rPr>
                <w:color w:val="000000"/>
                <w:kern w:val="0"/>
                <w:sz w:val="24"/>
                <w:szCs w:val="24"/>
              </w:rPr>
              <w:t>年</w:t>
            </w:r>
            <w:r w:rsidRPr="00414345">
              <w:rPr>
                <w:color w:val="000000"/>
                <w:kern w:val="0"/>
                <w:sz w:val="24"/>
                <w:szCs w:val="24"/>
              </w:rPr>
              <w:t>2</w:t>
            </w:r>
            <w:r w:rsidRPr="00414345">
              <w:rPr>
                <w:color w:val="000000"/>
                <w:kern w:val="0"/>
                <w:sz w:val="24"/>
                <w:szCs w:val="24"/>
              </w:rPr>
              <w:t>月</w:t>
            </w:r>
            <w:r w:rsidRPr="00414345">
              <w:rPr>
                <w:color w:val="000000"/>
                <w:kern w:val="0"/>
                <w:sz w:val="24"/>
                <w:szCs w:val="24"/>
              </w:rPr>
              <w:t>24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600,035,771.87</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本基金在控制风险的前提下，力争为投资者提供长期稳健的投资回报。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在保持总体风险水平相对稳定的基础上，力争获取投资组合的较高回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50%×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+50%×</w:t>
            </w:r>
            <w:r w:rsidRPr="00414345">
              <w:rPr>
                <w:color w:val="000000"/>
                <w:kern w:val="0"/>
                <w:sz w:val="24"/>
                <w:szCs w:val="24"/>
              </w:rPr>
              <w:t>中债综合全价指数收益率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w:t>
            </w:r>
            <w:r w:rsidRPr="00414345">
              <w:rPr>
                <w:color w:val="000000"/>
                <w:kern w:val="0"/>
                <w:sz w:val="24"/>
                <w:szCs w:val="24"/>
              </w:rPr>
              <w:lastRenderedPageBreak/>
              <w:t>券型基金和货币市场基金，低于股票型基金，属于承担较高风险、预期收益较高的证券投资基金品种。</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招商银行股份有限公司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F42D9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283920" w:rsidRPr="00414345" w:rsidTr="00283920">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4</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w:t>
            </w:r>
            <w:r w:rsidRPr="00414345">
              <w:rPr>
                <w:color w:val="000000"/>
                <w:sz w:val="24"/>
                <w:szCs w:val="24"/>
              </w:rPr>
              <w:t>)</w:t>
            </w:r>
          </w:p>
        </w:tc>
      </w:tr>
      <w:tr w:rsidR="00283920" w:rsidRPr="00414345" w:rsidTr="0028392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7,003,730.08</w:t>
            </w:r>
          </w:p>
        </w:tc>
      </w:tr>
      <w:tr w:rsidR="00283920" w:rsidRPr="00414345" w:rsidTr="0028392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21,175,110.07</w:t>
            </w:r>
          </w:p>
        </w:tc>
      </w:tr>
      <w:tr w:rsidR="00283920" w:rsidRPr="00414345" w:rsidTr="0028392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0.0353</w:t>
            </w:r>
          </w:p>
        </w:tc>
      </w:tr>
      <w:tr w:rsidR="00283920" w:rsidRPr="00414345" w:rsidTr="00283920">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625,648,474.22</w:t>
            </w:r>
          </w:p>
        </w:tc>
      </w:tr>
      <w:tr w:rsidR="00283920" w:rsidRPr="00414345" w:rsidTr="00283920">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1.0427</w:t>
            </w:r>
          </w:p>
        </w:tc>
      </w:tr>
    </w:tbl>
    <w:p w:rsidR="00123F2F" w:rsidRDefault="0039224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283920" w:rsidP="00C15CAC">
      <w:pPr>
        <w:autoSpaceDE w:val="0"/>
        <w:autoSpaceDN w:val="0"/>
        <w:adjustRightInd w:val="0"/>
        <w:spacing w:before="29" w:line="288" w:lineRule="auto"/>
        <w:jc w:val="left"/>
        <w:rPr>
          <w:color w:val="000000"/>
          <w:sz w:val="24"/>
          <w:szCs w:val="24"/>
        </w:rPr>
      </w:pPr>
      <w:r>
        <w:rPr>
          <w:rFonts w:hint="eastAsia"/>
          <w:color w:val="000000"/>
          <w:sz w:val="24"/>
          <w:szCs w:val="24"/>
        </w:rPr>
        <w:t xml:space="preserve">    </w:t>
      </w:r>
      <w:r w:rsidR="004061AC" w:rsidRPr="00414345">
        <w:rPr>
          <w:color w:val="000000"/>
          <w:sz w:val="24"/>
          <w:szCs w:val="24"/>
        </w:rPr>
        <w:t>2</w:t>
      </w:r>
      <w:r w:rsidR="004061AC"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083"/>
        <w:gridCol w:w="1009"/>
      </w:tblGrid>
      <w:tr w:rsidR="00EF6FA5" w:rsidRPr="00414345" w:rsidTr="00C43A79">
        <w:trPr>
          <w:jc w:val="center"/>
        </w:trPr>
        <w:tc>
          <w:tcPr>
            <w:tcW w:w="1701" w:type="dxa"/>
            <w:tcBorders>
              <w:bottom w:val="single" w:sz="4" w:space="0" w:color="auto"/>
            </w:tcBorders>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1045" w:type="dxa"/>
            <w:tcBorders>
              <w:bottom w:val="single" w:sz="4" w:space="0" w:color="auto"/>
            </w:tcBorders>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344" w:type="dxa"/>
            <w:tcBorders>
              <w:bottom w:val="single" w:sz="4" w:space="0" w:color="auto"/>
            </w:tcBorders>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94" w:type="dxa"/>
            <w:tcBorders>
              <w:bottom w:val="single" w:sz="4" w:space="0" w:color="auto"/>
            </w:tcBorders>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92" w:type="dxa"/>
            <w:tcBorders>
              <w:bottom w:val="single" w:sz="4" w:space="0" w:color="auto"/>
            </w:tcBorders>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083" w:type="dxa"/>
            <w:tcBorders>
              <w:bottom w:val="single" w:sz="4" w:space="0" w:color="auto"/>
            </w:tcBorders>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1009" w:type="dxa"/>
            <w:tcBorders>
              <w:bottom w:val="single" w:sz="4" w:space="0" w:color="auto"/>
            </w:tcBorders>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123F2F" w:rsidTr="00C43A79">
        <w:trPr>
          <w:jc w:val="center"/>
        </w:trPr>
        <w:tc>
          <w:tcPr>
            <w:tcW w:w="1701" w:type="dxa"/>
            <w:tcBorders>
              <w:bottom w:val="single" w:sz="4" w:space="0" w:color="auto"/>
            </w:tcBorders>
            <w:vAlign w:val="center"/>
          </w:tcPr>
          <w:p w:rsidR="00123F2F" w:rsidRDefault="00392244">
            <w:pPr>
              <w:jc w:val="left"/>
            </w:pPr>
            <w:r>
              <w:rPr>
                <w:color w:val="000000"/>
                <w:sz w:val="24"/>
                <w:szCs w:val="24"/>
              </w:rPr>
              <w:t>过去三个月</w:t>
            </w:r>
          </w:p>
        </w:tc>
        <w:tc>
          <w:tcPr>
            <w:tcW w:w="1045" w:type="dxa"/>
            <w:tcBorders>
              <w:bottom w:val="single" w:sz="4" w:space="0" w:color="auto"/>
            </w:tcBorders>
            <w:vAlign w:val="center"/>
          </w:tcPr>
          <w:p w:rsidR="00123F2F" w:rsidRDefault="00392244">
            <w:pPr>
              <w:jc w:val="center"/>
            </w:pPr>
            <w:r>
              <w:rPr>
                <w:color w:val="000000"/>
                <w:sz w:val="24"/>
                <w:szCs w:val="24"/>
              </w:rPr>
              <w:t>3.50%</w:t>
            </w:r>
          </w:p>
        </w:tc>
        <w:tc>
          <w:tcPr>
            <w:tcW w:w="1344" w:type="dxa"/>
            <w:tcBorders>
              <w:bottom w:val="single" w:sz="4" w:space="0" w:color="auto"/>
            </w:tcBorders>
            <w:vAlign w:val="center"/>
          </w:tcPr>
          <w:p w:rsidR="00123F2F" w:rsidRDefault="00392244">
            <w:pPr>
              <w:jc w:val="center"/>
            </w:pPr>
            <w:r>
              <w:rPr>
                <w:color w:val="000000"/>
                <w:sz w:val="24"/>
                <w:szCs w:val="24"/>
              </w:rPr>
              <w:t>0.20%</w:t>
            </w:r>
          </w:p>
        </w:tc>
        <w:tc>
          <w:tcPr>
            <w:tcW w:w="1194" w:type="dxa"/>
            <w:tcBorders>
              <w:bottom w:val="single" w:sz="4" w:space="0" w:color="auto"/>
            </w:tcBorders>
            <w:vAlign w:val="center"/>
          </w:tcPr>
          <w:p w:rsidR="00123F2F" w:rsidRDefault="00392244">
            <w:pPr>
              <w:jc w:val="center"/>
            </w:pPr>
            <w:r>
              <w:rPr>
                <w:color w:val="000000"/>
                <w:sz w:val="24"/>
                <w:szCs w:val="24"/>
              </w:rPr>
              <w:t>2.58%</w:t>
            </w:r>
          </w:p>
        </w:tc>
        <w:tc>
          <w:tcPr>
            <w:tcW w:w="1492" w:type="dxa"/>
            <w:tcBorders>
              <w:bottom w:val="single" w:sz="4" w:space="0" w:color="auto"/>
            </w:tcBorders>
            <w:vAlign w:val="center"/>
          </w:tcPr>
          <w:p w:rsidR="00123F2F" w:rsidRDefault="00392244">
            <w:pPr>
              <w:jc w:val="center"/>
            </w:pPr>
            <w:r>
              <w:rPr>
                <w:color w:val="000000"/>
                <w:sz w:val="24"/>
                <w:szCs w:val="24"/>
              </w:rPr>
              <w:t>0.32%</w:t>
            </w:r>
          </w:p>
        </w:tc>
        <w:tc>
          <w:tcPr>
            <w:tcW w:w="1083" w:type="dxa"/>
            <w:tcBorders>
              <w:bottom w:val="single" w:sz="4" w:space="0" w:color="auto"/>
            </w:tcBorders>
            <w:vAlign w:val="center"/>
          </w:tcPr>
          <w:p w:rsidR="00123F2F" w:rsidRDefault="00392244">
            <w:pPr>
              <w:jc w:val="center"/>
            </w:pPr>
            <w:r>
              <w:rPr>
                <w:color w:val="000000"/>
                <w:sz w:val="24"/>
                <w:szCs w:val="24"/>
              </w:rPr>
              <w:t>0.92%</w:t>
            </w:r>
          </w:p>
        </w:tc>
        <w:tc>
          <w:tcPr>
            <w:tcW w:w="1009" w:type="dxa"/>
            <w:tcBorders>
              <w:bottom w:val="single" w:sz="4" w:space="0" w:color="auto"/>
            </w:tcBorders>
            <w:vAlign w:val="center"/>
          </w:tcPr>
          <w:p w:rsidR="00123F2F" w:rsidRDefault="00392244">
            <w:pPr>
              <w:jc w:val="center"/>
            </w:pPr>
            <w:r>
              <w:rPr>
                <w:color w:val="000000"/>
                <w:sz w:val="24"/>
                <w:szCs w:val="24"/>
              </w:rPr>
              <w:t>-0.12%</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交银施罗德瑞利定期开放灵活配置混合型证券投资基金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2017</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2</w:t>
      </w:r>
      <w:bookmarkStart w:id="0" w:name="_GoBack"/>
      <w:bookmarkEnd w:id="0"/>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24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6</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30</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注：本基金基金合同生效日为</w:t>
      </w:r>
      <w:r w:rsidRPr="00414345">
        <w:rPr>
          <w:color w:val="000000"/>
          <w:sz w:val="24"/>
          <w:szCs w:val="24"/>
        </w:rPr>
        <w:t>2017</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24</w:t>
      </w:r>
      <w:r w:rsidRPr="00414345">
        <w:rPr>
          <w:color w:val="000000"/>
          <w:sz w:val="24"/>
          <w:szCs w:val="24"/>
        </w:rPr>
        <w:t>日，基金合同生效日至报告期期末，本基金运作时间未满一年。本基金建仓期为自基金合同生效日起的</w:t>
      </w:r>
      <w:r w:rsidRPr="00414345">
        <w:rPr>
          <w:color w:val="000000"/>
          <w:sz w:val="24"/>
          <w:szCs w:val="24"/>
        </w:rPr>
        <w:t>6</w:t>
      </w:r>
      <w:r w:rsidRPr="00414345">
        <w:rPr>
          <w:color w:val="000000"/>
          <w:sz w:val="24"/>
          <w:szCs w:val="24"/>
        </w:rPr>
        <w:t>个月。截至</w:t>
      </w:r>
      <w:r w:rsidRPr="00414345">
        <w:rPr>
          <w:color w:val="000000"/>
          <w:sz w:val="24"/>
          <w:szCs w:val="24"/>
        </w:rPr>
        <w:t>2017</w:t>
      </w:r>
      <w:r w:rsidRPr="00414345">
        <w:rPr>
          <w:color w:val="000000"/>
          <w:sz w:val="24"/>
          <w:szCs w:val="24"/>
        </w:rPr>
        <w:t>年</w:t>
      </w:r>
      <w:r w:rsidRPr="00414345">
        <w:rPr>
          <w:color w:val="000000"/>
          <w:sz w:val="24"/>
          <w:szCs w:val="24"/>
        </w:rPr>
        <w:t>6</w:t>
      </w:r>
      <w:r w:rsidRPr="00414345">
        <w:rPr>
          <w:color w:val="000000"/>
          <w:sz w:val="24"/>
          <w:szCs w:val="24"/>
        </w:rPr>
        <w:t>月</w:t>
      </w:r>
      <w:r w:rsidRPr="00414345">
        <w:rPr>
          <w:color w:val="000000"/>
          <w:sz w:val="24"/>
          <w:szCs w:val="24"/>
        </w:rPr>
        <w:t>30</w:t>
      </w:r>
      <w:r w:rsidRPr="00414345">
        <w:rPr>
          <w:color w:val="000000"/>
          <w:sz w:val="24"/>
          <w:szCs w:val="24"/>
        </w:rPr>
        <w:t>日，本基金尚处于建仓期。</w:t>
      </w:r>
    </w:p>
    <w:p w:rsidR="00957594" w:rsidRPr="00414345" w:rsidRDefault="00957594" w:rsidP="00C15CAC">
      <w:pPr>
        <w:tabs>
          <w:tab w:val="left" w:pos="1800"/>
        </w:tabs>
        <w:spacing w:before="29" w:line="288" w:lineRule="auto"/>
        <w:rPr>
          <w:color w:val="000000"/>
          <w:sz w:val="24"/>
          <w:szCs w:val="24"/>
        </w:rPr>
      </w:pPr>
    </w:p>
    <w:p w:rsidR="004061AC" w:rsidRPr="00414345" w:rsidRDefault="004061AC" w:rsidP="00F42D9F">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123F2F">
        <w:trPr>
          <w:jc w:val="center"/>
        </w:trPr>
        <w:tc>
          <w:tcPr>
            <w:tcW w:w="846" w:type="dxa"/>
            <w:vAlign w:val="center"/>
          </w:tcPr>
          <w:p w:rsidR="00123F2F" w:rsidRDefault="00392244">
            <w:pPr>
              <w:jc w:val="center"/>
            </w:pPr>
            <w:r>
              <w:rPr>
                <w:color w:val="000000"/>
                <w:sz w:val="24"/>
                <w:szCs w:val="24"/>
              </w:rPr>
              <w:t>李娜</w:t>
            </w:r>
          </w:p>
        </w:tc>
        <w:tc>
          <w:tcPr>
            <w:tcW w:w="845" w:type="dxa"/>
            <w:vAlign w:val="center"/>
          </w:tcPr>
          <w:p w:rsidR="00123F2F" w:rsidRDefault="00392244">
            <w:pPr>
              <w:jc w:val="center"/>
            </w:pPr>
            <w:r>
              <w:rPr>
                <w:color w:val="000000"/>
                <w:sz w:val="24"/>
                <w:szCs w:val="24"/>
              </w:rPr>
              <w:t>交银周期回报灵活配置混合、交银新回报灵活配置混合、交银多策略回报</w:t>
            </w:r>
            <w:r>
              <w:rPr>
                <w:color w:val="000000"/>
                <w:sz w:val="24"/>
                <w:szCs w:val="24"/>
              </w:rPr>
              <w:lastRenderedPageBreak/>
              <w:t>灵活配置混合、交银卓越回报灵活配置混合、交银优选回报灵活配置混合、交银优择回报灵活配置混合、交银领先回报灵活配置混合、交银瑞鑫定期开放灵活配置混合、交银瑞景定期开放灵活配置混合、交银启通灵活</w:t>
            </w:r>
            <w:r>
              <w:rPr>
                <w:color w:val="000000"/>
                <w:sz w:val="24"/>
                <w:szCs w:val="24"/>
              </w:rPr>
              <w:lastRenderedPageBreak/>
              <w:t>配置混合、交银瑞利定期开放灵活配置混合、交银瑞安定期开放灵活配置混合的基金经理</w:t>
            </w:r>
          </w:p>
        </w:tc>
        <w:tc>
          <w:tcPr>
            <w:tcW w:w="1549" w:type="dxa"/>
            <w:vAlign w:val="center"/>
          </w:tcPr>
          <w:p w:rsidR="00123F2F" w:rsidRDefault="00392244">
            <w:pPr>
              <w:jc w:val="center"/>
            </w:pPr>
            <w:r>
              <w:rPr>
                <w:color w:val="000000"/>
                <w:sz w:val="24"/>
                <w:szCs w:val="24"/>
              </w:rPr>
              <w:lastRenderedPageBreak/>
              <w:t>2017-02-24</w:t>
            </w:r>
          </w:p>
        </w:tc>
        <w:tc>
          <w:tcPr>
            <w:tcW w:w="1548" w:type="dxa"/>
            <w:vAlign w:val="center"/>
          </w:tcPr>
          <w:p w:rsidR="00123F2F" w:rsidRDefault="00392244">
            <w:pPr>
              <w:jc w:val="center"/>
            </w:pPr>
            <w:r>
              <w:rPr>
                <w:color w:val="000000"/>
                <w:sz w:val="24"/>
                <w:szCs w:val="24"/>
              </w:rPr>
              <w:t>-</w:t>
            </w:r>
          </w:p>
        </w:tc>
        <w:tc>
          <w:tcPr>
            <w:tcW w:w="1407" w:type="dxa"/>
            <w:vAlign w:val="center"/>
          </w:tcPr>
          <w:p w:rsidR="00123F2F" w:rsidRDefault="00392244">
            <w:pPr>
              <w:jc w:val="center"/>
            </w:pPr>
            <w:r>
              <w:rPr>
                <w:color w:val="000000"/>
                <w:sz w:val="24"/>
                <w:szCs w:val="24"/>
              </w:rPr>
              <w:t>7</w:t>
            </w:r>
            <w:r>
              <w:rPr>
                <w:color w:val="000000"/>
                <w:sz w:val="24"/>
                <w:szCs w:val="24"/>
              </w:rPr>
              <w:t>年</w:t>
            </w:r>
          </w:p>
        </w:tc>
        <w:tc>
          <w:tcPr>
            <w:tcW w:w="2673" w:type="dxa"/>
            <w:vAlign w:val="center"/>
          </w:tcPr>
          <w:p w:rsidR="00123F2F" w:rsidRDefault="00392244">
            <w:r>
              <w:rPr>
                <w:color w:val="000000"/>
                <w:sz w:val="24"/>
                <w:szCs w:val="24"/>
              </w:rPr>
              <w:t>李娜女士，美国宾夕法尼亚大学应用数学与计算科学硕士。历任国泰基金管理有限公司研究员。</w:t>
            </w:r>
            <w:r>
              <w:rPr>
                <w:color w:val="000000"/>
                <w:sz w:val="24"/>
                <w:szCs w:val="24"/>
              </w:rPr>
              <w:t>2012</w:t>
            </w:r>
            <w:r>
              <w:rPr>
                <w:color w:val="000000"/>
                <w:sz w:val="24"/>
                <w:szCs w:val="24"/>
              </w:rPr>
              <w:t>年加入交银施罗德基金管理有限公司，历任债券分析师、基金经理助理。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lastRenderedPageBreak/>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123F2F" w:rsidRDefault="00392244">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123F2F" w:rsidRDefault="00392244">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123F2F" w:rsidRDefault="00392244">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w:t>
      </w:r>
      <w:r>
        <w:rPr>
          <w:color w:val="000000"/>
          <w:sz w:val="24"/>
          <w:szCs w:val="24"/>
        </w:rPr>
        <w:lastRenderedPageBreak/>
        <w:t>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23F2F" w:rsidRDefault="00392244">
      <w:pPr>
        <w:spacing w:before="29" w:line="288" w:lineRule="auto"/>
        <w:ind w:firstLineChars="200" w:firstLine="480"/>
        <w:rPr>
          <w:color w:val="000000"/>
          <w:sz w:val="24"/>
          <w:szCs w:val="24"/>
        </w:rPr>
      </w:pPr>
      <w:r>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123F2F" w:rsidRDefault="00392244">
      <w:pPr>
        <w:spacing w:before="29" w:line="288" w:lineRule="auto"/>
        <w:ind w:firstLineChars="200" w:firstLine="480"/>
        <w:rPr>
          <w:color w:val="000000"/>
          <w:sz w:val="24"/>
          <w:szCs w:val="24"/>
        </w:rPr>
      </w:pPr>
      <w:r>
        <w:rPr>
          <w:color w:val="000000"/>
          <w:sz w:val="24"/>
          <w:szCs w:val="24"/>
        </w:rPr>
        <w:t>本报告期内，经济增长继续呈现平稳态势，</w:t>
      </w:r>
      <w:r>
        <w:rPr>
          <w:color w:val="000000"/>
          <w:sz w:val="24"/>
          <w:szCs w:val="24"/>
        </w:rPr>
        <w:t>CPI</w:t>
      </w:r>
      <w:r>
        <w:rPr>
          <w:color w:val="000000"/>
          <w:sz w:val="24"/>
          <w:szCs w:val="24"/>
        </w:rPr>
        <w:t>保持温和，货币政策保持稳健中性，银行间流动性呈现结构性分层并阶段性波动的特征，整体资金中枢明显上移；股票市场受流动性边际变化影响，呈现分化下行走势后企稳反弹，同期债券收益率上行后震荡小幅下行，其中金融防风险监管加强、流动性边际紧张、经济金融数据好于预期、美联储紧缩预期等因素成为债券市场收益率继续调整的推动力。报告期内，上证综指和创业板指分别为下跌</w:t>
      </w:r>
      <w:r>
        <w:rPr>
          <w:color w:val="000000"/>
          <w:sz w:val="24"/>
          <w:szCs w:val="24"/>
        </w:rPr>
        <w:t>0.93%</w:t>
      </w:r>
      <w:r>
        <w:rPr>
          <w:color w:val="000000"/>
          <w:sz w:val="24"/>
          <w:szCs w:val="24"/>
        </w:rPr>
        <w:t>和</w:t>
      </w:r>
      <w:r>
        <w:rPr>
          <w:color w:val="000000"/>
          <w:sz w:val="24"/>
          <w:szCs w:val="24"/>
        </w:rPr>
        <w:t>4.68%</w:t>
      </w:r>
      <w:r>
        <w:rPr>
          <w:color w:val="000000"/>
          <w:sz w:val="24"/>
          <w:szCs w:val="24"/>
        </w:rPr>
        <w:t>，</w:t>
      </w:r>
      <w:r>
        <w:rPr>
          <w:color w:val="000000"/>
          <w:sz w:val="24"/>
          <w:szCs w:val="24"/>
        </w:rPr>
        <w:t>10</w:t>
      </w:r>
      <w:r>
        <w:rPr>
          <w:color w:val="000000"/>
          <w:sz w:val="24"/>
          <w:szCs w:val="24"/>
        </w:rPr>
        <w:t>年期国债收益率上行</w:t>
      </w:r>
      <w:r>
        <w:rPr>
          <w:color w:val="000000"/>
          <w:sz w:val="24"/>
          <w:szCs w:val="24"/>
        </w:rPr>
        <w:t>29bp</w:t>
      </w:r>
      <w:r>
        <w:rPr>
          <w:color w:val="000000"/>
          <w:sz w:val="24"/>
          <w:szCs w:val="24"/>
        </w:rPr>
        <w:t>至</w:t>
      </w:r>
      <w:r>
        <w:rPr>
          <w:color w:val="000000"/>
          <w:sz w:val="24"/>
          <w:szCs w:val="24"/>
        </w:rPr>
        <w:t>3.57%</w:t>
      </w:r>
      <w:r>
        <w:rPr>
          <w:color w:val="000000"/>
          <w:sz w:val="24"/>
          <w:szCs w:val="24"/>
        </w:rPr>
        <w:t>，</w:t>
      </w:r>
      <w:r>
        <w:rPr>
          <w:color w:val="000000"/>
          <w:sz w:val="24"/>
          <w:szCs w:val="24"/>
        </w:rPr>
        <w:t>10</w:t>
      </w:r>
      <w:r>
        <w:rPr>
          <w:color w:val="000000"/>
          <w:sz w:val="24"/>
          <w:szCs w:val="24"/>
        </w:rPr>
        <w:t>年期国开债收益率上行</w:t>
      </w:r>
      <w:r>
        <w:rPr>
          <w:color w:val="000000"/>
          <w:sz w:val="24"/>
          <w:szCs w:val="24"/>
        </w:rPr>
        <w:t>14bp</w:t>
      </w:r>
      <w:r>
        <w:rPr>
          <w:color w:val="000000"/>
          <w:sz w:val="24"/>
          <w:szCs w:val="24"/>
        </w:rPr>
        <w:t>至</w:t>
      </w:r>
      <w:r>
        <w:rPr>
          <w:color w:val="000000"/>
          <w:sz w:val="24"/>
          <w:szCs w:val="24"/>
        </w:rPr>
        <w:t>4.20%</w:t>
      </w:r>
      <w:r>
        <w:rPr>
          <w:color w:val="000000"/>
          <w:sz w:val="24"/>
          <w:szCs w:val="24"/>
        </w:rPr>
        <w:t>。</w:t>
      </w:r>
    </w:p>
    <w:p w:rsidR="00123F2F" w:rsidRDefault="00392244">
      <w:pPr>
        <w:spacing w:before="29" w:line="288" w:lineRule="auto"/>
        <w:ind w:firstLineChars="200" w:firstLine="480"/>
        <w:rPr>
          <w:color w:val="000000"/>
          <w:sz w:val="24"/>
          <w:szCs w:val="24"/>
        </w:rPr>
      </w:pPr>
      <w:r>
        <w:rPr>
          <w:color w:val="000000"/>
          <w:sz w:val="24"/>
          <w:szCs w:val="24"/>
        </w:rPr>
        <w:t>策略层面，本基金重点关注短久期信用债以及同业存单的配置价值，保持组合流动性，进行适度杠杆操作；积极关注新股及转债发行动态，进行权益和转债一级市场投资，同时也关注二级市场的投资机会，为持有人赚取回报。</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展望三季度，基本面前高后低的普遍预期下，经济增长实际具备一定韧性，</w:t>
      </w:r>
      <w:r w:rsidRPr="00414345">
        <w:rPr>
          <w:color w:val="000000"/>
          <w:sz w:val="24"/>
          <w:szCs w:val="24"/>
        </w:rPr>
        <w:t>CPI</w:t>
      </w:r>
      <w:r w:rsidRPr="00414345">
        <w:rPr>
          <w:color w:val="000000"/>
          <w:sz w:val="24"/>
          <w:szCs w:val="24"/>
        </w:rPr>
        <w:t>尚不具备大幅上行的风险，基本面对债市驱动力的增强可能仍然需要等待，利率或继续处于震荡格局之中，但已具备一定配置价值；密切观察地产产业链、国际油价变动、流动性边际变化、金融防风险监管政策逐步落地、美联储缩表进程开启等因素。股票方面，保持稳健、审慎，积极关注一级市场动态。债券方面，保持流动性的前提下积极关注交易窗口，把握适中久期，同时特别重视信用风险。</w:t>
      </w:r>
      <w:r w:rsidRPr="00414345">
        <w:rPr>
          <w:color w:val="000000"/>
          <w:sz w:val="24"/>
          <w:szCs w:val="24"/>
        </w:rPr>
        <w:t xml:space="preserve"> </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123F2F" w:rsidRDefault="00392244">
      <w:pPr>
        <w:spacing w:before="29" w:line="288" w:lineRule="auto"/>
        <w:ind w:firstLineChars="200" w:firstLine="480"/>
        <w:rPr>
          <w:color w:val="000000"/>
          <w:sz w:val="24"/>
          <w:szCs w:val="24"/>
        </w:rPr>
      </w:pPr>
      <w:r>
        <w:rPr>
          <w:color w:val="000000"/>
          <w:sz w:val="24"/>
          <w:szCs w:val="24"/>
        </w:rPr>
        <w:t>截至</w:t>
      </w:r>
      <w:r>
        <w:rPr>
          <w:color w:val="000000"/>
          <w:sz w:val="24"/>
          <w:szCs w:val="24"/>
        </w:rPr>
        <w:t>2017</w:t>
      </w:r>
      <w:r>
        <w:rPr>
          <w:color w:val="000000"/>
          <w:sz w:val="24"/>
          <w:szCs w:val="24"/>
        </w:rPr>
        <w:t>年</w:t>
      </w:r>
      <w:r>
        <w:rPr>
          <w:color w:val="000000"/>
          <w:sz w:val="24"/>
          <w:szCs w:val="24"/>
        </w:rPr>
        <w:t>6</w:t>
      </w:r>
      <w:r>
        <w:rPr>
          <w:color w:val="000000"/>
          <w:sz w:val="24"/>
          <w:szCs w:val="24"/>
        </w:rPr>
        <w:t>月</w:t>
      </w:r>
      <w:r>
        <w:rPr>
          <w:color w:val="000000"/>
          <w:sz w:val="24"/>
          <w:szCs w:val="24"/>
        </w:rPr>
        <w:t>30</w:t>
      </w:r>
      <w:r>
        <w:rPr>
          <w:color w:val="000000"/>
          <w:sz w:val="24"/>
          <w:szCs w:val="24"/>
        </w:rPr>
        <w:t>日，本基金份额净值为</w:t>
      </w:r>
      <w:r>
        <w:rPr>
          <w:color w:val="000000"/>
          <w:sz w:val="24"/>
          <w:szCs w:val="24"/>
        </w:rPr>
        <w:t>1.0427</w:t>
      </w:r>
      <w:r>
        <w:rPr>
          <w:color w:val="000000"/>
          <w:sz w:val="24"/>
          <w:szCs w:val="24"/>
        </w:rPr>
        <w:t>元，本报告期份额净值增长率为</w:t>
      </w:r>
      <w:r>
        <w:rPr>
          <w:color w:val="000000"/>
          <w:sz w:val="24"/>
          <w:szCs w:val="24"/>
        </w:rPr>
        <w:t>3.50%</w:t>
      </w:r>
      <w:r>
        <w:rPr>
          <w:color w:val="000000"/>
          <w:sz w:val="24"/>
          <w:szCs w:val="24"/>
        </w:rPr>
        <w:t>，同期业绩比较基准增长率为</w:t>
      </w:r>
      <w:r>
        <w:rPr>
          <w:color w:val="000000"/>
          <w:sz w:val="24"/>
          <w:szCs w:val="24"/>
        </w:rPr>
        <w:t>2.58%</w:t>
      </w:r>
      <w:r>
        <w:rPr>
          <w:color w:val="000000"/>
          <w:sz w:val="24"/>
          <w:szCs w:val="24"/>
        </w:rPr>
        <w:t>。</w:t>
      </w:r>
    </w:p>
    <w:p w:rsidR="004061AC" w:rsidRPr="00414345" w:rsidRDefault="004061AC" w:rsidP="00C15CAC">
      <w:pPr>
        <w:spacing w:before="29" w:line="288" w:lineRule="auto"/>
        <w:ind w:firstLineChars="200" w:firstLine="480"/>
        <w:rPr>
          <w:color w:val="000000"/>
          <w:sz w:val="24"/>
          <w:szCs w:val="24"/>
        </w:rPr>
      </w:pPr>
    </w:p>
    <w:p w:rsidR="00F42D9F" w:rsidRDefault="00F42D9F" w:rsidP="00F42D9F">
      <w:pPr>
        <w:autoSpaceDE w:val="0"/>
        <w:autoSpaceDN w:val="0"/>
        <w:adjustRightInd w:val="0"/>
        <w:spacing w:before="29" w:line="288" w:lineRule="auto"/>
        <w:jc w:val="left"/>
        <w:rPr>
          <w:b/>
          <w:color w:val="000000"/>
          <w:kern w:val="0"/>
          <w:sz w:val="24"/>
        </w:rPr>
      </w:pPr>
      <w:r>
        <w:rPr>
          <w:b/>
          <w:color w:val="000000"/>
          <w:kern w:val="0"/>
          <w:sz w:val="24"/>
        </w:rPr>
        <w:t>4.6</w:t>
      </w:r>
      <w:r>
        <w:rPr>
          <w:rFonts w:hint="eastAsia"/>
          <w:b/>
          <w:color w:val="000000"/>
          <w:kern w:val="0"/>
          <w:sz w:val="24"/>
        </w:rPr>
        <w:t>报告期内基金持有人数或基金资产净值预警说明</w:t>
      </w:r>
    </w:p>
    <w:p w:rsidR="00F42D9F" w:rsidRDefault="00F42D9F" w:rsidP="00F42D9F">
      <w:pPr>
        <w:spacing w:before="29" w:line="288" w:lineRule="auto"/>
        <w:ind w:firstLineChars="200" w:firstLine="480"/>
        <w:rPr>
          <w:color w:val="000000"/>
          <w:sz w:val="24"/>
          <w:szCs w:val="24"/>
        </w:rPr>
      </w:pPr>
      <w:r>
        <w:rPr>
          <w:rFonts w:hint="eastAsia"/>
          <w:color w:val="000000"/>
          <w:sz w:val="24"/>
        </w:rPr>
        <w:t>本基金本报告期内无需预警说明。</w:t>
      </w:r>
    </w:p>
    <w:p w:rsidR="009C5186" w:rsidRPr="00F42D9F" w:rsidRDefault="009C5186" w:rsidP="00C15CAC">
      <w:pPr>
        <w:spacing w:before="29" w:line="288" w:lineRule="auto"/>
        <w:ind w:firstLineChars="200" w:firstLine="480"/>
        <w:rPr>
          <w:color w:val="000000"/>
          <w:sz w:val="24"/>
          <w:szCs w:val="24"/>
        </w:rPr>
      </w:pPr>
    </w:p>
    <w:p w:rsidR="004061AC" w:rsidRPr="00414345" w:rsidRDefault="004061AC" w:rsidP="00F42D9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124,546,305.90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12.07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124,546,305.90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12.07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866,395,303.00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83.96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866,395,303.00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83.96</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26,076,327.45</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2.53</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14,940,034.39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1.45</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1,031,957,970.74</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83,714,784.58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13.38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4,037,000.00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0.65</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168,600.00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9,752,000.00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lastRenderedPageBreak/>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7,639.62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26,866,281.70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124,546,305.90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19.91</w:t>
            </w:r>
          </w:p>
        </w:tc>
      </w:tr>
    </w:tbl>
    <w:p w:rsidR="0055474F" w:rsidRDefault="0055474F" w:rsidP="00F51C4E">
      <w:pPr>
        <w:jc w:val="left"/>
        <w:rPr>
          <w:rFonts w:asciiTheme="minorEastAsia" w:eastAsiaTheme="minorEastAsia" w:hAnsiTheme="minorEastAsia"/>
          <w:b/>
          <w:bCs/>
          <w:color w:val="000000" w:themeColor="text1"/>
          <w:kern w:val="0"/>
          <w:sz w:val="24"/>
        </w:rPr>
      </w:pPr>
    </w:p>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w:t>
      </w:r>
      <w:r w:rsidR="00EE49FE">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本基金本报告期末未持有通过港股通投资的股票。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123F2F">
        <w:trPr>
          <w:jc w:val="center"/>
        </w:trPr>
        <w:tc>
          <w:tcPr>
            <w:tcW w:w="855" w:type="dxa"/>
            <w:vAlign w:val="center"/>
          </w:tcPr>
          <w:p w:rsidR="00123F2F" w:rsidRDefault="00392244">
            <w:pPr>
              <w:jc w:val="center"/>
            </w:pPr>
            <w:r>
              <w:rPr>
                <w:color w:val="000000"/>
                <w:sz w:val="24"/>
                <w:szCs w:val="24"/>
              </w:rPr>
              <w:t>1</w:t>
            </w:r>
          </w:p>
        </w:tc>
        <w:tc>
          <w:tcPr>
            <w:tcW w:w="1334" w:type="dxa"/>
            <w:vAlign w:val="center"/>
          </w:tcPr>
          <w:p w:rsidR="00123F2F" w:rsidRDefault="00392244">
            <w:pPr>
              <w:jc w:val="center"/>
            </w:pPr>
            <w:r>
              <w:rPr>
                <w:color w:val="000000"/>
                <w:sz w:val="24"/>
                <w:szCs w:val="24"/>
              </w:rPr>
              <w:t>000651</w:t>
            </w:r>
          </w:p>
        </w:tc>
        <w:tc>
          <w:tcPr>
            <w:tcW w:w="1777" w:type="dxa"/>
            <w:vAlign w:val="center"/>
          </w:tcPr>
          <w:p w:rsidR="00123F2F" w:rsidRDefault="00392244">
            <w:pPr>
              <w:jc w:val="center"/>
            </w:pPr>
            <w:r>
              <w:rPr>
                <w:color w:val="000000"/>
                <w:sz w:val="24"/>
                <w:szCs w:val="24"/>
              </w:rPr>
              <w:t>格力电器</w:t>
            </w:r>
          </w:p>
        </w:tc>
        <w:tc>
          <w:tcPr>
            <w:tcW w:w="1334" w:type="dxa"/>
            <w:vAlign w:val="center"/>
          </w:tcPr>
          <w:p w:rsidR="00123F2F" w:rsidRDefault="00392244">
            <w:pPr>
              <w:jc w:val="right"/>
            </w:pPr>
            <w:r>
              <w:rPr>
                <w:color w:val="000000"/>
                <w:sz w:val="24"/>
                <w:szCs w:val="24"/>
              </w:rPr>
              <w:t>310,000</w:t>
            </w:r>
          </w:p>
        </w:tc>
        <w:tc>
          <w:tcPr>
            <w:tcW w:w="1924" w:type="dxa"/>
            <w:vAlign w:val="center"/>
          </w:tcPr>
          <w:p w:rsidR="00123F2F" w:rsidRDefault="00392244">
            <w:pPr>
              <w:jc w:val="right"/>
            </w:pPr>
            <w:r>
              <w:rPr>
                <w:color w:val="000000"/>
                <w:sz w:val="24"/>
                <w:szCs w:val="24"/>
              </w:rPr>
              <w:t>12,762,700.00</w:t>
            </w:r>
          </w:p>
        </w:tc>
        <w:tc>
          <w:tcPr>
            <w:tcW w:w="1644" w:type="dxa"/>
            <w:vAlign w:val="center"/>
          </w:tcPr>
          <w:p w:rsidR="00123F2F" w:rsidRDefault="00392244">
            <w:pPr>
              <w:jc w:val="right"/>
            </w:pPr>
            <w:r>
              <w:rPr>
                <w:color w:val="000000"/>
                <w:sz w:val="24"/>
                <w:szCs w:val="24"/>
              </w:rPr>
              <w:t>2.04</w:t>
            </w:r>
          </w:p>
        </w:tc>
      </w:tr>
      <w:tr w:rsidR="00123F2F">
        <w:trPr>
          <w:jc w:val="center"/>
        </w:trPr>
        <w:tc>
          <w:tcPr>
            <w:tcW w:w="855" w:type="dxa"/>
            <w:vAlign w:val="center"/>
          </w:tcPr>
          <w:p w:rsidR="00123F2F" w:rsidRDefault="00392244">
            <w:pPr>
              <w:jc w:val="center"/>
            </w:pPr>
            <w:r>
              <w:rPr>
                <w:color w:val="000000"/>
                <w:sz w:val="24"/>
                <w:szCs w:val="24"/>
              </w:rPr>
              <w:t>2</w:t>
            </w:r>
          </w:p>
        </w:tc>
        <w:tc>
          <w:tcPr>
            <w:tcW w:w="1334" w:type="dxa"/>
            <w:vAlign w:val="center"/>
          </w:tcPr>
          <w:p w:rsidR="00123F2F" w:rsidRDefault="00392244">
            <w:pPr>
              <w:jc w:val="center"/>
            </w:pPr>
            <w:r>
              <w:rPr>
                <w:color w:val="000000"/>
                <w:sz w:val="24"/>
                <w:szCs w:val="24"/>
              </w:rPr>
              <w:t>000858</w:t>
            </w:r>
          </w:p>
        </w:tc>
        <w:tc>
          <w:tcPr>
            <w:tcW w:w="1777" w:type="dxa"/>
            <w:vAlign w:val="center"/>
          </w:tcPr>
          <w:p w:rsidR="00123F2F" w:rsidRDefault="00392244">
            <w:pPr>
              <w:jc w:val="center"/>
            </w:pPr>
            <w:r>
              <w:rPr>
                <w:color w:val="000000"/>
                <w:sz w:val="24"/>
                <w:szCs w:val="24"/>
              </w:rPr>
              <w:t>五</w:t>
            </w:r>
            <w:r>
              <w:rPr>
                <w:color w:val="000000"/>
                <w:sz w:val="24"/>
                <w:szCs w:val="24"/>
              </w:rPr>
              <w:t xml:space="preserve"> </w:t>
            </w:r>
            <w:r>
              <w:rPr>
                <w:color w:val="000000"/>
                <w:sz w:val="24"/>
                <w:szCs w:val="24"/>
              </w:rPr>
              <w:t>粮</w:t>
            </w:r>
            <w:r>
              <w:rPr>
                <w:color w:val="000000"/>
                <w:sz w:val="24"/>
                <w:szCs w:val="24"/>
              </w:rPr>
              <w:t xml:space="preserve"> </w:t>
            </w:r>
            <w:r>
              <w:rPr>
                <w:color w:val="000000"/>
                <w:sz w:val="24"/>
                <w:szCs w:val="24"/>
              </w:rPr>
              <w:t>液</w:t>
            </w:r>
          </w:p>
        </w:tc>
        <w:tc>
          <w:tcPr>
            <w:tcW w:w="1334" w:type="dxa"/>
            <w:vAlign w:val="center"/>
          </w:tcPr>
          <w:p w:rsidR="00123F2F" w:rsidRDefault="00392244">
            <w:pPr>
              <w:jc w:val="right"/>
            </w:pPr>
            <w:r>
              <w:rPr>
                <w:color w:val="000000"/>
                <w:sz w:val="24"/>
                <w:szCs w:val="24"/>
              </w:rPr>
              <w:t>200,000</w:t>
            </w:r>
          </w:p>
        </w:tc>
        <w:tc>
          <w:tcPr>
            <w:tcW w:w="1924" w:type="dxa"/>
            <w:vAlign w:val="center"/>
          </w:tcPr>
          <w:p w:rsidR="00123F2F" w:rsidRDefault="00392244">
            <w:pPr>
              <w:jc w:val="right"/>
            </w:pPr>
            <w:r>
              <w:rPr>
                <w:color w:val="000000"/>
                <w:sz w:val="24"/>
                <w:szCs w:val="24"/>
              </w:rPr>
              <w:t>11,132,000.00</w:t>
            </w:r>
          </w:p>
        </w:tc>
        <w:tc>
          <w:tcPr>
            <w:tcW w:w="1644" w:type="dxa"/>
            <w:vAlign w:val="center"/>
          </w:tcPr>
          <w:p w:rsidR="00123F2F" w:rsidRDefault="00392244">
            <w:pPr>
              <w:jc w:val="right"/>
            </w:pPr>
            <w:r>
              <w:rPr>
                <w:color w:val="000000"/>
                <w:sz w:val="24"/>
                <w:szCs w:val="24"/>
              </w:rPr>
              <w:t>1.78</w:t>
            </w:r>
          </w:p>
        </w:tc>
      </w:tr>
      <w:tr w:rsidR="00123F2F">
        <w:trPr>
          <w:jc w:val="center"/>
        </w:trPr>
        <w:tc>
          <w:tcPr>
            <w:tcW w:w="855" w:type="dxa"/>
            <w:vAlign w:val="center"/>
          </w:tcPr>
          <w:p w:rsidR="00123F2F" w:rsidRDefault="00392244">
            <w:pPr>
              <w:jc w:val="center"/>
            </w:pPr>
            <w:r>
              <w:rPr>
                <w:color w:val="000000"/>
                <w:sz w:val="24"/>
                <w:szCs w:val="24"/>
              </w:rPr>
              <w:t>3</w:t>
            </w:r>
          </w:p>
        </w:tc>
        <w:tc>
          <w:tcPr>
            <w:tcW w:w="1334" w:type="dxa"/>
            <w:vAlign w:val="center"/>
          </w:tcPr>
          <w:p w:rsidR="00123F2F" w:rsidRDefault="00392244">
            <w:pPr>
              <w:jc w:val="center"/>
            </w:pPr>
            <w:r>
              <w:rPr>
                <w:color w:val="000000"/>
                <w:sz w:val="24"/>
                <w:szCs w:val="24"/>
              </w:rPr>
              <w:t>600519</w:t>
            </w:r>
          </w:p>
        </w:tc>
        <w:tc>
          <w:tcPr>
            <w:tcW w:w="1777" w:type="dxa"/>
            <w:vAlign w:val="center"/>
          </w:tcPr>
          <w:p w:rsidR="00123F2F" w:rsidRDefault="00392244">
            <w:pPr>
              <w:jc w:val="center"/>
            </w:pPr>
            <w:r>
              <w:rPr>
                <w:color w:val="000000"/>
                <w:sz w:val="24"/>
                <w:szCs w:val="24"/>
              </w:rPr>
              <w:t>贵州茅台</w:t>
            </w:r>
          </w:p>
        </w:tc>
        <w:tc>
          <w:tcPr>
            <w:tcW w:w="1334" w:type="dxa"/>
            <w:vAlign w:val="center"/>
          </w:tcPr>
          <w:p w:rsidR="00123F2F" w:rsidRDefault="00392244">
            <w:pPr>
              <w:jc w:val="right"/>
            </w:pPr>
            <w:r>
              <w:rPr>
                <w:color w:val="000000"/>
                <w:sz w:val="24"/>
                <w:szCs w:val="24"/>
              </w:rPr>
              <w:t>19,981</w:t>
            </w:r>
          </w:p>
        </w:tc>
        <w:tc>
          <w:tcPr>
            <w:tcW w:w="1924" w:type="dxa"/>
            <w:vAlign w:val="center"/>
          </w:tcPr>
          <w:p w:rsidR="00123F2F" w:rsidRDefault="00392244">
            <w:pPr>
              <w:jc w:val="right"/>
            </w:pPr>
            <w:r>
              <w:rPr>
                <w:color w:val="000000"/>
                <w:sz w:val="24"/>
                <w:szCs w:val="24"/>
              </w:rPr>
              <w:t>9,428,034.85</w:t>
            </w:r>
          </w:p>
        </w:tc>
        <w:tc>
          <w:tcPr>
            <w:tcW w:w="1644" w:type="dxa"/>
            <w:vAlign w:val="center"/>
          </w:tcPr>
          <w:p w:rsidR="00123F2F" w:rsidRDefault="00392244">
            <w:pPr>
              <w:jc w:val="right"/>
            </w:pPr>
            <w:r>
              <w:rPr>
                <w:color w:val="000000"/>
                <w:sz w:val="24"/>
                <w:szCs w:val="24"/>
              </w:rPr>
              <w:t>1.51</w:t>
            </w:r>
          </w:p>
        </w:tc>
      </w:tr>
      <w:tr w:rsidR="00123F2F">
        <w:trPr>
          <w:jc w:val="center"/>
        </w:trPr>
        <w:tc>
          <w:tcPr>
            <w:tcW w:w="855" w:type="dxa"/>
            <w:vAlign w:val="center"/>
          </w:tcPr>
          <w:p w:rsidR="00123F2F" w:rsidRDefault="00392244">
            <w:pPr>
              <w:jc w:val="center"/>
            </w:pPr>
            <w:r>
              <w:rPr>
                <w:color w:val="000000"/>
                <w:sz w:val="24"/>
                <w:szCs w:val="24"/>
              </w:rPr>
              <w:t>4</w:t>
            </w:r>
          </w:p>
        </w:tc>
        <w:tc>
          <w:tcPr>
            <w:tcW w:w="1334" w:type="dxa"/>
            <w:vAlign w:val="center"/>
          </w:tcPr>
          <w:p w:rsidR="00123F2F" w:rsidRDefault="00392244">
            <w:pPr>
              <w:jc w:val="center"/>
            </w:pPr>
            <w:r>
              <w:rPr>
                <w:color w:val="000000"/>
                <w:sz w:val="24"/>
                <w:szCs w:val="24"/>
              </w:rPr>
              <w:t>000423</w:t>
            </w:r>
          </w:p>
        </w:tc>
        <w:tc>
          <w:tcPr>
            <w:tcW w:w="1777" w:type="dxa"/>
            <w:vAlign w:val="center"/>
          </w:tcPr>
          <w:p w:rsidR="00123F2F" w:rsidRDefault="00392244">
            <w:pPr>
              <w:jc w:val="center"/>
            </w:pPr>
            <w:r>
              <w:rPr>
                <w:color w:val="000000"/>
                <w:sz w:val="24"/>
                <w:szCs w:val="24"/>
              </w:rPr>
              <w:t>东阿阿胶</w:t>
            </w:r>
          </w:p>
        </w:tc>
        <w:tc>
          <w:tcPr>
            <w:tcW w:w="1334" w:type="dxa"/>
            <w:vAlign w:val="center"/>
          </w:tcPr>
          <w:p w:rsidR="00123F2F" w:rsidRDefault="00392244">
            <w:pPr>
              <w:jc w:val="right"/>
            </w:pPr>
            <w:r>
              <w:rPr>
                <w:color w:val="000000"/>
                <w:sz w:val="24"/>
                <w:szCs w:val="24"/>
              </w:rPr>
              <w:t>130,000</w:t>
            </w:r>
          </w:p>
        </w:tc>
        <w:tc>
          <w:tcPr>
            <w:tcW w:w="1924" w:type="dxa"/>
            <w:vAlign w:val="center"/>
          </w:tcPr>
          <w:p w:rsidR="00123F2F" w:rsidRDefault="00392244">
            <w:pPr>
              <w:jc w:val="right"/>
            </w:pPr>
            <w:r>
              <w:rPr>
                <w:color w:val="000000"/>
                <w:sz w:val="24"/>
                <w:szCs w:val="24"/>
              </w:rPr>
              <w:t>9,345,700.00</w:t>
            </w:r>
          </w:p>
        </w:tc>
        <w:tc>
          <w:tcPr>
            <w:tcW w:w="1644" w:type="dxa"/>
            <w:vAlign w:val="center"/>
          </w:tcPr>
          <w:p w:rsidR="00123F2F" w:rsidRDefault="00392244">
            <w:pPr>
              <w:jc w:val="right"/>
            </w:pPr>
            <w:r>
              <w:rPr>
                <w:color w:val="000000"/>
                <w:sz w:val="24"/>
                <w:szCs w:val="24"/>
              </w:rPr>
              <w:t>1.49</w:t>
            </w:r>
          </w:p>
        </w:tc>
      </w:tr>
      <w:tr w:rsidR="00123F2F">
        <w:trPr>
          <w:jc w:val="center"/>
        </w:trPr>
        <w:tc>
          <w:tcPr>
            <w:tcW w:w="855" w:type="dxa"/>
            <w:vAlign w:val="center"/>
          </w:tcPr>
          <w:p w:rsidR="00123F2F" w:rsidRDefault="00392244">
            <w:pPr>
              <w:jc w:val="center"/>
            </w:pPr>
            <w:r>
              <w:rPr>
                <w:color w:val="000000"/>
                <w:sz w:val="24"/>
                <w:szCs w:val="24"/>
              </w:rPr>
              <w:t>5</w:t>
            </w:r>
          </w:p>
        </w:tc>
        <w:tc>
          <w:tcPr>
            <w:tcW w:w="1334" w:type="dxa"/>
            <w:vAlign w:val="center"/>
          </w:tcPr>
          <w:p w:rsidR="00123F2F" w:rsidRDefault="00392244">
            <w:pPr>
              <w:jc w:val="center"/>
            </w:pPr>
            <w:r>
              <w:rPr>
                <w:color w:val="000000"/>
                <w:sz w:val="24"/>
                <w:szCs w:val="24"/>
              </w:rPr>
              <w:t>000001</w:t>
            </w:r>
          </w:p>
        </w:tc>
        <w:tc>
          <w:tcPr>
            <w:tcW w:w="1777" w:type="dxa"/>
            <w:vAlign w:val="center"/>
          </w:tcPr>
          <w:p w:rsidR="00123F2F" w:rsidRDefault="00392244">
            <w:pPr>
              <w:jc w:val="center"/>
            </w:pPr>
            <w:r>
              <w:rPr>
                <w:color w:val="000000"/>
                <w:sz w:val="24"/>
                <w:szCs w:val="24"/>
              </w:rPr>
              <w:t>平安银行</w:t>
            </w:r>
          </w:p>
        </w:tc>
        <w:tc>
          <w:tcPr>
            <w:tcW w:w="1334" w:type="dxa"/>
            <w:vAlign w:val="center"/>
          </w:tcPr>
          <w:p w:rsidR="00123F2F" w:rsidRDefault="00392244">
            <w:pPr>
              <w:jc w:val="right"/>
            </w:pPr>
            <w:r>
              <w:rPr>
                <w:color w:val="000000"/>
                <w:sz w:val="24"/>
                <w:szCs w:val="24"/>
              </w:rPr>
              <w:t>900,030</w:t>
            </w:r>
          </w:p>
        </w:tc>
        <w:tc>
          <w:tcPr>
            <w:tcW w:w="1924" w:type="dxa"/>
            <w:vAlign w:val="center"/>
          </w:tcPr>
          <w:p w:rsidR="00123F2F" w:rsidRDefault="00392244">
            <w:pPr>
              <w:jc w:val="right"/>
            </w:pPr>
            <w:r>
              <w:rPr>
                <w:color w:val="000000"/>
                <w:sz w:val="24"/>
                <w:szCs w:val="24"/>
              </w:rPr>
              <w:t>8,451,281.70</w:t>
            </w:r>
          </w:p>
        </w:tc>
        <w:tc>
          <w:tcPr>
            <w:tcW w:w="1644" w:type="dxa"/>
            <w:vAlign w:val="center"/>
          </w:tcPr>
          <w:p w:rsidR="00123F2F" w:rsidRDefault="00392244">
            <w:pPr>
              <w:jc w:val="right"/>
            </w:pPr>
            <w:r>
              <w:rPr>
                <w:color w:val="000000"/>
                <w:sz w:val="24"/>
                <w:szCs w:val="24"/>
              </w:rPr>
              <w:t>1.35</w:t>
            </w:r>
          </w:p>
        </w:tc>
      </w:tr>
      <w:tr w:rsidR="00123F2F">
        <w:trPr>
          <w:jc w:val="center"/>
        </w:trPr>
        <w:tc>
          <w:tcPr>
            <w:tcW w:w="855" w:type="dxa"/>
            <w:vAlign w:val="center"/>
          </w:tcPr>
          <w:p w:rsidR="00123F2F" w:rsidRDefault="00392244">
            <w:pPr>
              <w:jc w:val="center"/>
            </w:pPr>
            <w:r>
              <w:rPr>
                <w:color w:val="000000"/>
                <w:sz w:val="24"/>
                <w:szCs w:val="24"/>
              </w:rPr>
              <w:t>6</w:t>
            </w:r>
          </w:p>
        </w:tc>
        <w:tc>
          <w:tcPr>
            <w:tcW w:w="1334" w:type="dxa"/>
            <w:vAlign w:val="center"/>
          </w:tcPr>
          <w:p w:rsidR="00123F2F" w:rsidRDefault="00392244">
            <w:pPr>
              <w:jc w:val="center"/>
            </w:pPr>
            <w:r>
              <w:rPr>
                <w:color w:val="000000"/>
                <w:sz w:val="24"/>
                <w:szCs w:val="24"/>
              </w:rPr>
              <w:t>601398</w:t>
            </w:r>
          </w:p>
        </w:tc>
        <w:tc>
          <w:tcPr>
            <w:tcW w:w="1777" w:type="dxa"/>
            <w:vAlign w:val="center"/>
          </w:tcPr>
          <w:p w:rsidR="00123F2F" w:rsidRDefault="00392244">
            <w:pPr>
              <w:jc w:val="center"/>
            </w:pPr>
            <w:r>
              <w:rPr>
                <w:color w:val="000000"/>
                <w:sz w:val="24"/>
                <w:szCs w:val="24"/>
              </w:rPr>
              <w:t>工商银行</w:t>
            </w:r>
          </w:p>
        </w:tc>
        <w:tc>
          <w:tcPr>
            <w:tcW w:w="1334" w:type="dxa"/>
            <w:vAlign w:val="center"/>
          </w:tcPr>
          <w:p w:rsidR="00123F2F" w:rsidRDefault="00392244">
            <w:pPr>
              <w:jc w:val="right"/>
            </w:pPr>
            <w:r>
              <w:rPr>
                <w:color w:val="000000"/>
                <w:sz w:val="24"/>
                <w:szCs w:val="24"/>
              </w:rPr>
              <w:t>1,600,000</w:t>
            </w:r>
          </w:p>
        </w:tc>
        <w:tc>
          <w:tcPr>
            <w:tcW w:w="1924" w:type="dxa"/>
            <w:vAlign w:val="center"/>
          </w:tcPr>
          <w:p w:rsidR="00123F2F" w:rsidRDefault="00392244">
            <w:pPr>
              <w:jc w:val="right"/>
            </w:pPr>
            <w:r>
              <w:rPr>
                <w:color w:val="000000"/>
                <w:sz w:val="24"/>
                <w:szCs w:val="24"/>
              </w:rPr>
              <w:t>8,400,000.00</w:t>
            </w:r>
          </w:p>
        </w:tc>
        <w:tc>
          <w:tcPr>
            <w:tcW w:w="1644" w:type="dxa"/>
            <w:vAlign w:val="center"/>
          </w:tcPr>
          <w:p w:rsidR="00123F2F" w:rsidRDefault="00392244">
            <w:pPr>
              <w:jc w:val="right"/>
            </w:pPr>
            <w:r>
              <w:rPr>
                <w:color w:val="000000"/>
                <w:sz w:val="24"/>
                <w:szCs w:val="24"/>
              </w:rPr>
              <w:t>1.34</w:t>
            </w:r>
          </w:p>
        </w:tc>
      </w:tr>
      <w:tr w:rsidR="00123F2F">
        <w:trPr>
          <w:jc w:val="center"/>
        </w:trPr>
        <w:tc>
          <w:tcPr>
            <w:tcW w:w="855" w:type="dxa"/>
            <w:vAlign w:val="center"/>
          </w:tcPr>
          <w:p w:rsidR="00123F2F" w:rsidRDefault="00392244">
            <w:pPr>
              <w:jc w:val="center"/>
            </w:pPr>
            <w:r>
              <w:rPr>
                <w:color w:val="000000"/>
                <w:sz w:val="24"/>
                <w:szCs w:val="24"/>
              </w:rPr>
              <w:t>7</w:t>
            </w:r>
          </w:p>
        </w:tc>
        <w:tc>
          <w:tcPr>
            <w:tcW w:w="1334" w:type="dxa"/>
            <w:vAlign w:val="center"/>
          </w:tcPr>
          <w:p w:rsidR="00123F2F" w:rsidRDefault="00392244">
            <w:pPr>
              <w:jc w:val="center"/>
            </w:pPr>
            <w:r>
              <w:rPr>
                <w:color w:val="000000"/>
                <w:sz w:val="24"/>
                <w:szCs w:val="24"/>
              </w:rPr>
              <w:t>600887</w:t>
            </w:r>
          </w:p>
        </w:tc>
        <w:tc>
          <w:tcPr>
            <w:tcW w:w="1777" w:type="dxa"/>
            <w:vAlign w:val="center"/>
          </w:tcPr>
          <w:p w:rsidR="00123F2F" w:rsidRDefault="00392244">
            <w:pPr>
              <w:jc w:val="center"/>
            </w:pPr>
            <w:r>
              <w:rPr>
                <w:color w:val="000000"/>
                <w:sz w:val="24"/>
                <w:szCs w:val="24"/>
              </w:rPr>
              <w:t>伊利股份</w:t>
            </w:r>
          </w:p>
        </w:tc>
        <w:tc>
          <w:tcPr>
            <w:tcW w:w="1334" w:type="dxa"/>
            <w:vAlign w:val="center"/>
          </w:tcPr>
          <w:p w:rsidR="00123F2F" w:rsidRDefault="00392244">
            <w:pPr>
              <w:jc w:val="right"/>
            </w:pPr>
            <w:r>
              <w:rPr>
                <w:color w:val="000000"/>
                <w:sz w:val="24"/>
                <w:szCs w:val="24"/>
              </w:rPr>
              <w:t>350,000</w:t>
            </w:r>
          </w:p>
        </w:tc>
        <w:tc>
          <w:tcPr>
            <w:tcW w:w="1924" w:type="dxa"/>
            <w:vAlign w:val="center"/>
          </w:tcPr>
          <w:p w:rsidR="00123F2F" w:rsidRDefault="00392244">
            <w:pPr>
              <w:jc w:val="right"/>
            </w:pPr>
            <w:r>
              <w:rPr>
                <w:color w:val="000000"/>
                <w:sz w:val="24"/>
                <w:szCs w:val="24"/>
              </w:rPr>
              <w:t>7,556,500.00</w:t>
            </w:r>
          </w:p>
        </w:tc>
        <w:tc>
          <w:tcPr>
            <w:tcW w:w="1644" w:type="dxa"/>
            <w:vAlign w:val="center"/>
          </w:tcPr>
          <w:p w:rsidR="00123F2F" w:rsidRDefault="00392244">
            <w:pPr>
              <w:jc w:val="right"/>
            </w:pPr>
            <w:r>
              <w:rPr>
                <w:color w:val="000000"/>
                <w:sz w:val="24"/>
                <w:szCs w:val="24"/>
              </w:rPr>
              <w:t>1.21</w:t>
            </w:r>
          </w:p>
        </w:tc>
      </w:tr>
      <w:tr w:rsidR="00123F2F">
        <w:trPr>
          <w:jc w:val="center"/>
        </w:trPr>
        <w:tc>
          <w:tcPr>
            <w:tcW w:w="855" w:type="dxa"/>
            <w:vAlign w:val="center"/>
          </w:tcPr>
          <w:p w:rsidR="00123F2F" w:rsidRDefault="00392244">
            <w:pPr>
              <w:jc w:val="center"/>
            </w:pPr>
            <w:r>
              <w:rPr>
                <w:color w:val="000000"/>
                <w:sz w:val="24"/>
                <w:szCs w:val="24"/>
              </w:rPr>
              <w:t>8</w:t>
            </w:r>
          </w:p>
        </w:tc>
        <w:tc>
          <w:tcPr>
            <w:tcW w:w="1334" w:type="dxa"/>
            <w:vAlign w:val="center"/>
          </w:tcPr>
          <w:p w:rsidR="00123F2F" w:rsidRDefault="00392244">
            <w:pPr>
              <w:jc w:val="center"/>
            </w:pPr>
            <w:r>
              <w:rPr>
                <w:color w:val="000000"/>
                <w:sz w:val="24"/>
                <w:szCs w:val="24"/>
              </w:rPr>
              <w:t>601607</w:t>
            </w:r>
          </w:p>
        </w:tc>
        <w:tc>
          <w:tcPr>
            <w:tcW w:w="1777" w:type="dxa"/>
            <w:vAlign w:val="center"/>
          </w:tcPr>
          <w:p w:rsidR="00123F2F" w:rsidRDefault="00392244">
            <w:pPr>
              <w:jc w:val="center"/>
            </w:pPr>
            <w:r>
              <w:rPr>
                <w:color w:val="000000"/>
                <w:sz w:val="24"/>
                <w:szCs w:val="24"/>
              </w:rPr>
              <w:t>上海医药</w:t>
            </w:r>
          </w:p>
        </w:tc>
        <w:tc>
          <w:tcPr>
            <w:tcW w:w="1334" w:type="dxa"/>
            <w:vAlign w:val="center"/>
          </w:tcPr>
          <w:p w:rsidR="00123F2F" w:rsidRDefault="00392244">
            <w:pPr>
              <w:jc w:val="right"/>
            </w:pPr>
            <w:r>
              <w:rPr>
                <w:color w:val="000000"/>
                <w:sz w:val="24"/>
                <w:szCs w:val="24"/>
              </w:rPr>
              <w:t>200,000</w:t>
            </w:r>
          </w:p>
        </w:tc>
        <w:tc>
          <w:tcPr>
            <w:tcW w:w="1924" w:type="dxa"/>
            <w:vAlign w:val="center"/>
          </w:tcPr>
          <w:p w:rsidR="00123F2F" w:rsidRDefault="00392244">
            <w:pPr>
              <w:jc w:val="right"/>
            </w:pPr>
            <w:r>
              <w:rPr>
                <w:color w:val="000000"/>
                <w:sz w:val="24"/>
                <w:szCs w:val="24"/>
              </w:rPr>
              <w:t>5,776,000.00</w:t>
            </w:r>
          </w:p>
        </w:tc>
        <w:tc>
          <w:tcPr>
            <w:tcW w:w="1644" w:type="dxa"/>
            <w:vAlign w:val="center"/>
          </w:tcPr>
          <w:p w:rsidR="00123F2F" w:rsidRDefault="00392244">
            <w:pPr>
              <w:jc w:val="right"/>
            </w:pPr>
            <w:r>
              <w:rPr>
                <w:color w:val="000000"/>
                <w:sz w:val="24"/>
                <w:szCs w:val="24"/>
              </w:rPr>
              <w:t>0.92</w:t>
            </w:r>
          </w:p>
        </w:tc>
      </w:tr>
      <w:tr w:rsidR="00123F2F">
        <w:trPr>
          <w:jc w:val="center"/>
        </w:trPr>
        <w:tc>
          <w:tcPr>
            <w:tcW w:w="855" w:type="dxa"/>
            <w:vAlign w:val="center"/>
          </w:tcPr>
          <w:p w:rsidR="00123F2F" w:rsidRDefault="00392244">
            <w:pPr>
              <w:jc w:val="center"/>
            </w:pPr>
            <w:r>
              <w:rPr>
                <w:color w:val="000000"/>
                <w:sz w:val="24"/>
                <w:szCs w:val="24"/>
              </w:rPr>
              <w:t>9</w:t>
            </w:r>
          </w:p>
        </w:tc>
        <w:tc>
          <w:tcPr>
            <w:tcW w:w="1334" w:type="dxa"/>
            <w:vAlign w:val="center"/>
          </w:tcPr>
          <w:p w:rsidR="00123F2F" w:rsidRDefault="00392244">
            <w:pPr>
              <w:jc w:val="center"/>
            </w:pPr>
            <w:r>
              <w:rPr>
                <w:color w:val="000000"/>
                <w:sz w:val="24"/>
                <w:szCs w:val="24"/>
              </w:rPr>
              <w:t>600062</w:t>
            </w:r>
          </w:p>
        </w:tc>
        <w:tc>
          <w:tcPr>
            <w:tcW w:w="1777" w:type="dxa"/>
            <w:vAlign w:val="center"/>
          </w:tcPr>
          <w:p w:rsidR="00123F2F" w:rsidRDefault="00392244">
            <w:pPr>
              <w:jc w:val="center"/>
            </w:pPr>
            <w:r>
              <w:rPr>
                <w:color w:val="000000"/>
                <w:sz w:val="24"/>
                <w:szCs w:val="24"/>
              </w:rPr>
              <w:t>华润双鹤</w:t>
            </w:r>
          </w:p>
        </w:tc>
        <w:tc>
          <w:tcPr>
            <w:tcW w:w="1334" w:type="dxa"/>
            <w:vAlign w:val="center"/>
          </w:tcPr>
          <w:p w:rsidR="00123F2F" w:rsidRDefault="00392244">
            <w:pPr>
              <w:jc w:val="right"/>
            </w:pPr>
            <w:r>
              <w:rPr>
                <w:color w:val="000000"/>
                <w:sz w:val="24"/>
                <w:szCs w:val="24"/>
              </w:rPr>
              <w:t>200,000</w:t>
            </w:r>
          </w:p>
        </w:tc>
        <w:tc>
          <w:tcPr>
            <w:tcW w:w="1924" w:type="dxa"/>
            <w:vAlign w:val="center"/>
          </w:tcPr>
          <w:p w:rsidR="00123F2F" w:rsidRDefault="00392244">
            <w:pPr>
              <w:jc w:val="right"/>
            </w:pPr>
            <w:r>
              <w:rPr>
                <w:color w:val="000000"/>
                <w:sz w:val="24"/>
                <w:szCs w:val="24"/>
              </w:rPr>
              <w:t>5,486,000.00</w:t>
            </w:r>
          </w:p>
        </w:tc>
        <w:tc>
          <w:tcPr>
            <w:tcW w:w="1644" w:type="dxa"/>
            <w:vAlign w:val="center"/>
          </w:tcPr>
          <w:p w:rsidR="00123F2F" w:rsidRDefault="00392244">
            <w:pPr>
              <w:jc w:val="right"/>
            </w:pPr>
            <w:r>
              <w:rPr>
                <w:color w:val="000000"/>
                <w:sz w:val="24"/>
                <w:szCs w:val="24"/>
              </w:rPr>
              <w:t>0.88</w:t>
            </w:r>
          </w:p>
        </w:tc>
      </w:tr>
      <w:tr w:rsidR="00123F2F">
        <w:trPr>
          <w:jc w:val="center"/>
        </w:trPr>
        <w:tc>
          <w:tcPr>
            <w:tcW w:w="855" w:type="dxa"/>
            <w:vAlign w:val="center"/>
          </w:tcPr>
          <w:p w:rsidR="00123F2F" w:rsidRDefault="00392244">
            <w:pPr>
              <w:jc w:val="center"/>
            </w:pPr>
            <w:r>
              <w:rPr>
                <w:color w:val="000000"/>
                <w:sz w:val="24"/>
                <w:szCs w:val="24"/>
              </w:rPr>
              <w:t>10</w:t>
            </w:r>
          </w:p>
        </w:tc>
        <w:tc>
          <w:tcPr>
            <w:tcW w:w="1334" w:type="dxa"/>
            <w:vAlign w:val="center"/>
          </w:tcPr>
          <w:p w:rsidR="00123F2F" w:rsidRDefault="00392244">
            <w:pPr>
              <w:jc w:val="center"/>
            </w:pPr>
            <w:r>
              <w:rPr>
                <w:color w:val="000000"/>
                <w:sz w:val="24"/>
                <w:szCs w:val="24"/>
              </w:rPr>
              <w:t>600056</w:t>
            </w:r>
          </w:p>
        </w:tc>
        <w:tc>
          <w:tcPr>
            <w:tcW w:w="1777" w:type="dxa"/>
            <w:vAlign w:val="center"/>
          </w:tcPr>
          <w:p w:rsidR="00123F2F" w:rsidRDefault="00392244">
            <w:pPr>
              <w:jc w:val="center"/>
            </w:pPr>
            <w:r>
              <w:rPr>
                <w:color w:val="000000"/>
                <w:sz w:val="24"/>
                <w:szCs w:val="24"/>
              </w:rPr>
              <w:t>中国医药</w:t>
            </w:r>
          </w:p>
        </w:tc>
        <w:tc>
          <w:tcPr>
            <w:tcW w:w="1334" w:type="dxa"/>
            <w:vAlign w:val="center"/>
          </w:tcPr>
          <w:p w:rsidR="00123F2F" w:rsidRDefault="00392244">
            <w:pPr>
              <w:jc w:val="right"/>
            </w:pPr>
            <w:r>
              <w:rPr>
                <w:color w:val="000000"/>
                <w:sz w:val="24"/>
                <w:szCs w:val="24"/>
              </w:rPr>
              <w:t>189,967</w:t>
            </w:r>
          </w:p>
        </w:tc>
        <w:tc>
          <w:tcPr>
            <w:tcW w:w="1924" w:type="dxa"/>
            <w:vAlign w:val="center"/>
          </w:tcPr>
          <w:p w:rsidR="00123F2F" w:rsidRDefault="00392244">
            <w:pPr>
              <w:jc w:val="right"/>
            </w:pPr>
            <w:r>
              <w:rPr>
                <w:color w:val="000000"/>
                <w:sz w:val="24"/>
                <w:szCs w:val="24"/>
              </w:rPr>
              <w:t>4,929,643.65</w:t>
            </w:r>
          </w:p>
        </w:tc>
        <w:tc>
          <w:tcPr>
            <w:tcW w:w="1644" w:type="dxa"/>
            <w:vAlign w:val="center"/>
          </w:tcPr>
          <w:p w:rsidR="00123F2F" w:rsidRDefault="00392244">
            <w:pPr>
              <w:jc w:val="right"/>
            </w:pPr>
            <w:r>
              <w:rPr>
                <w:color w:val="000000"/>
                <w:sz w:val="24"/>
                <w:szCs w:val="24"/>
              </w:rPr>
              <w:t>0.79</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lastRenderedPageBreak/>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14,736,308.20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2.36</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506,778,994.80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81.00</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70,176,000.00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11.22</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274,704,000.00</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43.91</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866,395,303.00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138.48</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123F2F">
        <w:trPr>
          <w:jc w:val="center"/>
        </w:trPr>
        <w:tc>
          <w:tcPr>
            <w:tcW w:w="850" w:type="dxa"/>
            <w:vAlign w:val="center"/>
          </w:tcPr>
          <w:p w:rsidR="00123F2F" w:rsidRDefault="00392244">
            <w:pPr>
              <w:jc w:val="center"/>
            </w:pPr>
            <w:r>
              <w:rPr>
                <w:color w:val="000000"/>
                <w:sz w:val="24"/>
                <w:szCs w:val="24"/>
              </w:rPr>
              <w:t>1</w:t>
            </w:r>
          </w:p>
        </w:tc>
        <w:tc>
          <w:tcPr>
            <w:tcW w:w="1475" w:type="dxa"/>
            <w:vAlign w:val="center"/>
          </w:tcPr>
          <w:p w:rsidR="00123F2F" w:rsidRDefault="00392244">
            <w:pPr>
              <w:jc w:val="center"/>
            </w:pPr>
            <w:r>
              <w:rPr>
                <w:color w:val="000000"/>
                <w:sz w:val="24"/>
                <w:szCs w:val="24"/>
              </w:rPr>
              <w:t>041671005</w:t>
            </w:r>
          </w:p>
        </w:tc>
        <w:tc>
          <w:tcPr>
            <w:tcW w:w="1769" w:type="dxa"/>
            <w:vAlign w:val="center"/>
          </w:tcPr>
          <w:p w:rsidR="00123F2F" w:rsidRDefault="00392244">
            <w:pPr>
              <w:jc w:val="center"/>
            </w:pPr>
            <w:r>
              <w:rPr>
                <w:color w:val="000000"/>
                <w:sz w:val="24"/>
                <w:szCs w:val="24"/>
              </w:rPr>
              <w:t>16</w:t>
            </w:r>
            <w:r>
              <w:rPr>
                <w:color w:val="000000"/>
                <w:sz w:val="24"/>
                <w:szCs w:val="24"/>
              </w:rPr>
              <w:t>南新工</w:t>
            </w:r>
            <w:r>
              <w:rPr>
                <w:color w:val="000000"/>
                <w:sz w:val="24"/>
                <w:szCs w:val="24"/>
              </w:rPr>
              <w:t>CP001</w:t>
            </w:r>
          </w:p>
        </w:tc>
        <w:tc>
          <w:tcPr>
            <w:tcW w:w="1387" w:type="dxa"/>
            <w:vAlign w:val="center"/>
          </w:tcPr>
          <w:p w:rsidR="00123F2F" w:rsidRDefault="00392244">
            <w:pPr>
              <w:jc w:val="right"/>
            </w:pPr>
            <w:r>
              <w:rPr>
                <w:color w:val="000000"/>
                <w:sz w:val="24"/>
                <w:szCs w:val="24"/>
              </w:rPr>
              <w:t>500,000</w:t>
            </w:r>
          </w:p>
        </w:tc>
        <w:tc>
          <w:tcPr>
            <w:tcW w:w="2150" w:type="dxa"/>
            <w:vAlign w:val="center"/>
          </w:tcPr>
          <w:p w:rsidR="00123F2F" w:rsidRDefault="00392244">
            <w:pPr>
              <w:jc w:val="right"/>
            </w:pPr>
            <w:r>
              <w:rPr>
                <w:color w:val="000000"/>
                <w:sz w:val="24"/>
                <w:szCs w:val="24"/>
              </w:rPr>
              <w:t>50,120,000.00</w:t>
            </w:r>
          </w:p>
        </w:tc>
        <w:tc>
          <w:tcPr>
            <w:tcW w:w="1237" w:type="dxa"/>
            <w:vAlign w:val="center"/>
          </w:tcPr>
          <w:p w:rsidR="00123F2F" w:rsidRDefault="00392244">
            <w:pPr>
              <w:jc w:val="right"/>
            </w:pPr>
            <w:r>
              <w:rPr>
                <w:color w:val="000000"/>
                <w:sz w:val="24"/>
                <w:szCs w:val="24"/>
              </w:rPr>
              <w:t>8.01</w:t>
            </w:r>
          </w:p>
        </w:tc>
      </w:tr>
      <w:tr w:rsidR="00123F2F">
        <w:trPr>
          <w:jc w:val="center"/>
        </w:trPr>
        <w:tc>
          <w:tcPr>
            <w:tcW w:w="850" w:type="dxa"/>
            <w:vAlign w:val="center"/>
          </w:tcPr>
          <w:p w:rsidR="00123F2F" w:rsidRDefault="00392244">
            <w:pPr>
              <w:jc w:val="center"/>
            </w:pPr>
            <w:r>
              <w:rPr>
                <w:color w:val="000000"/>
                <w:sz w:val="24"/>
                <w:szCs w:val="24"/>
              </w:rPr>
              <w:t>2</w:t>
            </w:r>
          </w:p>
        </w:tc>
        <w:tc>
          <w:tcPr>
            <w:tcW w:w="1475" w:type="dxa"/>
            <w:vAlign w:val="center"/>
          </w:tcPr>
          <w:p w:rsidR="00123F2F" w:rsidRDefault="00392244">
            <w:pPr>
              <w:jc w:val="center"/>
            </w:pPr>
            <w:r>
              <w:rPr>
                <w:color w:val="000000"/>
                <w:sz w:val="24"/>
                <w:szCs w:val="24"/>
              </w:rPr>
              <w:t>111795397</w:t>
            </w:r>
          </w:p>
        </w:tc>
        <w:tc>
          <w:tcPr>
            <w:tcW w:w="1769" w:type="dxa"/>
            <w:vAlign w:val="center"/>
          </w:tcPr>
          <w:p w:rsidR="00123F2F" w:rsidRDefault="00392244">
            <w:pPr>
              <w:jc w:val="center"/>
            </w:pPr>
            <w:r>
              <w:rPr>
                <w:color w:val="000000"/>
                <w:sz w:val="24"/>
                <w:szCs w:val="24"/>
              </w:rPr>
              <w:t>17</w:t>
            </w:r>
            <w:r>
              <w:rPr>
                <w:color w:val="000000"/>
                <w:sz w:val="24"/>
                <w:szCs w:val="24"/>
              </w:rPr>
              <w:t>宁波银行</w:t>
            </w:r>
            <w:r>
              <w:rPr>
                <w:color w:val="000000"/>
                <w:sz w:val="24"/>
                <w:szCs w:val="24"/>
              </w:rPr>
              <w:t>CD070</w:t>
            </w:r>
          </w:p>
        </w:tc>
        <w:tc>
          <w:tcPr>
            <w:tcW w:w="1387" w:type="dxa"/>
            <w:vAlign w:val="center"/>
          </w:tcPr>
          <w:p w:rsidR="00123F2F" w:rsidRDefault="00392244">
            <w:pPr>
              <w:jc w:val="right"/>
            </w:pPr>
            <w:r>
              <w:rPr>
                <w:color w:val="000000"/>
                <w:sz w:val="24"/>
                <w:szCs w:val="24"/>
              </w:rPr>
              <w:t>500,000</w:t>
            </w:r>
          </w:p>
        </w:tc>
        <w:tc>
          <w:tcPr>
            <w:tcW w:w="2150" w:type="dxa"/>
            <w:vAlign w:val="center"/>
          </w:tcPr>
          <w:p w:rsidR="00123F2F" w:rsidRDefault="00392244">
            <w:pPr>
              <w:jc w:val="right"/>
            </w:pPr>
            <w:r>
              <w:rPr>
                <w:color w:val="000000"/>
                <w:sz w:val="24"/>
                <w:szCs w:val="24"/>
              </w:rPr>
              <w:t>49,470,000.00</w:t>
            </w:r>
          </w:p>
        </w:tc>
        <w:tc>
          <w:tcPr>
            <w:tcW w:w="1237" w:type="dxa"/>
            <w:vAlign w:val="center"/>
          </w:tcPr>
          <w:p w:rsidR="00123F2F" w:rsidRDefault="00392244">
            <w:pPr>
              <w:jc w:val="right"/>
            </w:pPr>
            <w:r>
              <w:rPr>
                <w:color w:val="000000"/>
                <w:sz w:val="24"/>
                <w:szCs w:val="24"/>
              </w:rPr>
              <w:t>7.91</w:t>
            </w:r>
          </w:p>
        </w:tc>
      </w:tr>
      <w:tr w:rsidR="00123F2F">
        <w:trPr>
          <w:jc w:val="center"/>
        </w:trPr>
        <w:tc>
          <w:tcPr>
            <w:tcW w:w="850" w:type="dxa"/>
            <w:vAlign w:val="center"/>
          </w:tcPr>
          <w:p w:rsidR="00123F2F" w:rsidRDefault="00392244">
            <w:pPr>
              <w:jc w:val="center"/>
            </w:pPr>
            <w:r>
              <w:rPr>
                <w:color w:val="000000"/>
                <w:sz w:val="24"/>
                <w:szCs w:val="24"/>
              </w:rPr>
              <w:t>3</w:t>
            </w:r>
          </w:p>
        </w:tc>
        <w:tc>
          <w:tcPr>
            <w:tcW w:w="1475" w:type="dxa"/>
            <w:vAlign w:val="center"/>
          </w:tcPr>
          <w:p w:rsidR="00123F2F" w:rsidRDefault="00392244">
            <w:pPr>
              <w:jc w:val="center"/>
            </w:pPr>
            <w:r>
              <w:rPr>
                <w:color w:val="000000"/>
                <w:sz w:val="24"/>
                <w:szCs w:val="24"/>
              </w:rPr>
              <w:t>111715049</w:t>
            </w:r>
          </w:p>
        </w:tc>
        <w:tc>
          <w:tcPr>
            <w:tcW w:w="1769" w:type="dxa"/>
            <w:vAlign w:val="center"/>
          </w:tcPr>
          <w:p w:rsidR="00123F2F" w:rsidRDefault="00392244">
            <w:pPr>
              <w:jc w:val="center"/>
            </w:pPr>
            <w:r>
              <w:rPr>
                <w:color w:val="000000"/>
                <w:sz w:val="24"/>
                <w:szCs w:val="24"/>
              </w:rPr>
              <w:t>17</w:t>
            </w:r>
            <w:r>
              <w:rPr>
                <w:color w:val="000000"/>
                <w:sz w:val="24"/>
                <w:szCs w:val="24"/>
              </w:rPr>
              <w:t>民生银行</w:t>
            </w:r>
            <w:r>
              <w:rPr>
                <w:color w:val="000000"/>
                <w:sz w:val="24"/>
                <w:szCs w:val="24"/>
              </w:rPr>
              <w:t>CD049</w:t>
            </w:r>
          </w:p>
        </w:tc>
        <w:tc>
          <w:tcPr>
            <w:tcW w:w="1387" w:type="dxa"/>
            <w:vAlign w:val="center"/>
          </w:tcPr>
          <w:p w:rsidR="00123F2F" w:rsidRDefault="00392244">
            <w:pPr>
              <w:jc w:val="right"/>
            </w:pPr>
            <w:r>
              <w:rPr>
                <w:color w:val="000000"/>
                <w:sz w:val="24"/>
                <w:szCs w:val="24"/>
              </w:rPr>
              <w:t>500,000</w:t>
            </w:r>
          </w:p>
        </w:tc>
        <w:tc>
          <w:tcPr>
            <w:tcW w:w="2150" w:type="dxa"/>
            <w:vAlign w:val="center"/>
          </w:tcPr>
          <w:p w:rsidR="00123F2F" w:rsidRDefault="00392244">
            <w:pPr>
              <w:jc w:val="right"/>
            </w:pPr>
            <w:r>
              <w:rPr>
                <w:color w:val="000000"/>
                <w:sz w:val="24"/>
                <w:szCs w:val="24"/>
              </w:rPr>
              <w:t>48,920,000.00</w:t>
            </w:r>
          </w:p>
        </w:tc>
        <w:tc>
          <w:tcPr>
            <w:tcW w:w="1237" w:type="dxa"/>
            <w:vAlign w:val="center"/>
          </w:tcPr>
          <w:p w:rsidR="00123F2F" w:rsidRDefault="00392244">
            <w:pPr>
              <w:jc w:val="right"/>
            </w:pPr>
            <w:r>
              <w:rPr>
                <w:color w:val="000000"/>
                <w:sz w:val="24"/>
                <w:szCs w:val="24"/>
              </w:rPr>
              <w:t>7.82</w:t>
            </w:r>
          </w:p>
        </w:tc>
      </w:tr>
      <w:tr w:rsidR="00123F2F">
        <w:trPr>
          <w:jc w:val="center"/>
        </w:trPr>
        <w:tc>
          <w:tcPr>
            <w:tcW w:w="850" w:type="dxa"/>
            <w:vAlign w:val="center"/>
          </w:tcPr>
          <w:p w:rsidR="00123F2F" w:rsidRDefault="00392244">
            <w:pPr>
              <w:jc w:val="center"/>
            </w:pPr>
            <w:r>
              <w:rPr>
                <w:color w:val="000000"/>
                <w:sz w:val="24"/>
                <w:szCs w:val="24"/>
              </w:rPr>
              <w:t>4</w:t>
            </w:r>
          </w:p>
        </w:tc>
        <w:tc>
          <w:tcPr>
            <w:tcW w:w="1475" w:type="dxa"/>
            <w:vAlign w:val="center"/>
          </w:tcPr>
          <w:p w:rsidR="00123F2F" w:rsidRDefault="00392244">
            <w:pPr>
              <w:jc w:val="center"/>
            </w:pPr>
            <w:r>
              <w:rPr>
                <w:color w:val="000000"/>
                <w:sz w:val="24"/>
                <w:szCs w:val="24"/>
              </w:rPr>
              <w:t>111717060</w:t>
            </w:r>
          </w:p>
        </w:tc>
        <w:tc>
          <w:tcPr>
            <w:tcW w:w="1769" w:type="dxa"/>
            <w:vAlign w:val="center"/>
          </w:tcPr>
          <w:p w:rsidR="00123F2F" w:rsidRDefault="00392244">
            <w:pPr>
              <w:jc w:val="center"/>
            </w:pPr>
            <w:r>
              <w:rPr>
                <w:color w:val="000000"/>
                <w:sz w:val="24"/>
                <w:szCs w:val="24"/>
              </w:rPr>
              <w:t>17</w:t>
            </w:r>
            <w:r>
              <w:rPr>
                <w:color w:val="000000"/>
                <w:sz w:val="24"/>
                <w:szCs w:val="24"/>
              </w:rPr>
              <w:t>光大银行</w:t>
            </w:r>
            <w:r>
              <w:rPr>
                <w:color w:val="000000"/>
                <w:sz w:val="24"/>
                <w:szCs w:val="24"/>
              </w:rPr>
              <w:t>CD060</w:t>
            </w:r>
          </w:p>
        </w:tc>
        <w:tc>
          <w:tcPr>
            <w:tcW w:w="1387" w:type="dxa"/>
            <w:vAlign w:val="center"/>
          </w:tcPr>
          <w:p w:rsidR="00123F2F" w:rsidRDefault="00392244">
            <w:pPr>
              <w:jc w:val="right"/>
            </w:pPr>
            <w:r>
              <w:rPr>
                <w:color w:val="000000"/>
                <w:sz w:val="24"/>
                <w:szCs w:val="24"/>
              </w:rPr>
              <w:t>500,000</w:t>
            </w:r>
          </w:p>
        </w:tc>
        <w:tc>
          <w:tcPr>
            <w:tcW w:w="2150" w:type="dxa"/>
            <w:vAlign w:val="center"/>
          </w:tcPr>
          <w:p w:rsidR="00123F2F" w:rsidRDefault="00392244">
            <w:pPr>
              <w:jc w:val="right"/>
            </w:pPr>
            <w:r>
              <w:rPr>
                <w:color w:val="000000"/>
                <w:sz w:val="24"/>
                <w:szCs w:val="24"/>
              </w:rPr>
              <w:t>48,920,000.00</w:t>
            </w:r>
          </w:p>
        </w:tc>
        <w:tc>
          <w:tcPr>
            <w:tcW w:w="1237" w:type="dxa"/>
            <w:vAlign w:val="center"/>
          </w:tcPr>
          <w:p w:rsidR="00123F2F" w:rsidRDefault="00392244">
            <w:pPr>
              <w:jc w:val="right"/>
            </w:pPr>
            <w:r>
              <w:rPr>
                <w:color w:val="000000"/>
                <w:sz w:val="24"/>
                <w:szCs w:val="24"/>
              </w:rPr>
              <w:t>7.82</w:t>
            </w:r>
          </w:p>
        </w:tc>
      </w:tr>
      <w:tr w:rsidR="00123F2F">
        <w:trPr>
          <w:jc w:val="center"/>
        </w:trPr>
        <w:tc>
          <w:tcPr>
            <w:tcW w:w="850" w:type="dxa"/>
            <w:vAlign w:val="center"/>
          </w:tcPr>
          <w:p w:rsidR="00123F2F" w:rsidRDefault="00392244">
            <w:pPr>
              <w:jc w:val="center"/>
            </w:pPr>
            <w:r>
              <w:rPr>
                <w:color w:val="000000"/>
                <w:sz w:val="24"/>
                <w:szCs w:val="24"/>
              </w:rPr>
              <w:t>5</w:t>
            </w:r>
          </w:p>
        </w:tc>
        <w:tc>
          <w:tcPr>
            <w:tcW w:w="1475" w:type="dxa"/>
            <w:vAlign w:val="center"/>
          </w:tcPr>
          <w:p w:rsidR="00123F2F" w:rsidRDefault="00392244">
            <w:pPr>
              <w:jc w:val="center"/>
            </w:pPr>
            <w:r>
              <w:rPr>
                <w:color w:val="000000"/>
                <w:sz w:val="24"/>
                <w:szCs w:val="24"/>
              </w:rPr>
              <w:t>136452</w:t>
            </w:r>
          </w:p>
        </w:tc>
        <w:tc>
          <w:tcPr>
            <w:tcW w:w="1769" w:type="dxa"/>
            <w:vAlign w:val="center"/>
          </w:tcPr>
          <w:p w:rsidR="00123F2F" w:rsidRDefault="00392244">
            <w:pPr>
              <w:jc w:val="center"/>
            </w:pPr>
            <w:r>
              <w:rPr>
                <w:color w:val="000000"/>
                <w:sz w:val="24"/>
                <w:szCs w:val="24"/>
              </w:rPr>
              <w:t>16</w:t>
            </w:r>
            <w:r>
              <w:rPr>
                <w:color w:val="000000"/>
                <w:sz w:val="24"/>
                <w:szCs w:val="24"/>
              </w:rPr>
              <w:t>南航</w:t>
            </w:r>
            <w:r>
              <w:rPr>
                <w:color w:val="000000"/>
                <w:sz w:val="24"/>
                <w:szCs w:val="24"/>
              </w:rPr>
              <w:t>02</w:t>
            </w:r>
          </w:p>
        </w:tc>
        <w:tc>
          <w:tcPr>
            <w:tcW w:w="1387" w:type="dxa"/>
            <w:vAlign w:val="center"/>
          </w:tcPr>
          <w:p w:rsidR="00123F2F" w:rsidRDefault="00392244">
            <w:pPr>
              <w:jc w:val="right"/>
            </w:pPr>
            <w:r>
              <w:rPr>
                <w:color w:val="000000"/>
                <w:sz w:val="24"/>
                <w:szCs w:val="24"/>
              </w:rPr>
              <w:t>500,000</w:t>
            </w:r>
          </w:p>
        </w:tc>
        <w:tc>
          <w:tcPr>
            <w:tcW w:w="2150" w:type="dxa"/>
            <w:vAlign w:val="center"/>
          </w:tcPr>
          <w:p w:rsidR="00123F2F" w:rsidRDefault="00392244">
            <w:pPr>
              <w:jc w:val="right"/>
            </w:pPr>
            <w:r>
              <w:rPr>
                <w:color w:val="000000"/>
                <w:sz w:val="24"/>
                <w:szCs w:val="24"/>
              </w:rPr>
              <w:t>48,615,000.00</w:t>
            </w:r>
          </w:p>
        </w:tc>
        <w:tc>
          <w:tcPr>
            <w:tcW w:w="1237" w:type="dxa"/>
            <w:vAlign w:val="center"/>
          </w:tcPr>
          <w:p w:rsidR="00123F2F" w:rsidRDefault="00392244">
            <w:pPr>
              <w:jc w:val="right"/>
            </w:pPr>
            <w:r>
              <w:rPr>
                <w:color w:val="000000"/>
                <w:sz w:val="24"/>
                <w:szCs w:val="24"/>
              </w:rPr>
              <w:t>7.77</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lastRenderedPageBreak/>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96,708.18</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2,155,689.52</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12,687,636.69</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14,940,034.39</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lastRenderedPageBreak/>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600,035,771.87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600,035,771.87</w:t>
            </w:r>
          </w:p>
        </w:tc>
      </w:tr>
    </w:tbl>
    <w:p w:rsidR="00123F2F" w:rsidRDefault="00392244">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283920" w:rsidP="00C15CAC">
      <w:pPr>
        <w:autoSpaceDE w:val="0"/>
        <w:autoSpaceDN w:val="0"/>
        <w:adjustRightInd w:val="0"/>
        <w:spacing w:before="29" w:line="288" w:lineRule="auto"/>
        <w:jc w:val="left"/>
        <w:rPr>
          <w:color w:val="000000"/>
          <w:sz w:val="24"/>
          <w:szCs w:val="24"/>
        </w:rPr>
      </w:pPr>
      <w:r>
        <w:rPr>
          <w:rFonts w:hint="eastAsia"/>
          <w:color w:val="000000"/>
          <w:sz w:val="24"/>
          <w:szCs w:val="24"/>
        </w:rPr>
        <w:t xml:space="preserve">    </w:t>
      </w:r>
      <w:r w:rsidR="004061AC" w:rsidRPr="00414345">
        <w:rPr>
          <w:color w:val="000000"/>
          <w:sz w:val="24"/>
          <w:szCs w:val="24"/>
        </w:rPr>
        <w:t>2</w:t>
      </w:r>
      <w:r w:rsidR="004061AC"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F42D9F">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3C50AD" w:rsidRPr="0055474F" w:rsidRDefault="003C50AD" w:rsidP="00F42D9F">
      <w:pPr>
        <w:pStyle w:val="1"/>
        <w:spacing w:beforeLines="100" w:before="312" w:afterLines="100" w:after="312" w:line="360" w:lineRule="auto"/>
        <w:jc w:val="center"/>
        <w:rPr>
          <w:rFonts w:eastAsiaTheme="minorEastAsia"/>
          <w:color w:val="000000" w:themeColor="text1"/>
          <w:kern w:val="0"/>
          <w:sz w:val="24"/>
          <w:szCs w:val="24"/>
        </w:rPr>
      </w:pPr>
      <w:r w:rsidRPr="0055474F">
        <w:rPr>
          <w:rFonts w:eastAsiaTheme="minorEastAsia"/>
          <w:color w:val="000000" w:themeColor="text1"/>
          <w:kern w:val="0"/>
          <w:sz w:val="24"/>
          <w:szCs w:val="24"/>
        </w:rPr>
        <w:t xml:space="preserve">§8  </w:t>
      </w:r>
      <w:r w:rsidRPr="0055474F">
        <w:rPr>
          <w:rFonts w:eastAsiaTheme="minorEastAsia"/>
          <w:color w:val="000000" w:themeColor="text1"/>
          <w:kern w:val="0"/>
          <w:sz w:val="24"/>
          <w:szCs w:val="24"/>
        </w:rPr>
        <w:t>影响投资者决策的其他重要信息</w:t>
      </w:r>
    </w:p>
    <w:p w:rsidR="003C50AD" w:rsidRPr="0055474F" w:rsidRDefault="003C50AD" w:rsidP="003C50AD">
      <w:pPr>
        <w:autoSpaceDE w:val="0"/>
        <w:autoSpaceDN w:val="0"/>
        <w:adjustRightInd w:val="0"/>
        <w:spacing w:line="360" w:lineRule="auto"/>
        <w:jc w:val="left"/>
        <w:rPr>
          <w:b/>
          <w:bCs/>
          <w:color w:val="000000"/>
          <w:kern w:val="0"/>
          <w:sz w:val="24"/>
          <w:szCs w:val="24"/>
        </w:rPr>
      </w:pPr>
      <w:r w:rsidRPr="0055474F">
        <w:rPr>
          <w:b/>
          <w:bCs/>
          <w:color w:val="000000"/>
          <w:kern w:val="0"/>
          <w:sz w:val="24"/>
          <w:szCs w:val="24"/>
        </w:rPr>
        <w:t xml:space="preserve">8.1 </w:t>
      </w:r>
      <w:r w:rsidRPr="0055474F">
        <w:rPr>
          <w:b/>
          <w:bCs/>
          <w:color w:val="000000"/>
          <w:kern w:val="0"/>
          <w:sz w:val="24"/>
          <w:szCs w:val="24"/>
        </w:rPr>
        <w:t>报告期内单一投资者持有基金份额比例达到或超过</w:t>
      </w:r>
      <w:r w:rsidRPr="0055474F">
        <w:rPr>
          <w:b/>
          <w:bCs/>
          <w:color w:val="000000"/>
          <w:kern w:val="0"/>
          <w:sz w:val="24"/>
          <w:szCs w:val="24"/>
        </w:rPr>
        <w:t>20%</w:t>
      </w:r>
      <w:r w:rsidRPr="0055474F">
        <w:rPr>
          <w:b/>
          <w:bCs/>
          <w:color w:val="000000"/>
          <w:kern w:val="0"/>
          <w:sz w:val="24"/>
          <w:szCs w:val="24"/>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3C50AD" w:rsidRPr="0055474F" w:rsidTr="00424D30">
        <w:tc>
          <w:tcPr>
            <w:tcW w:w="993" w:type="dxa"/>
            <w:vMerge w:val="restart"/>
            <w:vAlign w:val="center"/>
          </w:tcPr>
          <w:p w:rsidR="003C50AD" w:rsidRPr="0055474F" w:rsidRDefault="003C50AD" w:rsidP="00424D30">
            <w:pPr>
              <w:autoSpaceDE w:val="0"/>
              <w:autoSpaceDN w:val="0"/>
              <w:adjustRightInd w:val="0"/>
              <w:jc w:val="center"/>
              <w:rPr>
                <w:b/>
                <w:bCs/>
                <w:color w:val="000000"/>
                <w:kern w:val="0"/>
                <w:sz w:val="24"/>
                <w:szCs w:val="24"/>
              </w:rPr>
            </w:pPr>
            <w:r w:rsidRPr="0055474F">
              <w:rPr>
                <w:color w:val="000000"/>
                <w:kern w:val="0"/>
                <w:sz w:val="24"/>
                <w:szCs w:val="24"/>
              </w:rPr>
              <w:t>投资者类别</w:t>
            </w:r>
            <w:r w:rsidRPr="0055474F">
              <w:rPr>
                <w:color w:val="000000"/>
                <w:kern w:val="0"/>
                <w:sz w:val="24"/>
                <w:szCs w:val="24"/>
              </w:rPr>
              <w:t xml:space="preserve">  </w:t>
            </w:r>
          </w:p>
        </w:tc>
        <w:tc>
          <w:tcPr>
            <w:tcW w:w="5670" w:type="dxa"/>
            <w:gridSpan w:val="5"/>
            <w:vAlign w:val="center"/>
          </w:tcPr>
          <w:p w:rsidR="003C50AD" w:rsidRPr="0055474F" w:rsidRDefault="003C50AD" w:rsidP="00424D30">
            <w:pPr>
              <w:autoSpaceDE w:val="0"/>
              <w:autoSpaceDN w:val="0"/>
              <w:adjustRightInd w:val="0"/>
              <w:jc w:val="center"/>
              <w:rPr>
                <w:b/>
                <w:bCs/>
                <w:color w:val="000000"/>
                <w:kern w:val="0"/>
                <w:sz w:val="24"/>
                <w:szCs w:val="24"/>
              </w:rPr>
            </w:pPr>
            <w:r w:rsidRPr="0055474F">
              <w:rPr>
                <w:color w:val="000000"/>
                <w:kern w:val="0"/>
                <w:sz w:val="24"/>
                <w:szCs w:val="24"/>
              </w:rPr>
              <w:t>报告期内持有基金份额变化情况</w:t>
            </w:r>
          </w:p>
        </w:tc>
        <w:tc>
          <w:tcPr>
            <w:tcW w:w="2549" w:type="dxa"/>
            <w:gridSpan w:val="2"/>
            <w:vAlign w:val="center"/>
          </w:tcPr>
          <w:p w:rsidR="003C50AD" w:rsidRPr="0055474F" w:rsidRDefault="003C50AD" w:rsidP="00424D30">
            <w:pPr>
              <w:autoSpaceDE w:val="0"/>
              <w:autoSpaceDN w:val="0"/>
              <w:adjustRightInd w:val="0"/>
              <w:jc w:val="center"/>
              <w:rPr>
                <w:b/>
                <w:bCs/>
                <w:color w:val="000000"/>
                <w:kern w:val="0"/>
                <w:sz w:val="24"/>
                <w:szCs w:val="24"/>
              </w:rPr>
            </w:pPr>
            <w:r w:rsidRPr="0055474F">
              <w:rPr>
                <w:color w:val="000000"/>
                <w:kern w:val="0"/>
                <w:sz w:val="24"/>
                <w:szCs w:val="24"/>
              </w:rPr>
              <w:t>报告期末持有基金情况</w:t>
            </w:r>
          </w:p>
        </w:tc>
      </w:tr>
      <w:tr w:rsidR="003C50AD" w:rsidRPr="0055474F" w:rsidTr="00424D30">
        <w:tc>
          <w:tcPr>
            <w:tcW w:w="993" w:type="dxa"/>
            <w:vMerge/>
            <w:vAlign w:val="center"/>
          </w:tcPr>
          <w:p w:rsidR="003C50AD" w:rsidRPr="0055474F" w:rsidRDefault="003C50AD" w:rsidP="00424D30">
            <w:pPr>
              <w:autoSpaceDE w:val="0"/>
              <w:autoSpaceDN w:val="0"/>
              <w:adjustRightInd w:val="0"/>
              <w:jc w:val="center"/>
              <w:rPr>
                <w:b/>
                <w:bCs/>
                <w:color w:val="000000"/>
                <w:kern w:val="0"/>
                <w:sz w:val="24"/>
                <w:szCs w:val="24"/>
              </w:rPr>
            </w:pPr>
          </w:p>
        </w:tc>
        <w:tc>
          <w:tcPr>
            <w:tcW w:w="992" w:type="dxa"/>
            <w:vAlign w:val="center"/>
          </w:tcPr>
          <w:p w:rsidR="003C50AD" w:rsidRPr="0055474F" w:rsidRDefault="003C50AD" w:rsidP="00424D30">
            <w:pPr>
              <w:autoSpaceDE w:val="0"/>
              <w:autoSpaceDN w:val="0"/>
              <w:adjustRightInd w:val="0"/>
              <w:jc w:val="center"/>
              <w:rPr>
                <w:b/>
                <w:bCs/>
                <w:color w:val="000000"/>
                <w:kern w:val="0"/>
                <w:sz w:val="24"/>
                <w:szCs w:val="24"/>
              </w:rPr>
            </w:pPr>
            <w:r w:rsidRPr="0055474F">
              <w:rPr>
                <w:color w:val="000000"/>
                <w:kern w:val="0"/>
                <w:sz w:val="24"/>
                <w:szCs w:val="24"/>
              </w:rPr>
              <w:t>序号</w:t>
            </w:r>
          </w:p>
        </w:tc>
        <w:tc>
          <w:tcPr>
            <w:tcW w:w="1843" w:type="dxa"/>
            <w:vAlign w:val="center"/>
          </w:tcPr>
          <w:p w:rsidR="003C50AD" w:rsidRPr="0055474F" w:rsidRDefault="003C50AD" w:rsidP="00424D30">
            <w:pPr>
              <w:autoSpaceDE w:val="0"/>
              <w:autoSpaceDN w:val="0"/>
              <w:adjustRightInd w:val="0"/>
              <w:jc w:val="center"/>
              <w:rPr>
                <w:b/>
                <w:bCs/>
                <w:color w:val="000000"/>
                <w:kern w:val="0"/>
                <w:sz w:val="24"/>
                <w:szCs w:val="24"/>
              </w:rPr>
            </w:pPr>
            <w:r w:rsidRPr="0055474F">
              <w:rPr>
                <w:color w:val="000000"/>
                <w:kern w:val="0"/>
                <w:sz w:val="24"/>
                <w:szCs w:val="24"/>
              </w:rPr>
              <w:t>持有基金份额比例达到或者超过</w:t>
            </w:r>
            <w:r w:rsidRPr="0055474F">
              <w:rPr>
                <w:color w:val="000000"/>
                <w:kern w:val="0"/>
                <w:sz w:val="24"/>
                <w:szCs w:val="24"/>
              </w:rPr>
              <w:t>20%</w:t>
            </w:r>
            <w:r w:rsidRPr="0055474F">
              <w:rPr>
                <w:color w:val="000000"/>
                <w:kern w:val="0"/>
                <w:sz w:val="24"/>
                <w:szCs w:val="24"/>
              </w:rPr>
              <w:t>的时间区间</w:t>
            </w:r>
          </w:p>
        </w:tc>
        <w:tc>
          <w:tcPr>
            <w:tcW w:w="851" w:type="dxa"/>
            <w:vAlign w:val="center"/>
          </w:tcPr>
          <w:p w:rsidR="003C50AD" w:rsidRPr="0055474F" w:rsidRDefault="003C50AD" w:rsidP="00424D30">
            <w:pPr>
              <w:widowControl/>
              <w:jc w:val="center"/>
              <w:rPr>
                <w:b/>
                <w:bCs/>
                <w:color w:val="000000"/>
                <w:kern w:val="0"/>
                <w:sz w:val="24"/>
                <w:szCs w:val="24"/>
              </w:rPr>
            </w:pPr>
            <w:r w:rsidRPr="0055474F">
              <w:rPr>
                <w:color w:val="000000"/>
                <w:kern w:val="0"/>
                <w:sz w:val="24"/>
                <w:szCs w:val="24"/>
              </w:rPr>
              <w:t>期初份额</w:t>
            </w:r>
          </w:p>
        </w:tc>
        <w:tc>
          <w:tcPr>
            <w:tcW w:w="850" w:type="dxa"/>
            <w:vAlign w:val="center"/>
          </w:tcPr>
          <w:p w:rsidR="003C50AD" w:rsidRPr="0055474F" w:rsidRDefault="003C50AD" w:rsidP="00424D30">
            <w:pPr>
              <w:widowControl/>
              <w:jc w:val="center"/>
              <w:rPr>
                <w:b/>
                <w:bCs/>
                <w:color w:val="000000"/>
                <w:kern w:val="0"/>
                <w:sz w:val="24"/>
                <w:szCs w:val="24"/>
              </w:rPr>
            </w:pPr>
            <w:r w:rsidRPr="0055474F">
              <w:rPr>
                <w:color w:val="000000"/>
                <w:kern w:val="0"/>
                <w:sz w:val="24"/>
                <w:szCs w:val="24"/>
              </w:rPr>
              <w:t>申购份额</w:t>
            </w:r>
          </w:p>
        </w:tc>
        <w:tc>
          <w:tcPr>
            <w:tcW w:w="1134" w:type="dxa"/>
            <w:vAlign w:val="center"/>
          </w:tcPr>
          <w:p w:rsidR="003C50AD" w:rsidRPr="0055474F" w:rsidRDefault="003C50AD" w:rsidP="00424D30">
            <w:pPr>
              <w:widowControl/>
              <w:jc w:val="center"/>
              <w:rPr>
                <w:b/>
                <w:bCs/>
                <w:color w:val="000000"/>
                <w:kern w:val="0"/>
                <w:sz w:val="24"/>
                <w:szCs w:val="24"/>
              </w:rPr>
            </w:pPr>
            <w:r w:rsidRPr="0055474F">
              <w:rPr>
                <w:color w:val="000000"/>
                <w:kern w:val="0"/>
                <w:sz w:val="24"/>
                <w:szCs w:val="24"/>
              </w:rPr>
              <w:t>赎回份额</w:t>
            </w:r>
          </w:p>
        </w:tc>
        <w:tc>
          <w:tcPr>
            <w:tcW w:w="1419" w:type="dxa"/>
            <w:vAlign w:val="center"/>
          </w:tcPr>
          <w:p w:rsidR="003C50AD" w:rsidRPr="0055474F" w:rsidRDefault="003C50AD" w:rsidP="00424D30">
            <w:pPr>
              <w:autoSpaceDE w:val="0"/>
              <w:autoSpaceDN w:val="0"/>
              <w:adjustRightInd w:val="0"/>
              <w:jc w:val="center"/>
              <w:rPr>
                <w:b/>
                <w:bCs/>
                <w:color w:val="000000"/>
                <w:kern w:val="0"/>
                <w:sz w:val="24"/>
                <w:szCs w:val="24"/>
              </w:rPr>
            </w:pPr>
            <w:r w:rsidRPr="0055474F">
              <w:rPr>
                <w:color w:val="000000"/>
                <w:kern w:val="0"/>
                <w:sz w:val="24"/>
                <w:szCs w:val="24"/>
              </w:rPr>
              <w:t>持有份额</w:t>
            </w:r>
          </w:p>
        </w:tc>
        <w:tc>
          <w:tcPr>
            <w:tcW w:w="1130" w:type="dxa"/>
            <w:vAlign w:val="center"/>
          </w:tcPr>
          <w:p w:rsidR="003C50AD" w:rsidRPr="0055474F" w:rsidRDefault="003C50AD" w:rsidP="00424D30">
            <w:pPr>
              <w:autoSpaceDE w:val="0"/>
              <w:autoSpaceDN w:val="0"/>
              <w:adjustRightInd w:val="0"/>
              <w:jc w:val="center"/>
              <w:rPr>
                <w:b/>
                <w:bCs/>
                <w:color w:val="000000"/>
                <w:kern w:val="0"/>
                <w:sz w:val="24"/>
                <w:szCs w:val="24"/>
              </w:rPr>
            </w:pPr>
            <w:r w:rsidRPr="0055474F">
              <w:rPr>
                <w:color w:val="000000"/>
                <w:kern w:val="0"/>
                <w:sz w:val="24"/>
                <w:szCs w:val="24"/>
              </w:rPr>
              <w:t>份额占比</w:t>
            </w:r>
          </w:p>
        </w:tc>
      </w:tr>
      <w:tr w:rsidR="00123F2F" w:rsidRPr="0055474F">
        <w:tc>
          <w:tcPr>
            <w:tcW w:w="993" w:type="dxa"/>
            <w:vMerge w:val="restart"/>
          </w:tcPr>
          <w:p w:rsidR="00123F2F" w:rsidRPr="0055474F" w:rsidRDefault="00123F2F">
            <w:pPr>
              <w:rPr>
                <w:sz w:val="24"/>
                <w:szCs w:val="24"/>
              </w:rPr>
            </w:pPr>
          </w:p>
          <w:p w:rsidR="00123F2F" w:rsidRPr="0055474F" w:rsidRDefault="00392244">
            <w:pPr>
              <w:rPr>
                <w:sz w:val="24"/>
                <w:szCs w:val="24"/>
              </w:rPr>
            </w:pPr>
            <w:r w:rsidRPr="0055474F">
              <w:rPr>
                <w:bCs/>
                <w:color w:val="000000"/>
                <w:kern w:val="0"/>
                <w:sz w:val="24"/>
                <w:szCs w:val="24"/>
              </w:rPr>
              <w:t>机构</w:t>
            </w:r>
          </w:p>
        </w:tc>
        <w:tc>
          <w:tcPr>
            <w:tcW w:w="992" w:type="dxa"/>
            <w:vAlign w:val="center"/>
          </w:tcPr>
          <w:p w:rsidR="00123F2F" w:rsidRPr="0055474F" w:rsidRDefault="00392244">
            <w:pPr>
              <w:jc w:val="center"/>
              <w:rPr>
                <w:sz w:val="24"/>
                <w:szCs w:val="24"/>
              </w:rPr>
            </w:pPr>
            <w:r w:rsidRPr="0055474F">
              <w:rPr>
                <w:color w:val="000000"/>
                <w:kern w:val="0"/>
                <w:sz w:val="24"/>
                <w:szCs w:val="24"/>
              </w:rPr>
              <w:t>1</w:t>
            </w:r>
          </w:p>
        </w:tc>
        <w:tc>
          <w:tcPr>
            <w:tcW w:w="1843" w:type="dxa"/>
            <w:vAlign w:val="center"/>
          </w:tcPr>
          <w:p w:rsidR="00123F2F" w:rsidRPr="0055474F" w:rsidRDefault="00392244">
            <w:pPr>
              <w:jc w:val="center"/>
              <w:rPr>
                <w:sz w:val="24"/>
                <w:szCs w:val="24"/>
              </w:rPr>
            </w:pPr>
            <w:r w:rsidRPr="0055474F">
              <w:rPr>
                <w:color w:val="000000"/>
                <w:kern w:val="0"/>
                <w:sz w:val="24"/>
                <w:szCs w:val="24"/>
              </w:rPr>
              <w:t>2017/4/1-2017/6/30</w:t>
            </w:r>
          </w:p>
        </w:tc>
        <w:tc>
          <w:tcPr>
            <w:tcW w:w="851" w:type="dxa"/>
            <w:vAlign w:val="center"/>
          </w:tcPr>
          <w:p w:rsidR="00123F2F" w:rsidRPr="0055474F" w:rsidRDefault="00392244">
            <w:pPr>
              <w:jc w:val="center"/>
              <w:rPr>
                <w:sz w:val="24"/>
                <w:szCs w:val="24"/>
              </w:rPr>
            </w:pPr>
            <w:r w:rsidRPr="0055474F">
              <w:rPr>
                <w:color w:val="000000"/>
                <w:kern w:val="0"/>
                <w:sz w:val="24"/>
                <w:szCs w:val="24"/>
              </w:rPr>
              <w:t>600,028,500.00</w:t>
            </w:r>
          </w:p>
        </w:tc>
        <w:tc>
          <w:tcPr>
            <w:tcW w:w="850" w:type="dxa"/>
            <w:vAlign w:val="center"/>
          </w:tcPr>
          <w:p w:rsidR="00123F2F" w:rsidRPr="0055474F" w:rsidRDefault="00392244">
            <w:pPr>
              <w:jc w:val="center"/>
              <w:rPr>
                <w:sz w:val="24"/>
                <w:szCs w:val="24"/>
              </w:rPr>
            </w:pPr>
            <w:r w:rsidRPr="0055474F">
              <w:rPr>
                <w:color w:val="000000"/>
                <w:kern w:val="0"/>
                <w:sz w:val="24"/>
                <w:szCs w:val="24"/>
              </w:rPr>
              <w:t>-</w:t>
            </w:r>
          </w:p>
        </w:tc>
        <w:tc>
          <w:tcPr>
            <w:tcW w:w="1134" w:type="dxa"/>
            <w:vAlign w:val="center"/>
          </w:tcPr>
          <w:p w:rsidR="00123F2F" w:rsidRPr="0055474F" w:rsidRDefault="00392244">
            <w:pPr>
              <w:jc w:val="center"/>
              <w:rPr>
                <w:sz w:val="24"/>
                <w:szCs w:val="24"/>
              </w:rPr>
            </w:pPr>
            <w:r w:rsidRPr="0055474F">
              <w:rPr>
                <w:color w:val="000000"/>
                <w:kern w:val="0"/>
                <w:sz w:val="24"/>
                <w:szCs w:val="24"/>
              </w:rPr>
              <w:t>-</w:t>
            </w:r>
          </w:p>
        </w:tc>
        <w:tc>
          <w:tcPr>
            <w:tcW w:w="1419" w:type="dxa"/>
            <w:vAlign w:val="center"/>
          </w:tcPr>
          <w:p w:rsidR="00123F2F" w:rsidRPr="0055474F" w:rsidRDefault="00392244">
            <w:pPr>
              <w:jc w:val="center"/>
              <w:rPr>
                <w:sz w:val="24"/>
                <w:szCs w:val="24"/>
              </w:rPr>
            </w:pPr>
            <w:r w:rsidRPr="0055474F">
              <w:rPr>
                <w:color w:val="000000"/>
                <w:kern w:val="0"/>
                <w:sz w:val="24"/>
                <w:szCs w:val="24"/>
              </w:rPr>
              <w:t>600,028,500.00</w:t>
            </w:r>
          </w:p>
        </w:tc>
        <w:tc>
          <w:tcPr>
            <w:tcW w:w="1130" w:type="dxa"/>
            <w:vAlign w:val="center"/>
          </w:tcPr>
          <w:p w:rsidR="00123F2F" w:rsidRPr="0055474F" w:rsidRDefault="00392244">
            <w:pPr>
              <w:jc w:val="center"/>
              <w:rPr>
                <w:sz w:val="24"/>
                <w:szCs w:val="24"/>
              </w:rPr>
            </w:pPr>
            <w:r w:rsidRPr="0055474F">
              <w:rPr>
                <w:color w:val="000000"/>
                <w:kern w:val="0"/>
                <w:sz w:val="24"/>
                <w:szCs w:val="24"/>
              </w:rPr>
              <w:t>100.00%</w:t>
            </w:r>
          </w:p>
        </w:tc>
      </w:tr>
    </w:tbl>
    <w:p w:rsidR="003C50AD" w:rsidRDefault="003C50AD" w:rsidP="0055474F">
      <w:pPr>
        <w:spacing w:before="29" w:line="288" w:lineRule="auto"/>
        <w:rPr>
          <w:color w:val="000000"/>
          <w:sz w:val="24"/>
          <w:szCs w:val="24"/>
        </w:rPr>
      </w:pPr>
      <w:r w:rsidRPr="0055474F">
        <w:rPr>
          <w:color w:val="000000"/>
          <w:sz w:val="24"/>
          <w:szCs w:val="24"/>
        </w:rPr>
        <w:t>注：本基金本报告期内出现单一投资者持有基金份额比例超过基金总份额</w:t>
      </w:r>
      <w:r w:rsidRPr="0055474F">
        <w:rPr>
          <w:color w:val="000000"/>
          <w:sz w:val="24"/>
          <w:szCs w:val="24"/>
        </w:rPr>
        <w:t>20%</w:t>
      </w:r>
      <w:r w:rsidRPr="0055474F">
        <w:rPr>
          <w:color w:val="000000"/>
          <w:sz w:val="24"/>
          <w:szCs w:val="24"/>
        </w:rPr>
        <w:t>的情况。如该类投资者集中赎回，可能会对本基金带来流动性冲击，从而影响基金的投资运作和</w:t>
      </w:r>
      <w:r w:rsidRPr="0055474F">
        <w:rPr>
          <w:color w:val="000000"/>
          <w:sz w:val="24"/>
          <w:szCs w:val="24"/>
        </w:rPr>
        <w:lastRenderedPageBreak/>
        <w:t>收益水平。基金管理人将加强流动性管理，防范相关风险，保护持有人利益。</w:t>
      </w:r>
    </w:p>
    <w:p w:rsidR="0055474F" w:rsidRPr="0055474F" w:rsidRDefault="0055474F" w:rsidP="0055474F">
      <w:pPr>
        <w:spacing w:before="29" w:line="288" w:lineRule="auto"/>
        <w:rPr>
          <w:color w:val="000000"/>
          <w:sz w:val="24"/>
          <w:szCs w:val="24"/>
        </w:rPr>
      </w:pPr>
    </w:p>
    <w:p w:rsidR="00B22DEE" w:rsidRPr="00E02660" w:rsidRDefault="004061AC" w:rsidP="00F42D9F">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rsidR="00123F2F" w:rsidRDefault="00392244">
      <w:pPr>
        <w:spacing w:before="29" w:line="288" w:lineRule="auto"/>
        <w:ind w:firstLineChars="200" w:firstLine="480"/>
        <w:rPr>
          <w:color w:val="000000"/>
          <w:sz w:val="24"/>
          <w:szCs w:val="24"/>
        </w:rPr>
      </w:pPr>
      <w:r>
        <w:rPr>
          <w:color w:val="000000"/>
          <w:sz w:val="24"/>
          <w:szCs w:val="24"/>
        </w:rPr>
        <w:t>1</w:t>
      </w:r>
      <w:r>
        <w:rPr>
          <w:color w:val="000000"/>
          <w:sz w:val="24"/>
          <w:szCs w:val="24"/>
        </w:rPr>
        <w:t>、中国证监会准予交银施罗德瑞利定期开放灵活配置混合型证券投资基金募集注册的文件；</w:t>
      </w:r>
      <w:r>
        <w:rPr>
          <w:color w:val="000000"/>
          <w:sz w:val="24"/>
          <w:szCs w:val="24"/>
        </w:rPr>
        <w:t xml:space="preserve"> </w:t>
      </w:r>
    </w:p>
    <w:p w:rsidR="00123F2F" w:rsidRDefault="00392244">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、《交银施罗德瑞利定期开放灵活配置混合型证券投资基金基金合同》；</w:t>
      </w:r>
      <w:r>
        <w:rPr>
          <w:color w:val="000000"/>
          <w:sz w:val="24"/>
          <w:szCs w:val="24"/>
        </w:rPr>
        <w:t xml:space="preserve"> </w:t>
      </w:r>
    </w:p>
    <w:p w:rsidR="00123F2F" w:rsidRDefault="00392244">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、《交银施罗德瑞利定期开放灵活配置混合型证券投资基金招募说明书》；</w:t>
      </w:r>
      <w:r>
        <w:rPr>
          <w:color w:val="000000"/>
          <w:sz w:val="24"/>
          <w:szCs w:val="24"/>
        </w:rPr>
        <w:t xml:space="preserve"> </w:t>
      </w:r>
    </w:p>
    <w:p w:rsidR="00123F2F" w:rsidRDefault="00392244">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、《交银施罗德瑞利定期开放灵活配置混合型证券投资基金托管协议》；</w:t>
      </w:r>
      <w:r>
        <w:rPr>
          <w:color w:val="000000"/>
          <w:sz w:val="24"/>
          <w:szCs w:val="24"/>
        </w:rPr>
        <w:t xml:space="preserve"> </w:t>
      </w:r>
    </w:p>
    <w:p w:rsidR="00123F2F" w:rsidRDefault="00392244">
      <w:pPr>
        <w:spacing w:before="29" w:line="288" w:lineRule="auto"/>
        <w:ind w:firstLineChars="200" w:firstLine="480"/>
        <w:rPr>
          <w:color w:val="000000"/>
          <w:sz w:val="24"/>
          <w:szCs w:val="24"/>
        </w:rPr>
      </w:pPr>
      <w:r>
        <w:rPr>
          <w:color w:val="000000"/>
          <w:sz w:val="24"/>
          <w:szCs w:val="24"/>
        </w:rPr>
        <w:t>5</w:t>
      </w:r>
      <w:r>
        <w:rPr>
          <w:color w:val="000000"/>
          <w:sz w:val="24"/>
          <w:szCs w:val="24"/>
        </w:rPr>
        <w:t>、关于申请募集注册交银施罗德瑞利定期开放灵活配置混合型证券投资基金的法律意见书；</w:t>
      </w:r>
      <w:r>
        <w:rPr>
          <w:color w:val="000000"/>
          <w:sz w:val="24"/>
          <w:szCs w:val="24"/>
        </w:rPr>
        <w:t xml:space="preserve"> </w:t>
      </w:r>
    </w:p>
    <w:p w:rsidR="00123F2F" w:rsidRDefault="00392244">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123F2F" w:rsidRDefault="00392244">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、报告期内交银施罗德瑞利定期开放灵活配置混合型证券投资基金在指定报刊上各项公告的原稿。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rsidR="00123F2F" w:rsidRDefault="00392244">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123F2F" w:rsidRDefault="00392244">
      <w:pPr>
        <w:spacing w:before="29" w:line="288" w:lineRule="auto"/>
        <w:ind w:firstLineChars="200" w:firstLine="480"/>
        <w:rPr>
          <w:color w:val="000000"/>
          <w:sz w:val="24"/>
          <w:szCs w:val="24"/>
        </w:rPr>
      </w:pPr>
      <w:r>
        <w:rPr>
          <w:color w:val="000000"/>
          <w:sz w:val="24"/>
          <w:szCs w:val="24"/>
        </w:rPr>
        <w:t>投资者对本报告书如有疑问，可咨询本基金管理人交银施罗德基金管理有限公司。本公司客户服务中心电话：</w:t>
      </w:r>
      <w:r>
        <w:rPr>
          <w:color w:val="000000"/>
          <w:sz w:val="24"/>
          <w:szCs w:val="24"/>
        </w:rPr>
        <w:t>400-700-5000</w:t>
      </w:r>
      <w:r>
        <w:rPr>
          <w:color w:val="000000"/>
          <w:sz w:val="24"/>
          <w:szCs w:val="24"/>
        </w:rPr>
        <w:t>（免长途话费），</w:t>
      </w:r>
      <w:r>
        <w:rPr>
          <w:color w:val="000000"/>
          <w:sz w:val="24"/>
          <w:szCs w:val="24"/>
        </w:rPr>
        <w:t>021-61055000</w:t>
      </w:r>
      <w:r>
        <w:rPr>
          <w:color w:val="000000"/>
          <w:sz w:val="24"/>
          <w:szCs w:val="24"/>
        </w:rPr>
        <w:t>，电子邮件：</w:t>
      </w:r>
      <w:r>
        <w:rPr>
          <w:color w:val="000000"/>
          <w:sz w:val="24"/>
          <w:szCs w:val="24"/>
        </w:rPr>
        <w:t>services@jysld.com</w:t>
      </w:r>
      <w:r>
        <w:rPr>
          <w:color w:val="000000"/>
          <w:sz w:val="24"/>
          <w:szCs w:val="24"/>
        </w:rPr>
        <w:t>。</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 xml:space="preserve"> </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6DD6" w:rsidRDefault="00706DD6" w:rsidP="00876D65">
      <w:r>
        <w:separator/>
      </w:r>
    </w:p>
  </w:endnote>
  <w:endnote w:type="continuationSeparator" w:id="0">
    <w:p w:rsidR="00706DD6" w:rsidRDefault="00706DD6"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D607E6">
      <w:rPr>
        <w:kern w:val="0"/>
        <w:szCs w:val="21"/>
      </w:rPr>
      <w:fldChar w:fldCharType="begin"/>
    </w:r>
    <w:r>
      <w:rPr>
        <w:kern w:val="0"/>
        <w:szCs w:val="21"/>
      </w:rPr>
      <w:instrText xml:space="preserve"> PAGE </w:instrText>
    </w:r>
    <w:r w:rsidR="00D607E6">
      <w:rPr>
        <w:kern w:val="0"/>
        <w:szCs w:val="21"/>
      </w:rPr>
      <w:fldChar w:fldCharType="separate"/>
    </w:r>
    <w:r w:rsidR="00EF768F">
      <w:rPr>
        <w:noProof/>
        <w:kern w:val="0"/>
        <w:szCs w:val="21"/>
      </w:rPr>
      <w:t>13</w:t>
    </w:r>
    <w:r w:rsidR="00D607E6">
      <w:rPr>
        <w:kern w:val="0"/>
        <w:szCs w:val="21"/>
      </w:rPr>
      <w:fldChar w:fldCharType="end"/>
    </w:r>
    <w:proofErr w:type="gramStart"/>
    <w:r>
      <w:rPr>
        <w:rFonts w:hint="eastAsia"/>
        <w:kern w:val="0"/>
        <w:szCs w:val="21"/>
      </w:rPr>
      <w:t>页共</w:t>
    </w:r>
    <w:proofErr w:type="gramEnd"/>
    <w:r w:rsidR="00D607E6">
      <w:rPr>
        <w:kern w:val="0"/>
        <w:szCs w:val="21"/>
      </w:rPr>
      <w:fldChar w:fldCharType="begin"/>
    </w:r>
    <w:r>
      <w:rPr>
        <w:kern w:val="0"/>
        <w:szCs w:val="21"/>
      </w:rPr>
      <w:instrText xml:space="preserve"> NUMPAGES </w:instrText>
    </w:r>
    <w:r w:rsidR="00D607E6">
      <w:rPr>
        <w:kern w:val="0"/>
        <w:szCs w:val="21"/>
      </w:rPr>
      <w:fldChar w:fldCharType="separate"/>
    </w:r>
    <w:r w:rsidR="00EF768F">
      <w:rPr>
        <w:noProof/>
        <w:kern w:val="0"/>
        <w:szCs w:val="21"/>
      </w:rPr>
      <w:t>13</w:t>
    </w:r>
    <w:r w:rsidR="00D607E6">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6DD6" w:rsidRDefault="00706DD6" w:rsidP="00876D65">
      <w:r>
        <w:separator/>
      </w:r>
    </w:p>
  </w:footnote>
  <w:footnote w:type="continuationSeparator" w:id="0">
    <w:p w:rsidR="00706DD6" w:rsidRDefault="00706DD6"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23F2F"/>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9C4"/>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3920"/>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2244"/>
    <w:rsid w:val="00394069"/>
    <w:rsid w:val="00396809"/>
    <w:rsid w:val="003A58DC"/>
    <w:rsid w:val="003A6061"/>
    <w:rsid w:val="003B3494"/>
    <w:rsid w:val="003B5E08"/>
    <w:rsid w:val="003B6FBC"/>
    <w:rsid w:val="003C50AD"/>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50664"/>
    <w:rsid w:val="0055474F"/>
    <w:rsid w:val="005608EF"/>
    <w:rsid w:val="005659E4"/>
    <w:rsid w:val="00570842"/>
    <w:rsid w:val="00572784"/>
    <w:rsid w:val="00572D9F"/>
    <w:rsid w:val="00573097"/>
    <w:rsid w:val="005761EE"/>
    <w:rsid w:val="00582D99"/>
    <w:rsid w:val="00585263"/>
    <w:rsid w:val="005866D3"/>
    <w:rsid w:val="0059076B"/>
    <w:rsid w:val="005910BF"/>
    <w:rsid w:val="005A0A33"/>
    <w:rsid w:val="005A0F1F"/>
    <w:rsid w:val="005A6675"/>
    <w:rsid w:val="005B09FA"/>
    <w:rsid w:val="005B2E9C"/>
    <w:rsid w:val="005B3CC0"/>
    <w:rsid w:val="005B4F93"/>
    <w:rsid w:val="005B73D2"/>
    <w:rsid w:val="005D2B36"/>
    <w:rsid w:val="005D66F9"/>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3751"/>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6DD6"/>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3A79"/>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1CA5"/>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07E6"/>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04BE1"/>
    <w:rsid w:val="00E215BA"/>
    <w:rsid w:val="00E36549"/>
    <w:rsid w:val="00E40D31"/>
    <w:rsid w:val="00E41260"/>
    <w:rsid w:val="00E44E18"/>
    <w:rsid w:val="00E52DBC"/>
    <w:rsid w:val="00E54301"/>
    <w:rsid w:val="00E54BF5"/>
    <w:rsid w:val="00E554A1"/>
    <w:rsid w:val="00E55ABD"/>
    <w:rsid w:val="00E60817"/>
    <w:rsid w:val="00E609C6"/>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EF768F"/>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2D9F"/>
    <w:rsid w:val="00F45C47"/>
    <w:rsid w:val="00F51C4E"/>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7D1792-81D6-4122-8C25-5A4E987A8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qFormat/>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350062243">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151DA24-3618-4133-90D7-05DD41F8D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1791</TotalTime>
  <Pages>1</Pages>
  <Words>1101</Words>
  <Characters>6282</Characters>
  <Application>Microsoft Office Word</Application>
  <DocSecurity>0</DocSecurity>
  <Lines>52</Lines>
  <Paragraphs>14</Paragraphs>
  <ScaleCrop>false</ScaleCrop>
  <Company/>
  <LinksUpToDate>false</LinksUpToDate>
  <CharactersWithSpaces>7369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573</cp:revision>
  <dcterms:created xsi:type="dcterms:W3CDTF">2012-10-16T06:07:00Z</dcterms:created>
  <dcterms:modified xsi:type="dcterms:W3CDTF">2017-07-18T05:29:00Z</dcterms:modified>
</cp:coreProperties>
</file>