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交银施罗德瑞鑫定期开放灵活配置混合型证券投资基金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051B6" w:rsidRDefault="00086A9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051B6" w:rsidRDefault="00086A92">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051B6" w:rsidRDefault="00086A9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051B6" w:rsidRDefault="00086A9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051B6" w:rsidRDefault="00086A92">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交银瑞鑫定期开放灵活配置混合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003900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003900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300,022,732.19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06B08" w:rsidRPr="00414345" w:rsidTr="00406B0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406B08" w:rsidRPr="00414345" w:rsidTr="00406B0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3,883,207.28</w:t>
            </w:r>
          </w:p>
        </w:tc>
      </w:tr>
      <w:tr w:rsidR="00406B08" w:rsidRPr="00414345" w:rsidTr="00406B0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11,884,015.60</w:t>
            </w:r>
          </w:p>
        </w:tc>
      </w:tr>
      <w:tr w:rsidR="00406B08" w:rsidRPr="00414345" w:rsidTr="00406B0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0.0396</w:t>
            </w:r>
          </w:p>
        </w:tc>
      </w:tr>
      <w:tr w:rsidR="00406B08" w:rsidRPr="00414345" w:rsidTr="00406B0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314,008,172.18</w:t>
            </w:r>
          </w:p>
        </w:tc>
      </w:tr>
      <w:tr w:rsidR="00406B08" w:rsidRPr="00414345" w:rsidTr="00406B0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1.0466</w:t>
            </w:r>
          </w:p>
        </w:tc>
      </w:tr>
    </w:tbl>
    <w:p w:rsidR="00A051B6" w:rsidRDefault="00086A9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051B6">
        <w:trPr>
          <w:jc w:val="center"/>
        </w:trPr>
        <w:tc>
          <w:tcPr>
            <w:tcW w:w="1701" w:type="dxa"/>
            <w:vAlign w:val="center"/>
          </w:tcPr>
          <w:p w:rsidR="00A051B6" w:rsidRDefault="00086A92">
            <w:pPr>
              <w:jc w:val="left"/>
            </w:pPr>
            <w:r>
              <w:rPr>
                <w:color w:val="000000"/>
                <w:sz w:val="24"/>
                <w:szCs w:val="24"/>
              </w:rPr>
              <w:t>过去三个月</w:t>
            </w:r>
          </w:p>
        </w:tc>
        <w:tc>
          <w:tcPr>
            <w:tcW w:w="1045" w:type="dxa"/>
            <w:vAlign w:val="center"/>
          </w:tcPr>
          <w:p w:rsidR="00A051B6" w:rsidRDefault="00086A92">
            <w:pPr>
              <w:jc w:val="center"/>
            </w:pPr>
            <w:r>
              <w:rPr>
                <w:color w:val="000000"/>
                <w:sz w:val="24"/>
                <w:szCs w:val="24"/>
              </w:rPr>
              <w:t>3.93%</w:t>
            </w:r>
          </w:p>
        </w:tc>
        <w:tc>
          <w:tcPr>
            <w:tcW w:w="1344" w:type="dxa"/>
            <w:vAlign w:val="center"/>
          </w:tcPr>
          <w:p w:rsidR="00A051B6" w:rsidRDefault="00086A92">
            <w:pPr>
              <w:jc w:val="center"/>
            </w:pPr>
            <w:r>
              <w:rPr>
                <w:color w:val="000000"/>
                <w:sz w:val="24"/>
                <w:szCs w:val="24"/>
              </w:rPr>
              <w:t>0.16%</w:t>
            </w:r>
          </w:p>
        </w:tc>
        <w:tc>
          <w:tcPr>
            <w:tcW w:w="1194" w:type="dxa"/>
            <w:vAlign w:val="center"/>
          </w:tcPr>
          <w:p w:rsidR="00A051B6" w:rsidRDefault="00086A92">
            <w:pPr>
              <w:jc w:val="center"/>
            </w:pPr>
            <w:r>
              <w:rPr>
                <w:color w:val="000000"/>
                <w:sz w:val="24"/>
                <w:szCs w:val="24"/>
              </w:rPr>
              <w:t>2.58%</w:t>
            </w:r>
          </w:p>
        </w:tc>
        <w:tc>
          <w:tcPr>
            <w:tcW w:w="1492" w:type="dxa"/>
            <w:vAlign w:val="center"/>
          </w:tcPr>
          <w:p w:rsidR="00A051B6" w:rsidRDefault="00086A92">
            <w:pPr>
              <w:jc w:val="center"/>
            </w:pPr>
            <w:r>
              <w:rPr>
                <w:color w:val="000000"/>
                <w:sz w:val="24"/>
                <w:szCs w:val="24"/>
              </w:rPr>
              <w:t>0.32%</w:t>
            </w:r>
          </w:p>
        </w:tc>
        <w:tc>
          <w:tcPr>
            <w:tcW w:w="1194" w:type="dxa"/>
            <w:vAlign w:val="center"/>
          </w:tcPr>
          <w:p w:rsidR="00A051B6" w:rsidRDefault="00086A92">
            <w:pPr>
              <w:jc w:val="center"/>
            </w:pPr>
            <w:r>
              <w:rPr>
                <w:color w:val="000000"/>
                <w:sz w:val="24"/>
                <w:szCs w:val="24"/>
              </w:rPr>
              <w:t>1.35%</w:t>
            </w:r>
          </w:p>
        </w:tc>
        <w:tc>
          <w:tcPr>
            <w:tcW w:w="898" w:type="dxa"/>
            <w:vAlign w:val="center"/>
          </w:tcPr>
          <w:p w:rsidR="00A051B6" w:rsidRDefault="00086A92">
            <w:pPr>
              <w:jc w:val="center"/>
            </w:pPr>
            <w:r>
              <w:rPr>
                <w:color w:val="000000"/>
                <w:sz w:val="24"/>
                <w:szCs w:val="24"/>
              </w:rPr>
              <w:t>-0.16%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交银施罗德瑞鑫定期开放灵活配置混合型证券投资基金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14</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051B6">
        <w:trPr>
          <w:jc w:val="center"/>
        </w:trPr>
        <w:tc>
          <w:tcPr>
            <w:tcW w:w="846" w:type="dxa"/>
            <w:vAlign w:val="center"/>
          </w:tcPr>
          <w:p w:rsidR="00A051B6" w:rsidRDefault="00086A92">
            <w:pPr>
              <w:jc w:val="center"/>
            </w:pPr>
            <w:r>
              <w:rPr>
                <w:color w:val="000000"/>
                <w:sz w:val="24"/>
                <w:szCs w:val="24"/>
              </w:rPr>
              <w:t>李娜</w:t>
            </w:r>
          </w:p>
        </w:tc>
        <w:tc>
          <w:tcPr>
            <w:tcW w:w="845" w:type="dxa"/>
            <w:vAlign w:val="center"/>
          </w:tcPr>
          <w:p w:rsidR="00A051B6" w:rsidRDefault="00086A92">
            <w:pPr>
              <w:jc w:val="center"/>
            </w:pPr>
            <w:r>
              <w:rPr>
                <w:color w:val="000000"/>
                <w:sz w:val="24"/>
                <w:szCs w:val="24"/>
              </w:rPr>
              <w:t>交银周期回报灵活配置混合、交银新回报灵活配置混合、交银多策略</w:t>
            </w:r>
            <w:r>
              <w:rPr>
                <w:color w:val="000000"/>
                <w:sz w:val="24"/>
                <w:szCs w:val="24"/>
              </w:rPr>
              <w:lastRenderedPageBreak/>
              <w:t>回报灵活配置混合、交银卓越回报灵活配置混合、交银优选回报灵活配置混合、交银优择回报灵活配置混合、交银领先回报灵活配置混合、交银瑞鑫定期开放灵活配置混合、交银瑞景定期开放灵活配置混合、交银启通</w:t>
            </w:r>
            <w:r>
              <w:rPr>
                <w:color w:val="000000"/>
                <w:sz w:val="24"/>
                <w:szCs w:val="24"/>
              </w:rPr>
              <w:lastRenderedPageBreak/>
              <w:t>灵活配置混合、交银瑞利定期开放灵活配置混合、交银瑞安定期开放灵活配置混合的基金经理</w:t>
            </w:r>
          </w:p>
        </w:tc>
        <w:tc>
          <w:tcPr>
            <w:tcW w:w="1549" w:type="dxa"/>
            <w:vAlign w:val="center"/>
          </w:tcPr>
          <w:p w:rsidR="00A051B6" w:rsidRDefault="00086A92">
            <w:pPr>
              <w:jc w:val="center"/>
            </w:pPr>
            <w:r>
              <w:rPr>
                <w:color w:val="000000"/>
                <w:sz w:val="24"/>
                <w:szCs w:val="24"/>
              </w:rPr>
              <w:lastRenderedPageBreak/>
              <w:t>2016-12-14</w:t>
            </w:r>
          </w:p>
        </w:tc>
        <w:tc>
          <w:tcPr>
            <w:tcW w:w="1548" w:type="dxa"/>
            <w:vAlign w:val="center"/>
          </w:tcPr>
          <w:p w:rsidR="00A051B6" w:rsidRDefault="00086A92">
            <w:pPr>
              <w:jc w:val="center"/>
            </w:pPr>
            <w:r>
              <w:rPr>
                <w:color w:val="000000"/>
                <w:sz w:val="24"/>
                <w:szCs w:val="24"/>
              </w:rPr>
              <w:t>-</w:t>
            </w:r>
          </w:p>
        </w:tc>
        <w:tc>
          <w:tcPr>
            <w:tcW w:w="1407" w:type="dxa"/>
            <w:vAlign w:val="center"/>
          </w:tcPr>
          <w:p w:rsidR="00A051B6" w:rsidRDefault="00086A92">
            <w:pPr>
              <w:jc w:val="center"/>
            </w:pPr>
            <w:r>
              <w:rPr>
                <w:color w:val="000000"/>
                <w:sz w:val="24"/>
                <w:szCs w:val="24"/>
              </w:rPr>
              <w:t>7</w:t>
            </w:r>
            <w:r>
              <w:rPr>
                <w:color w:val="000000"/>
                <w:sz w:val="24"/>
                <w:szCs w:val="24"/>
              </w:rPr>
              <w:t>年</w:t>
            </w:r>
          </w:p>
        </w:tc>
        <w:tc>
          <w:tcPr>
            <w:tcW w:w="2673" w:type="dxa"/>
            <w:vAlign w:val="center"/>
          </w:tcPr>
          <w:p w:rsidR="00A051B6" w:rsidRDefault="00086A92">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051B6" w:rsidRDefault="00086A9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051B6" w:rsidRDefault="00086A9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051B6" w:rsidRDefault="00086A92">
      <w:pPr>
        <w:spacing w:before="29" w:line="288" w:lineRule="auto"/>
        <w:ind w:firstLineChars="200" w:firstLine="480"/>
        <w:rPr>
          <w:color w:val="000000"/>
          <w:sz w:val="24"/>
          <w:szCs w:val="24"/>
        </w:rPr>
      </w:pPr>
      <w:r>
        <w:rPr>
          <w:color w:val="000000"/>
          <w:sz w:val="24"/>
          <w:szCs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051B6" w:rsidRDefault="00086A92">
      <w:pPr>
        <w:spacing w:before="29" w:line="288" w:lineRule="auto"/>
        <w:ind w:firstLineChars="200" w:firstLine="480"/>
        <w:rPr>
          <w:color w:val="000000"/>
          <w:sz w:val="24"/>
          <w:szCs w:val="24"/>
        </w:rPr>
      </w:pPr>
      <w:r>
        <w:rPr>
          <w:color w:val="000000"/>
          <w:sz w:val="24"/>
          <w:szCs w:val="24"/>
        </w:rPr>
        <w:t>本报告期内，经济增长继续呈现平稳态势，</w:t>
      </w:r>
      <w:r>
        <w:rPr>
          <w:color w:val="000000"/>
          <w:sz w:val="24"/>
          <w:szCs w:val="24"/>
        </w:rPr>
        <w:t>CPI</w:t>
      </w:r>
      <w:r>
        <w:rPr>
          <w:color w:val="000000"/>
          <w:sz w:val="24"/>
          <w:szCs w:val="24"/>
        </w:rPr>
        <w:t>保持温和，货币政策保持稳健中性，银行间流动性呈现结构性分层并阶段性波动的特征，整体资金中枢明显上移；股票市场受流动性边际变化影响，呈现分化下行走势后企稳反弹，同期债券收益率上行后震荡小幅下行，其中金融防风险监管加强、流动性边际紧张、经济金融数据好于预期、美联储紧缩预期等因素成为债券市场收益率继续调整的推动力。报告期内，上证综指和创业板指分别为下跌</w:t>
      </w:r>
      <w:r>
        <w:rPr>
          <w:color w:val="000000"/>
          <w:sz w:val="24"/>
          <w:szCs w:val="24"/>
        </w:rPr>
        <w:t>0.93%</w:t>
      </w:r>
      <w:r>
        <w:rPr>
          <w:color w:val="000000"/>
          <w:sz w:val="24"/>
          <w:szCs w:val="24"/>
        </w:rPr>
        <w:t>和</w:t>
      </w:r>
      <w:r>
        <w:rPr>
          <w:color w:val="000000"/>
          <w:sz w:val="24"/>
          <w:szCs w:val="24"/>
        </w:rPr>
        <w:t>4.68%</w:t>
      </w:r>
      <w:r>
        <w:rPr>
          <w:color w:val="000000"/>
          <w:sz w:val="24"/>
          <w:szCs w:val="24"/>
        </w:rPr>
        <w:t>，</w:t>
      </w:r>
      <w:r>
        <w:rPr>
          <w:color w:val="000000"/>
          <w:sz w:val="24"/>
          <w:szCs w:val="24"/>
        </w:rPr>
        <w:t>10</w:t>
      </w:r>
      <w:r>
        <w:rPr>
          <w:color w:val="000000"/>
          <w:sz w:val="24"/>
          <w:szCs w:val="24"/>
        </w:rPr>
        <w:t>年期国债收益率上行</w:t>
      </w:r>
      <w:r>
        <w:rPr>
          <w:color w:val="000000"/>
          <w:sz w:val="24"/>
          <w:szCs w:val="24"/>
        </w:rPr>
        <w:t>29bp</w:t>
      </w:r>
      <w:r>
        <w:rPr>
          <w:color w:val="000000"/>
          <w:sz w:val="24"/>
          <w:szCs w:val="24"/>
        </w:rPr>
        <w:t>至</w:t>
      </w:r>
      <w:r>
        <w:rPr>
          <w:color w:val="000000"/>
          <w:sz w:val="24"/>
          <w:szCs w:val="24"/>
        </w:rPr>
        <w:t>3.57%</w:t>
      </w:r>
      <w:r>
        <w:rPr>
          <w:color w:val="000000"/>
          <w:sz w:val="24"/>
          <w:szCs w:val="24"/>
        </w:rPr>
        <w:t>，</w:t>
      </w:r>
      <w:r>
        <w:rPr>
          <w:color w:val="000000"/>
          <w:sz w:val="24"/>
          <w:szCs w:val="24"/>
        </w:rPr>
        <w:t>10</w:t>
      </w:r>
      <w:r>
        <w:rPr>
          <w:color w:val="000000"/>
          <w:sz w:val="24"/>
          <w:szCs w:val="24"/>
        </w:rPr>
        <w:t>年期国开债收益率上行</w:t>
      </w:r>
      <w:r>
        <w:rPr>
          <w:color w:val="000000"/>
          <w:sz w:val="24"/>
          <w:szCs w:val="24"/>
        </w:rPr>
        <w:t>14bp</w:t>
      </w:r>
      <w:r>
        <w:rPr>
          <w:color w:val="000000"/>
          <w:sz w:val="24"/>
          <w:szCs w:val="24"/>
        </w:rPr>
        <w:t>至</w:t>
      </w:r>
      <w:r>
        <w:rPr>
          <w:color w:val="000000"/>
          <w:sz w:val="24"/>
          <w:szCs w:val="24"/>
        </w:rPr>
        <w:t>4.20%</w:t>
      </w:r>
      <w:r>
        <w:rPr>
          <w:color w:val="000000"/>
          <w:sz w:val="24"/>
          <w:szCs w:val="24"/>
        </w:rPr>
        <w:t>。</w:t>
      </w:r>
    </w:p>
    <w:p w:rsidR="00A051B6" w:rsidRDefault="00086A92">
      <w:pPr>
        <w:spacing w:before="29" w:line="288" w:lineRule="auto"/>
        <w:ind w:firstLineChars="200" w:firstLine="480"/>
        <w:rPr>
          <w:color w:val="000000"/>
          <w:sz w:val="24"/>
          <w:szCs w:val="24"/>
        </w:rPr>
      </w:pPr>
      <w:r>
        <w:rPr>
          <w:color w:val="000000"/>
          <w:sz w:val="24"/>
          <w:szCs w:val="24"/>
        </w:rPr>
        <w:t>策略层面，本基金重点关注短久期信用债以及同业存单的配置价值，保持组合流动性，进行适度杠杆操作；积极关注新股及转债发行动态，进行权益和转债一级市场投资，同时也关注二级市场的投资机会，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展望三季度，基本面前高后低的普遍预期下，经济增长实际具备一定韧性，</w:t>
      </w:r>
      <w:r w:rsidRPr="00414345">
        <w:rPr>
          <w:color w:val="000000"/>
          <w:sz w:val="24"/>
          <w:szCs w:val="24"/>
        </w:rPr>
        <w:t>CPI</w:t>
      </w:r>
      <w:r w:rsidRPr="00414345">
        <w:rPr>
          <w:color w:val="000000"/>
          <w:sz w:val="24"/>
          <w:szCs w:val="24"/>
        </w:rPr>
        <w:t>尚不具备大幅上行的风险，基本面对债市驱动力的增强可能仍然需要等待，利率或继续处于震荡格局之中，但已具备一定配置价值；密切观察地产产业链、国际油价变动、流动性边际变化、金融防风险监管政策逐步落地、美联储缩表进程开启等因素。股票方面，保持稳健、审慎，积极关注一级市场动态。债券方面，保持流动性的前提下积极关注交易窗口，把握适中久期，同时特别重视信用风险。</w:t>
      </w:r>
      <w:r w:rsidRPr="00414345">
        <w:rPr>
          <w:color w:val="000000"/>
          <w:sz w:val="24"/>
          <w:szCs w:val="24"/>
        </w:rPr>
        <w:t xml:space="preserve"> </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1.0466</w:t>
      </w:r>
      <w:r w:rsidRPr="00414345">
        <w:rPr>
          <w:color w:val="000000"/>
          <w:sz w:val="24"/>
          <w:szCs w:val="24"/>
        </w:rPr>
        <w:t>元，本报告期份额净值增长率为</w:t>
      </w:r>
      <w:r w:rsidRPr="00414345">
        <w:rPr>
          <w:color w:val="000000"/>
          <w:sz w:val="24"/>
          <w:szCs w:val="24"/>
        </w:rPr>
        <w:t>3.93%</w:t>
      </w:r>
      <w:r w:rsidRPr="00414345">
        <w:rPr>
          <w:color w:val="000000"/>
          <w:sz w:val="24"/>
          <w:szCs w:val="24"/>
        </w:rPr>
        <w:t>，同期业绩比较基准增长率为</w:t>
      </w:r>
      <w:r w:rsidRPr="00414345">
        <w:rPr>
          <w:color w:val="000000"/>
          <w:sz w:val="24"/>
          <w:szCs w:val="24"/>
        </w:rPr>
        <w:t>2.58%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64,055,360.79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15.04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64,055,360.79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15.04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344,323,500.00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80.83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344,323,500.00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80.83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11,213,782.16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2.63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6,390,409.86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425,983,052.81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406B08" w:rsidP="00C15CAC">
            <w:pPr>
              <w:spacing w:before="29" w:line="288" w:lineRule="auto"/>
              <w:jc w:val="right"/>
              <w:rPr>
                <w:sz w:val="24"/>
                <w:szCs w:val="24"/>
              </w:rPr>
            </w:pPr>
            <w:r w:rsidRPr="00406B08">
              <w:rPr>
                <w:sz w:val="24"/>
                <w:szCs w:val="24"/>
              </w:rPr>
              <w:t>30,484,760.79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406B08" w:rsidP="00C15CAC">
            <w:pPr>
              <w:spacing w:before="29" w:line="288" w:lineRule="auto"/>
              <w:jc w:val="right"/>
              <w:rPr>
                <w:sz w:val="24"/>
                <w:szCs w:val="24"/>
              </w:rPr>
            </w:pPr>
            <w:r>
              <w:rPr>
                <w:sz w:val="24"/>
                <w:szCs w:val="24"/>
              </w:rPr>
              <w:t>9.71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4,037,000.00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406B08" w:rsidP="00C15CAC">
            <w:pPr>
              <w:spacing w:before="29" w:line="288" w:lineRule="auto"/>
              <w:jc w:val="right"/>
              <w:rPr>
                <w:sz w:val="24"/>
                <w:szCs w:val="24"/>
              </w:rPr>
            </w:pPr>
            <w:r w:rsidRPr="00406B08">
              <w:rPr>
                <w:sz w:val="24"/>
                <w:szCs w:val="24"/>
              </w:rPr>
              <w:t>168,600.00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pPr>
              <w:spacing w:before="29" w:line="288" w:lineRule="auto"/>
              <w:jc w:val="right"/>
              <w:rPr>
                <w:sz w:val="24"/>
                <w:szCs w:val="24"/>
              </w:rPr>
            </w:pPr>
            <w:r w:rsidRPr="00414345">
              <w:rPr>
                <w:sz w:val="24"/>
                <w:szCs w:val="24"/>
              </w:rPr>
              <w:t>0.</w:t>
            </w:r>
            <w:r w:rsidR="00406B08" w:rsidRPr="00414345">
              <w:rPr>
                <w:sz w:val="24"/>
                <w:szCs w:val="24"/>
              </w:rPr>
              <w:t>0</w:t>
            </w:r>
            <w:r w:rsidR="00406B08">
              <w:rPr>
                <w:sz w:val="24"/>
                <w:szCs w:val="24"/>
              </w:rPr>
              <w:t>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5,776,000.00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w:t>
            </w:r>
            <w:r w:rsidRPr="00414345">
              <w:rPr>
                <w:sz w:val="24"/>
                <w:szCs w:val="24"/>
              </w:rPr>
              <w:lastRenderedPageBreak/>
              <w:t>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lastRenderedPageBreak/>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23,589,000.00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406B08" w:rsidP="00C15CAC">
            <w:pPr>
              <w:spacing w:before="29" w:line="288" w:lineRule="auto"/>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406B08" w:rsidP="00C15CAC">
            <w:pPr>
              <w:spacing w:before="29" w:line="288" w:lineRule="auto"/>
              <w:jc w:val="right"/>
              <w:rPr>
                <w:sz w:val="24"/>
                <w:szCs w:val="24"/>
              </w:rPr>
            </w:pPr>
            <w:r>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406B08" w:rsidP="00C15CAC">
            <w:pPr>
              <w:spacing w:before="29" w:line="288" w:lineRule="auto"/>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406B08" w:rsidP="00C15CAC">
            <w:pPr>
              <w:spacing w:before="29" w:line="288" w:lineRule="auto"/>
              <w:jc w:val="right"/>
              <w:rPr>
                <w:sz w:val="24"/>
                <w:szCs w:val="24"/>
              </w:rPr>
            </w:pPr>
            <w:r>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64,055,360.79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20.40</w:t>
            </w:r>
          </w:p>
        </w:tc>
      </w:tr>
    </w:tbl>
    <w:p w:rsidR="00677BB7" w:rsidRDefault="00677BB7"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051B6">
        <w:trPr>
          <w:jc w:val="center"/>
        </w:trPr>
        <w:tc>
          <w:tcPr>
            <w:tcW w:w="855" w:type="dxa"/>
            <w:vAlign w:val="center"/>
          </w:tcPr>
          <w:p w:rsidR="00A051B6" w:rsidRDefault="00086A92">
            <w:pPr>
              <w:jc w:val="center"/>
            </w:pPr>
            <w:r>
              <w:rPr>
                <w:color w:val="000000"/>
                <w:sz w:val="24"/>
                <w:szCs w:val="24"/>
              </w:rPr>
              <w:t>1</w:t>
            </w:r>
          </w:p>
        </w:tc>
        <w:tc>
          <w:tcPr>
            <w:tcW w:w="1334" w:type="dxa"/>
            <w:vAlign w:val="center"/>
          </w:tcPr>
          <w:p w:rsidR="00A051B6" w:rsidRDefault="00086A92">
            <w:pPr>
              <w:jc w:val="center"/>
            </w:pPr>
            <w:r>
              <w:rPr>
                <w:color w:val="000000"/>
                <w:sz w:val="24"/>
                <w:szCs w:val="24"/>
              </w:rPr>
              <w:t>600887</w:t>
            </w:r>
          </w:p>
        </w:tc>
        <w:tc>
          <w:tcPr>
            <w:tcW w:w="1777" w:type="dxa"/>
            <w:vAlign w:val="center"/>
          </w:tcPr>
          <w:p w:rsidR="00A051B6" w:rsidRDefault="00086A92">
            <w:pPr>
              <w:jc w:val="center"/>
            </w:pPr>
            <w:r>
              <w:rPr>
                <w:color w:val="000000"/>
                <w:sz w:val="24"/>
                <w:szCs w:val="24"/>
              </w:rPr>
              <w:t>伊利股份</w:t>
            </w:r>
          </w:p>
        </w:tc>
        <w:tc>
          <w:tcPr>
            <w:tcW w:w="1334" w:type="dxa"/>
            <w:vAlign w:val="center"/>
          </w:tcPr>
          <w:p w:rsidR="00A051B6" w:rsidRDefault="00086A92">
            <w:pPr>
              <w:jc w:val="right"/>
            </w:pPr>
            <w:r>
              <w:rPr>
                <w:color w:val="000000"/>
                <w:sz w:val="24"/>
                <w:szCs w:val="24"/>
              </w:rPr>
              <w:t>350,000</w:t>
            </w:r>
          </w:p>
        </w:tc>
        <w:tc>
          <w:tcPr>
            <w:tcW w:w="1924" w:type="dxa"/>
            <w:vAlign w:val="center"/>
          </w:tcPr>
          <w:p w:rsidR="00A051B6" w:rsidRDefault="00086A92">
            <w:pPr>
              <w:jc w:val="right"/>
            </w:pPr>
            <w:r>
              <w:rPr>
                <w:color w:val="000000"/>
                <w:sz w:val="24"/>
                <w:szCs w:val="24"/>
              </w:rPr>
              <w:t>7,556,500.00</w:t>
            </w:r>
          </w:p>
        </w:tc>
        <w:tc>
          <w:tcPr>
            <w:tcW w:w="1644" w:type="dxa"/>
            <w:vAlign w:val="center"/>
          </w:tcPr>
          <w:p w:rsidR="00A051B6" w:rsidRDefault="00086A92">
            <w:pPr>
              <w:jc w:val="right"/>
            </w:pPr>
            <w:r>
              <w:rPr>
                <w:color w:val="000000"/>
                <w:sz w:val="24"/>
                <w:szCs w:val="24"/>
              </w:rPr>
              <w:t>2.41</w:t>
            </w:r>
          </w:p>
        </w:tc>
      </w:tr>
      <w:tr w:rsidR="00A051B6">
        <w:trPr>
          <w:jc w:val="center"/>
        </w:trPr>
        <w:tc>
          <w:tcPr>
            <w:tcW w:w="855" w:type="dxa"/>
            <w:vAlign w:val="center"/>
          </w:tcPr>
          <w:p w:rsidR="00A051B6" w:rsidRDefault="00086A92">
            <w:pPr>
              <w:jc w:val="center"/>
            </w:pPr>
            <w:r>
              <w:rPr>
                <w:color w:val="000000"/>
                <w:sz w:val="24"/>
                <w:szCs w:val="24"/>
              </w:rPr>
              <w:t>2</w:t>
            </w:r>
          </w:p>
        </w:tc>
        <w:tc>
          <w:tcPr>
            <w:tcW w:w="1334" w:type="dxa"/>
            <w:vAlign w:val="center"/>
          </w:tcPr>
          <w:p w:rsidR="00A051B6" w:rsidRDefault="00086A92">
            <w:pPr>
              <w:jc w:val="center"/>
            </w:pPr>
            <w:r>
              <w:rPr>
                <w:color w:val="000000"/>
                <w:sz w:val="24"/>
                <w:szCs w:val="24"/>
              </w:rPr>
              <w:t>601318</w:t>
            </w:r>
          </w:p>
        </w:tc>
        <w:tc>
          <w:tcPr>
            <w:tcW w:w="1777" w:type="dxa"/>
            <w:vAlign w:val="center"/>
          </w:tcPr>
          <w:p w:rsidR="00A051B6" w:rsidRDefault="00086A92">
            <w:pPr>
              <w:jc w:val="center"/>
            </w:pPr>
            <w:r>
              <w:rPr>
                <w:color w:val="000000"/>
                <w:sz w:val="24"/>
                <w:szCs w:val="24"/>
              </w:rPr>
              <w:t>中国平安</w:t>
            </w:r>
          </w:p>
        </w:tc>
        <w:tc>
          <w:tcPr>
            <w:tcW w:w="1334" w:type="dxa"/>
            <w:vAlign w:val="center"/>
          </w:tcPr>
          <w:p w:rsidR="00A051B6" w:rsidRDefault="00086A92">
            <w:pPr>
              <w:jc w:val="right"/>
            </w:pPr>
            <w:r>
              <w:rPr>
                <w:color w:val="000000"/>
                <w:sz w:val="24"/>
                <w:szCs w:val="24"/>
              </w:rPr>
              <w:t>150,000</w:t>
            </w:r>
          </w:p>
        </w:tc>
        <w:tc>
          <w:tcPr>
            <w:tcW w:w="1924" w:type="dxa"/>
            <w:vAlign w:val="center"/>
          </w:tcPr>
          <w:p w:rsidR="00A051B6" w:rsidRDefault="00086A92">
            <w:pPr>
              <w:jc w:val="right"/>
            </w:pPr>
            <w:r>
              <w:rPr>
                <w:color w:val="000000"/>
                <w:sz w:val="24"/>
                <w:szCs w:val="24"/>
              </w:rPr>
              <w:t>7,441,500.00</w:t>
            </w:r>
          </w:p>
        </w:tc>
        <w:tc>
          <w:tcPr>
            <w:tcW w:w="1644" w:type="dxa"/>
            <w:vAlign w:val="center"/>
          </w:tcPr>
          <w:p w:rsidR="00A051B6" w:rsidRDefault="00086A92">
            <w:pPr>
              <w:jc w:val="right"/>
            </w:pPr>
            <w:r>
              <w:rPr>
                <w:color w:val="000000"/>
                <w:sz w:val="24"/>
                <w:szCs w:val="24"/>
              </w:rPr>
              <w:t>2.37</w:t>
            </w:r>
          </w:p>
        </w:tc>
      </w:tr>
      <w:tr w:rsidR="00A051B6">
        <w:trPr>
          <w:jc w:val="center"/>
        </w:trPr>
        <w:tc>
          <w:tcPr>
            <w:tcW w:w="855" w:type="dxa"/>
            <w:vAlign w:val="center"/>
          </w:tcPr>
          <w:p w:rsidR="00A051B6" w:rsidRDefault="00086A92">
            <w:pPr>
              <w:jc w:val="center"/>
            </w:pPr>
            <w:r>
              <w:rPr>
                <w:color w:val="000000"/>
                <w:sz w:val="24"/>
                <w:szCs w:val="24"/>
              </w:rPr>
              <w:t>3</w:t>
            </w:r>
          </w:p>
        </w:tc>
        <w:tc>
          <w:tcPr>
            <w:tcW w:w="1334" w:type="dxa"/>
            <w:vAlign w:val="center"/>
          </w:tcPr>
          <w:p w:rsidR="00A051B6" w:rsidRDefault="00086A92">
            <w:pPr>
              <w:jc w:val="center"/>
            </w:pPr>
            <w:r>
              <w:rPr>
                <w:color w:val="000000"/>
                <w:sz w:val="24"/>
                <w:szCs w:val="24"/>
              </w:rPr>
              <w:t>600519</w:t>
            </w:r>
          </w:p>
        </w:tc>
        <w:tc>
          <w:tcPr>
            <w:tcW w:w="1777" w:type="dxa"/>
            <w:vAlign w:val="center"/>
          </w:tcPr>
          <w:p w:rsidR="00A051B6" w:rsidRDefault="00086A92">
            <w:pPr>
              <w:jc w:val="center"/>
            </w:pPr>
            <w:r>
              <w:rPr>
                <w:color w:val="000000"/>
                <w:sz w:val="24"/>
                <w:szCs w:val="24"/>
              </w:rPr>
              <w:t>贵州茅台</w:t>
            </w:r>
          </w:p>
        </w:tc>
        <w:tc>
          <w:tcPr>
            <w:tcW w:w="1334" w:type="dxa"/>
            <w:vAlign w:val="center"/>
          </w:tcPr>
          <w:p w:rsidR="00A051B6" w:rsidRDefault="00086A92">
            <w:pPr>
              <w:jc w:val="right"/>
            </w:pPr>
            <w:r>
              <w:rPr>
                <w:color w:val="000000"/>
                <w:sz w:val="24"/>
                <w:szCs w:val="24"/>
              </w:rPr>
              <w:t>15,000</w:t>
            </w:r>
          </w:p>
        </w:tc>
        <w:tc>
          <w:tcPr>
            <w:tcW w:w="1924" w:type="dxa"/>
            <w:vAlign w:val="center"/>
          </w:tcPr>
          <w:p w:rsidR="00A051B6" w:rsidRDefault="00086A92">
            <w:pPr>
              <w:jc w:val="right"/>
            </w:pPr>
            <w:r>
              <w:rPr>
                <w:color w:val="000000"/>
                <w:sz w:val="24"/>
                <w:szCs w:val="24"/>
              </w:rPr>
              <w:t>7,077,750.00</w:t>
            </w:r>
          </w:p>
        </w:tc>
        <w:tc>
          <w:tcPr>
            <w:tcW w:w="1644" w:type="dxa"/>
            <w:vAlign w:val="center"/>
          </w:tcPr>
          <w:p w:rsidR="00A051B6" w:rsidRDefault="00086A92">
            <w:pPr>
              <w:jc w:val="right"/>
            </w:pPr>
            <w:r>
              <w:rPr>
                <w:color w:val="000000"/>
                <w:sz w:val="24"/>
                <w:szCs w:val="24"/>
              </w:rPr>
              <w:t>2.25</w:t>
            </w:r>
          </w:p>
        </w:tc>
      </w:tr>
      <w:tr w:rsidR="00A051B6">
        <w:trPr>
          <w:jc w:val="center"/>
        </w:trPr>
        <w:tc>
          <w:tcPr>
            <w:tcW w:w="855" w:type="dxa"/>
            <w:vAlign w:val="center"/>
          </w:tcPr>
          <w:p w:rsidR="00A051B6" w:rsidRDefault="00086A92">
            <w:pPr>
              <w:jc w:val="center"/>
            </w:pPr>
            <w:r>
              <w:rPr>
                <w:color w:val="000000"/>
                <w:sz w:val="24"/>
                <w:szCs w:val="24"/>
              </w:rPr>
              <w:t>4</w:t>
            </w:r>
          </w:p>
        </w:tc>
        <w:tc>
          <w:tcPr>
            <w:tcW w:w="1334" w:type="dxa"/>
            <w:vAlign w:val="center"/>
          </w:tcPr>
          <w:p w:rsidR="00A051B6" w:rsidRDefault="00086A92">
            <w:pPr>
              <w:jc w:val="center"/>
            </w:pPr>
            <w:r>
              <w:rPr>
                <w:color w:val="000000"/>
                <w:sz w:val="24"/>
                <w:szCs w:val="24"/>
              </w:rPr>
              <w:t>601398</w:t>
            </w:r>
          </w:p>
        </w:tc>
        <w:tc>
          <w:tcPr>
            <w:tcW w:w="1777" w:type="dxa"/>
            <w:vAlign w:val="center"/>
          </w:tcPr>
          <w:p w:rsidR="00A051B6" w:rsidRDefault="00086A92">
            <w:pPr>
              <w:jc w:val="center"/>
            </w:pPr>
            <w:r>
              <w:rPr>
                <w:color w:val="000000"/>
                <w:sz w:val="24"/>
                <w:szCs w:val="24"/>
              </w:rPr>
              <w:t>工商银行</w:t>
            </w:r>
          </w:p>
        </w:tc>
        <w:tc>
          <w:tcPr>
            <w:tcW w:w="1334" w:type="dxa"/>
            <w:vAlign w:val="center"/>
          </w:tcPr>
          <w:p w:rsidR="00A051B6" w:rsidRDefault="00086A92">
            <w:pPr>
              <w:jc w:val="right"/>
            </w:pPr>
            <w:r>
              <w:rPr>
                <w:color w:val="000000"/>
                <w:sz w:val="24"/>
                <w:szCs w:val="24"/>
              </w:rPr>
              <w:t>1,250,000</w:t>
            </w:r>
          </w:p>
        </w:tc>
        <w:tc>
          <w:tcPr>
            <w:tcW w:w="1924" w:type="dxa"/>
            <w:vAlign w:val="center"/>
          </w:tcPr>
          <w:p w:rsidR="00A051B6" w:rsidRDefault="00086A92">
            <w:pPr>
              <w:jc w:val="right"/>
            </w:pPr>
            <w:r>
              <w:rPr>
                <w:color w:val="000000"/>
                <w:sz w:val="24"/>
                <w:szCs w:val="24"/>
              </w:rPr>
              <w:t>6,562,500.00</w:t>
            </w:r>
          </w:p>
        </w:tc>
        <w:tc>
          <w:tcPr>
            <w:tcW w:w="1644" w:type="dxa"/>
            <w:vAlign w:val="center"/>
          </w:tcPr>
          <w:p w:rsidR="00A051B6" w:rsidRDefault="00086A92">
            <w:pPr>
              <w:jc w:val="right"/>
            </w:pPr>
            <w:r>
              <w:rPr>
                <w:color w:val="000000"/>
                <w:sz w:val="24"/>
                <w:szCs w:val="24"/>
              </w:rPr>
              <w:t>2.09</w:t>
            </w:r>
          </w:p>
        </w:tc>
      </w:tr>
      <w:tr w:rsidR="00A051B6">
        <w:trPr>
          <w:jc w:val="center"/>
        </w:trPr>
        <w:tc>
          <w:tcPr>
            <w:tcW w:w="855" w:type="dxa"/>
            <w:vAlign w:val="center"/>
          </w:tcPr>
          <w:p w:rsidR="00A051B6" w:rsidRDefault="00086A92">
            <w:pPr>
              <w:jc w:val="center"/>
            </w:pPr>
            <w:r>
              <w:rPr>
                <w:color w:val="000000"/>
                <w:sz w:val="24"/>
                <w:szCs w:val="24"/>
              </w:rPr>
              <w:t>5</w:t>
            </w:r>
          </w:p>
        </w:tc>
        <w:tc>
          <w:tcPr>
            <w:tcW w:w="1334" w:type="dxa"/>
            <w:vAlign w:val="center"/>
          </w:tcPr>
          <w:p w:rsidR="00A051B6" w:rsidRDefault="00086A92">
            <w:pPr>
              <w:jc w:val="center"/>
            </w:pPr>
            <w:r>
              <w:rPr>
                <w:color w:val="000000"/>
                <w:sz w:val="24"/>
                <w:szCs w:val="24"/>
              </w:rPr>
              <w:t>601607</w:t>
            </w:r>
          </w:p>
        </w:tc>
        <w:tc>
          <w:tcPr>
            <w:tcW w:w="1777" w:type="dxa"/>
            <w:vAlign w:val="center"/>
          </w:tcPr>
          <w:p w:rsidR="00A051B6" w:rsidRDefault="00086A92">
            <w:pPr>
              <w:jc w:val="center"/>
            </w:pPr>
            <w:r>
              <w:rPr>
                <w:color w:val="000000"/>
                <w:sz w:val="24"/>
                <w:szCs w:val="24"/>
              </w:rPr>
              <w:t>上海医药</w:t>
            </w:r>
          </w:p>
        </w:tc>
        <w:tc>
          <w:tcPr>
            <w:tcW w:w="1334" w:type="dxa"/>
            <w:vAlign w:val="center"/>
          </w:tcPr>
          <w:p w:rsidR="00A051B6" w:rsidRDefault="00086A92">
            <w:pPr>
              <w:jc w:val="right"/>
            </w:pPr>
            <w:r>
              <w:rPr>
                <w:color w:val="000000"/>
                <w:sz w:val="24"/>
                <w:szCs w:val="24"/>
              </w:rPr>
              <w:t>200,000</w:t>
            </w:r>
          </w:p>
        </w:tc>
        <w:tc>
          <w:tcPr>
            <w:tcW w:w="1924" w:type="dxa"/>
            <w:vAlign w:val="center"/>
          </w:tcPr>
          <w:p w:rsidR="00A051B6" w:rsidRDefault="00086A92">
            <w:pPr>
              <w:jc w:val="right"/>
            </w:pPr>
            <w:r>
              <w:rPr>
                <w:color w:val="000000"/>
                <w:sz w:val="24"/>
                <w:szCs w:val="24"/>
              </w:rPr>
              <w:t>5,776,000.00</w:t>
            </w:r>
          </w:p>
        </w:tc>
        <w:tc>
          <w:tcPr>
            <w:tcW w:w="1644" w:type="dxa"/>
            <w:vAlign w:val="center"/>
          </w:tcPr>
          <w:p w:rsidR="00A051B6" w:rsidRDefault="00086A92">
            <w:pPr>
              <w:jc w:val="right"/>
            </w:pPr>
            <w:r>
              <w:rPr>
                <w:color w:val="000000"/>
                <w:sz w:val="24"/>
                <w:szCs w:val="24"/>
              </w:rPr>
              <w:t>1.84</w:t>
            </w:r>
          </w:p>
        </w:tc>
      </w:tr>
      <w:tr w:rsidR="00A051B6">
        <w:trPr>
          <w:jc w:val="center"/>
        </w:trPr>
        <w:tc>
          <w:tcPr>
            <w:tcW w:w="855" w:type="dxa"/>
            <w:vAlign w:val="center"/>
          </w:tcPr>
          <w:p w:rsidR="00A051B6" w:rsidRDefault="00086A92">
            <w:pPr>
              <w:jc w:val="center"/>
            </w:pPr>
            <w:r>
              <w:rPr>
                <w:color w:val="000000"/>
                <w:sz w:val="24"/>
                <w:szCs w:val="24"/>
              </w:rPr>
              <w:t>6</w:t>
            </w:r>
          </w:p>
        </w:tc>
        <w:tc>
          <w:tcPr>
            <w:tcW w:w="1334" w:type="dxa"/>
            <w:vAlign w:val="center"/>
          </w:tcPr>
          <w:p w:rsidR="00A051B6" w:rsidRDefault="00086A92">
            <w:pPr>
              <w:jc w:val="center"/>
            </w:pPr>
            <w:r>
              <w:rPr>
                <w:color w:val="000000"/>
                <w:sz w:val="24"/>
                <w:szCs w:val="24"/>
              </w:rPr>
              <w:t>601288</w:t>
            </w:r>
          </w:p>
        </w:tc>
        <w:tc>
          <w:tcPr>
            <w:tcW w:w="1777" w:type="dxa"/>
            <w:vAlign w:val="center"/>
          </w:tcPr>
          <w:p w:rsidR="00A051B6" w:rsidRDefault="00086A92">
            <w:pPr>
              <w:jc w:val="center"/>
            </w:pPr>
            <w:r>
              <w:rPr>
                <w:color w:val="000000"/>
                <w:sz w:val="24"/>
                <w:szCs w:val="24"/>
              </w:rPr>
              <w:t>农业银行</w:t>
            </w:r>
          </w:p>
        </w:tc>
        <w:tc>
          <w:tcPr>
            <w:tcW w:w="1334" w:type="dxa"/>
            <w:vAlign w:val="center"/>
          </w:tcPr>
          <w:p w:rsidR="00A051B6" w:rsidRDefault="00086A92">
            <w:pPr>
              <w:jc w:val="right"/>
            </w:pPr>
            <w:r>
              <w:rPr>
                <w:color w:val="000000"/>
                <w:sz w:val="24"/>
                <w:szCs w:val="24"/>
              </w:rPr>
              <w:t>1,500,000</w:t>
            </w:r>
          </w:p>
        </w:tc>
        <w:tc>
          <w:tcPr>
            <w:tcW w:w="1924" w:type="dxa"/>
            <w:vAlign w:val="center"/>
          </w:tcPr>
          <w:p w:rsidR="00A051B6" w:rsidRDefault="00086A92">
            <w:pPr>
              <w:jc w:val="right"/>
            </w:pPr>
            <w:r>
              <w:rPr>
                <w:color w:val="000000"/>
                <w:sz w:val="24"/>
                <w:szCs w:val="24"/>
              </w:rPr>
              <w:t>5,280,000.00</w:t>
            </w:r>
          </w:p>
        </w:tc>
        <w:tc>
          <w:tcPr>
            <w:tcW w:w="1644" w:type="dxa"/>
            <w:vAlign w:val="center"/>
          </w:tcPr>
          <w:p w:rsidR="00A051B6" w:rsidRDefault="00086A92">
            <w:pPr>
              <w:jc w:val="right"/>
            </w:pPr>
            <w:r>
              <w:rPr>
                <w:color w:val="000000"/>
                <w:sz w:val="24"/>
                <w:szCs w:val="24"/>
              </w:rPr>
              <w:t>1.68</w:t>
            </w:r>
          </w:p>
        </w:tc>
      </w:tr>
      <w:tr w:rsidR="00A051B6">
        <w:trPr>
          <w:jc w:val="center"/>
        </w:trPr>
        <w:tc>
          <w:tcPr>
            <w:tcW w:w="855" w:type="dxa"/>
            <w:vAlign w:val="center"/>
          </w:tcPr>
          <w:p w:rsidR="00A051B6" w:rsidRDefault="00086A92">
            <w:pPr>
              <w:jc w:val="center"/>
            </w:pPr>
            <w:r>
              <w:rPr>
                <w:color w:val="000000"/>
                <w:sz w:val="24"/>
                <w:szCs w:val="24"/>
              </w:rPr>
              <w:t>7</w:t>
            </w:r>
          </w:p>
        </w:tc>
        <w:tc>
          <w:tcPr>
            <w:tcW w:w="1334" w:type="dxa"/>
            <w:vAlign w:val="center"/>
          </w:tcPr>
          <w:p w:rsidR="00A051B6" w:rsidRDefault="00086A92">
            <w:pPr>
              <w:jc w:val="center"/>
            </w:pPr>
            <w:r>
              <w:rPr>
                <w:color w:val="000000"/>
                <w:sz w:val="24"/>
                <w:szCs w:val="24"/>
              </w:rPr>
              <w:t>600056</w:t>
            </w:r>
          </w:p>
        </w:tc>
        <w:tc>
          <w:tcPr>
            <w:tcW w:w="1777" w:type="dxa"/>
            <w:vAlign w:val="center"/>
          </w:tcPr>
          <w:p w:rsidR="00A051B6" w:rsidRDefault="00086A92">
            <w:pPr>
              <w:jc w:val="center"/>
            </w:pPr>
            <w:r>
              <w:rPr>
                <w:color w:val="000000"/>
                <w:sz w:val="24"/>
                <w:szCs w:val="24"/>
              </w:rPr>
              <w:t>中国医药</w:t>
            </w:r>
          </w:p>
        </w:tc>
        <w:tc>
          <w:tcPr>
            <w:tcW w:w="1334" w:type="dxa"/>
            <w:vAlign w:val="center"/>
          </w:tcPr>
          <w:p w:rsidR="00A051B6" w:rsidRDefault="00086A92">
            <w:pPr>
              <w:jc w:val="right"/>
            </w:pPr>
            <w:r>
              <w:rPr>
                <w:color w:val="000000"/>
                <w:sz w:val="24"/>
                <w:szCs w:val="24"/>
              </w:rPr>
              <w:t>190,000</w:t>
            </w:r>
          </w:p>
        </w:tc>
        <w:tc>
          <w:tcPr>
            <w:tcW w:w="1924" w:type="dxa"/>
            <w:vAlign w:val="center"/>
          </w:tcPr>
          <w:p w:rsidR="00A051B6" w:rsidRDefault="00086A92">
            <w:pPr>
              <w:jc w:val="right"/>
            </w:pPr>
            <w:r>
              <w:rPr>
                <w:color w:val="000000"/>
                <w:sz w:val="24"/>
                <w:szCs w:val="24"/>
              </w:rPr>
              <w:t>4,930,500.00</w:t>
            </w:r>
          </w:p>
        </w:tc>
        <w:tc>
          <w:tcPr>
            <w:tcW w:w="1644" w:type="dxa"/>
            <w:vAlign w:val="center"/>
          </w:tcPr>
          <w:p w:rsidR="00A051B6" w:rsidRDefault="00086A92">
            <w:pPr>
              <w:jc w:val="right"/>
            </w:pPr>
            <w:r>
              <w:rPr>
                <w:color w:val="000000"/>
                <w:sz w:val="24"/>
                <w:szCs w:val="24"/>
              </w:rPr>
              <w:t>1.57</w:t>
            </w:r>
          </w:p>
        </w:tc>
      </w:tr>
      <w:tr w:rsidR="00A051B6">
        <w:trPr>
          <w:jc w:val="center"/>
        </w:trPr>
        <w:tc>
          <w:tcPr>
            <w:tcW w:w="855" w:type="dxa"/>
            <w:vAlign w:val="center"/>
          </w:tcPr>
          <w:p w:rsidR="00A051B6" w:rsidRDefault="00086A92">
            <w:pPr>
              <w:jc w:val="center"/>
            </w:pPr>
            <w:r>
              <w:rPr>
                <w:color w:val="000000"/>
                <w:sz w:val="24"/>
                <w:szCs w:val="24"/>
              </w:rPr>
              <w:t>8</w:t>
            </w:r>
          </w:p>
        </w:tc>
        <w:tc>
          <w:tcPr>
            <w:tcW w:w="1334" w:type="dxa"/>
            <w:vAlign w:val="center"/>
          </w:tcPr>
          <w:p w:rsidR="00A051B6" w:rsidRDefault="00086A92">
            <w:pPr>
              <w:jc w:val="center"/>
            </w:pPr>
            <w:r>
              <w:rPr>
                <w:color w:val="000000"/>
                <w:sz w:val="24"/>
                <w:szCs w:val="24"/>
              </w:rPr>
              <w:t>600062</w:t>
            </w:r>
          </w:p>
        </w:tc>
        <w:tc>
          <w:tcPr>
            <w:tcW w:w="1777" w:type="dxa"/>
            <w:vAlign w:val="center"/>
          </w:tcPr>
          <w:p w:rsidR="00A051B6" w:rsidRDefault="00086A92">
            <w:pPr>
              <w:jc w:val="center"/>
            </w:pPr>
            <w:r>
              <w:rPr>
                <w:color w:val="000000"/>
                <w:sz w:val="24"/>
                <w:szCs w:val="24"/>
              </w:rPr>
              <w:t>华润双鹤</w:t>
            </w:r>
          </w:p>
        </w:tc>
        <w:tc>
          <w:tcPr>
            <w:tcW w:w="1334" w:type="dxa"/>
            <w:vAlign w:val="center"/>
          </w:tcPr>
          <w:p w:rsidR="00A051B6" w:rsidRDefault="00086A92">
            <w:pPr>
              <w:jc w:val="right"/>
            </w:pPr>
            <w:r>
              <w:rPr>
                <w:color w:val="000000"/>
                <w:sz w:val="24"/>
                <w:szCs w:val="24"/>
              </w:rPr>
              <w:t>170,000</w:t>
            </w:r>
          </w:p>
        </w:tc>
        <w:tc>
          <w:tcPr>
            <w:tcW w:w="1924" w:type="dxa"/>
            <w:vAlign w:val="center"/>
          </w:tcPr>
          <w:p w:rsidR="00A051B6" w:rsidRDefault="00086A92">
            <w:pPr>
              <w:jc w:val="right"/>
            </w:pPr>
            <w:r>
              <w:rPr>
                <w:color w:val="000000"/>
                <w:sz w:val="24"/>
                <w:szCs w:val="24"/>
              </w:rPr>
              <w:t>4,663,100.00</w:t>
            </w:r>
          </w:p>
        </w:tc>
        <w:tc>
          <w:tcPr>
            <w:tcW w:w="1644" w:type="dxa"/>
            <w:vAlign w:val="center"/>
          </w:tcPr>
          <w:p w:rsidR="00A051B6" w:rsidRDefault="00086A92">
            <w:pPr>
              <w:jc w:val="right"/>
            </w:pPr>
            <w:r>
              <w:rPr>
                <w:color w:val="000000"/>
                <w:sz w:val="24"/>
                <w:szCs w:val="24"/>
              </w:rPr>
              <w:t>1.49</w:t>
            </w:r>
          </w:p>
        </w:tc>
      </w:tr>
      <w:tr w:rsidR="00A051B6">
        <w:trPr>
          <w:jc w:val="center"/>
        </w:trPr>
        <w:tc>
          <w:tcPr>
            <w:tcW w:w="855" w:type="dxa"/>
            <w:vAlign w:val="center"/>
          </w:tcPr>
          <w:p w:rsidR="00A051B6" w:rsidRDefault="00086A92">
            <w:pPr>
              <w:jc w:val="center"/>
            </w:pPr>
            <w:r>
              <w:rPr>
                <w:color w:val="000000"/>
                <w:sz w:val="24"/>
                <w:szCs w:val="24"/>
              </w:rPr>
              <w:t>9</w:t>
            </w:r>
          </w:p>
        </w:tc>
        <w:tc>
          <w:tcPr>
            <w:tcW w:w="1334" w:type="dxa"/>
            <w:vAlign w:val="center"/>
          </w:tcPr>
          <w:p w:rsidR="00A051B6" w:rsidRDefault="00086A92">
            <w:pPr>
              <w:jc w:val="center"/>
            </w:pPr>
            <w:r>
              <w:rPr>
                <w:color w:val="000000"/>
                <w:sz w:val="24"/>
                <w:szCs w:val="24"/>
              </w:rPr>
              <w:t>601939</w:t>
            </w:r>
          </w:p>
        </w:tc>
        <w:tc>
          <w:tcPr>
            <w:tcW w:w="1777" w:type="dxa"/>
            <w:vAlign w:val="center"/>
          </w:tcPr>
          <w:p w:rsidR="00A051B6" w:rsidRDefault="00086A92">
            <w:pPr>
              <w:jc w:val="center"/>
            </w:pPr>
            <w:r>
              <w:rPr>
                <w:color w:val="000000"/>
                <w:sz w:val="24"/>
                <w:szCs w:val="24"/>
              </w:rPr>
              <w:t>建设银行</w:t>
            </w:r>
          </w:p>
        </w:tc>
        <w:tc>
          <w:tcPr>
            <w:tcW w:w="1334" w:type="dxa"/>
            <w:vAlign w:val="center"/>
          </w:tcPr>
          <w:p w:rsidR="00A051B6" w:rsidRDefault="00086A92">
            <w:pPr>
              <w:jc w:val="right"/>
            </w:pPr>
            <w:r>
              <w:rPr>
                <w:color w:val="000000"/>
                <w:sz w:val="24"/>
                <w:szCs w:val="24"/>
              </w:rPr>
              <w:t>700,000</w:t>
            </w:r>
          </w:p>
        </w:tc>
        <w:tc>
          <w:tcPr>
            <w:tcW w:w="1924" w:type="dxa"/>
            <w:vAlign w:val="center"/>
          </w:tcPr>
          <w:p w:rsidR="00A051B6" w:rsidRDefault="00086A92">
            <w:pPr>
              <w:jc w:val="right"/>
            </w:pPr>
            <w:r>
              <w:rPr>
                <w:color w:val="000000"/>
                <w:sz w:val="24"/>
                <w:szCs w:val="24"/>
              </w:rPr>
              <w:t>4,305,000.00</w:t>
            </w:r>
          </w:p>
        </w:tc>
        <w:tc>
          <w:tcPr>
            <w:tcW w:w="1644" w:type="dxa"/>
            <w:vAlign w:val="center"/>
          </w:tcPr>
          <w:p w:rsidR="00A051B6" w:rsidRDefault="00086A92">
            <w:pPr>
              <w:jc w:val="right"/>
            </w:pPr>
            <w:r>
              <w:rPr>
                <w:color w:val="000000"/>
                <w:sz w:val="24"/>
                <w:szCs w:val="24"/>
              </w:rPr>
              <w:t>1.37</w:t>
            </w:r>
          </w:p>
        </w:tc>
      </w:tr>
      <w:tr w:rsidR="00A051B6">
        <w:trPr>
          <w:jc w:val="center"/>
        </w:trPr>
        <w:tc>
          <w:tcPr>
            <w:tcW w:w="855" w:type="dxa"/>
            <w:vAlign w:val="center"/>
          </w:tcPr>
          <w:p w:rsidR="00A051B6" w:rsidRDefault="00086A92">
            <w:pPr>
              <w:jc w:val="center"/>
            </w:pPr>
            <w:r>
              <w:rPr>
                <w:color w:val="000000"/>
                <w:sz w:val="24"/>
                <w:szCs w:val="24"/>
              </w:rPr>
              <w:t>10</w:t>
            </w:r>
          </w:p>
        </w:tc>
        <w:tc>
          <w:tcPr>
            <w:tcW w:w="1334" w:type="dxa"/>
            <w:vAlign w:val="center"/>
          </w:tcPr>
          <w:p w:rsidR="00A051B6" w:rsidRDefault="00086A92">
            <w:pPr>
              <w:jc w:val="center"/>
            </w:pPr>
            <w:r>
              <w:rPr>
                <w:color w:val="000000"/>
                <w:sz w:val="24"/>
                <w:szCs w:val="24"/>
              </w:rPr>
              <w:t>600329</w:t>
            </w:r>
          </w:p>
        </w:tc>
        <w:tc>
          <w:tcPr>
            <w:tcW w:w="1777" w:type="dxa"/>
            <w:vAlign w:val="center"/>
          </w:tcPr>
          <w:p w:rsidR="00A051B6" w:rsidRDefault="00086A92">
            <w:pPr>
              <w:jc w:val="center"/>
            </w:pPr>
            <w:r>
              <w:rPr>
                <w:color w:val="000000"/>
                <w:sz w:val="24"/>
                <w:szCs w:val="24"/>
              </w:rPr>
              <w:t>中新药业</w:t>
            </w:r>
          </w:p>
        </w:tc>
        <w:tc>
          <w:tcPr>
            <w:tcW w:w="1334" w:type="dxa"/>
            <w:vAlign w:val="center"/>
          </w:tcPr>
          <w:p w:rsidR="00A051B6" w:rsidRDefault="00086A92">
            <w:pPr>
              <w:jc w:val="right"/>
            </w:pPr>
            <w:r>
              <w:rPr>
                <w:color w:val="000000"/>
                <w:sz w:val="24"/>
                <w:szCs w:val="24"/>
              </w:rPr>
              <w:t>142,500</w:t>
            </w:r>
          </w:p>
        </w:tc>
        <w:tc>
          <w:tcPr>
            <w:tcW w:w="1924" w:type="dxa"/>
            <w:vAlign w:val="center"/>
          </w:tcPr>
          <w:p w:rsidR="00A051B6" w:rsidRDefault="00086A92">
            <w:pPr>
              <w:jc w:val="right"/>
            </w:pPr>
            <w:r>
              <w:rPr>
                <w:color w:val="000000"/>
                <w:sz w:val="24"/>
                <w:szCs w:val="24"/>
              </w:rPr>
              <w:t>2,580,675.00</w:t>
            </w:r>
          </w:p>
        </w:tc>
        <w:tc>
          <w:tcPr>
            <w:tcW w:w="1644" w:type="dxa"/>
            <w:vAlign w:val="center"/>
          </w:tcPr>
          <w:p w:rsidR="00A051B6" w:rsidRDefault="00086A92">
            <w:pPr>
              <w:jc w:val="right"/>
            </w:pPr>
            <w:r>
              <w:rPr>
                <w:color w:val="000000"/>
                <w:sz w:val="24"/>
                <w:szCs w:val="24"/>
              </w:rPr>
              <w:t>0.82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w:t>
            </w:r>
            <w:r w:rsidRPr="00414345">
              <w:rPr>
                <w:color w:val="000000"/>
                <w:sz w:val="24"/>
                <w:szCs w:val="24"/>
              </w:rPr>
              <w:lastRenderedPageBreak/>
              <w:t>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19,846,000.00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6.32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174,460,500.00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55.56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130,246,000.00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41.48</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19,771,000.00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6.30</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344,323,500.00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109.65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051B6">
        <w:trPr>
          <w:jc w:val="center"/>
        </w:trPr>
        <w:tc>
          <w:tcPr>
            <w:tcW w:w="850" w:type="dxa"/>
            <w:vAlign w:val="center"/>
          </w:tcPr>
          <w:p w:rsidR="00A051B6" w:rsidRDefault="00086A92">
            <w:pPr>
              <w:jc w:val="center"/>
            </w:pPr>
            <w:r>
              <w:rPr>
                <w:color w:val="000000"/>
                <w:sz w:val="24"/>
                <w:szCs w:val="24"/>
              </w:rPr>
              <w:t>1</w:t>
            </w:r>
          </w:p>
        </w:tc>
        <w:tc>
          <w:tcPr>
            <w:tcW w:w="1475" w:type="dxa"/>
            <w:vAlign w:val="center"/>
          </w:tcPr>
          <w:p w:rsidR="00A051B6" w:rsidRDefault="00086A92">
            <w:pPr>
              <w:jc w:val="center"/>
            </w:pPr>
            <w:r>
              <w:rPr>
                <w:color w:val="000000"/>
                <w:sz w:val="24"/>
                <w:szCs w:val="24"/>
              </w:rPr>
              <w:t>122273</w:t>
            </w:r>
          </w:p>
        </w:tc>
        <w:tc>
          <w:tcPr>
            <w:tcW w:w="1769" w:type="dxa"/>
            <w:vAlign w:val="center"/>
          </w:tcPr>
          <w:p w:rsidR="00A051B6" w:rsidRDefault="00086A92">
            <w:pPr>
              <w:jc w:val="center"/>
            </w:pPr>
            <w:r>
              <w:rPr>
                <w:color w:val="000000"/>
                <w:sz w:val="24"/>
                <w:szCs w:val="24"/>
              </w:rPr>
              <w:t>13</w:t>
            </w:r>
            <w:r>
              <w:rPr>
                <w:color w:val="000000"/>
                <w:sz w:val="24"/>
                <w:szCs w:val="24"/>
              </w:rPr>
              <w:t>鲁金</w:t>
            </w:r>
            <w:r>
              <w:rPr>
                <w:color w:val="000000"/>
                <w:sz w:val="24"/>
                <w:szCs w:val="24"/>
              </w:rPr>
              <w:t>01</w:t>
            </w:r>
          </w:p>
        </w:tc>
        <w:tc>
          <w:tcPr>
            <w:tcW w:w="1387" w:type="dxa"/>
            <w:vAlign w:val="center"/>
          </w:tcPr>
          <w:p w:rsidR="00A051B6" w:rsidRDefault="00086A92">
            <w:pPr>
              <w:jc w:val="right"/>
            </w:pPr>
            <w:r>
              <w:rPr>
                <w:color w:val="000000"/>
                <w:sz w:val="24"/>
                <w:szCs w:val="24"/>
              </w:rPr>
              <w:t>200,000</w:t>
            </w:r>
          </w:p>
        </w:tc>
        <w:tc>
          <w:tcPr>
            <w:tcW w:w="2150" w:type="dxa"/>
            <w:vAlign w:val="center"/>
          </w:tcPr>
          <w:p w:rsidR="00A051B6" w:rsidRDefault="00086A92">
            <w:pPr>
              <w:jc w:val="right"/>
            </w:pPr>
            <w:r>
              <w:rPr>
                <w:color w:val="000000"/>
                <w:sz w:val="24"/>
                <w:szCs w:val="24"/>
              </w:rPr>
              <w:t>20,196,000.00</w:t>
            </w:r>
          </w:p>
        </w:tc>
        <w:tc>
          <w:tcPr>
            <w:tcW w:w="1237" w:type="dxa"/>
            <w:vAlign w:val="center"/>
          </w:tcPr>
          <w:p w:rsidR="00A051B6" w:rsidRDefault="00086A92">
            <w:pPr>
              <w:jc w:val="right"/>
            </w:pPr>
            <w:r>
              <w:rPr>
                <w:color w:val="000000"/>
                <w:sz w:val="24"/>
                <w:szCs w:val="24"/>
              </w:rPr>
              <w:t>6.43</w:t>
            </w:r>
          </w:p>
        </w:tc>
      </w:tr>
      <w:tr w:rsidR="00A051B6">
        <w:trPr>
          <w:jc w:val="center"/>
        </w:trPr>
        <w:tc>
          <w:tcPr>
            <w:tcW w:w="850" w:type="dxa"/>
            <w:vAlign w:val="center"/>
          </w:tcPr>
          <w:p w:rsidR="00A051B6" w:rsidRDefault="00086A92">
            <w:pPr>
              <w:jc w:val="center"/>
            </w:pPr>
            <w:r>
              <w:rPr>
                <w:color w:val="000000"/>
                <w:sz w:val="24"/>
                <w:szCs w:val="24"/>
              </w:rPr>
              <w:t>2</w:t>
            </w:r>
          </w:p>
        </w:tc>
        <w:tc>
          <w:tcPr>
            <w:tcW w:w="1475" w:type="dxa"/>
            <w:vAlign w:val="center"/>
          </w:tcPr>
          <w:p w:rsidR="00A051B6" w:rsidRDefault="00086A92">
            <w:pPr>
              <w:jc w:val="center"/>
            </w:pPr>
            <w:r>
              <w:rPr>
                <w:color w:val="000000"/>
                <w:sz w:val="24"/>
                <w:szCs w:val="24"/>
              </w:rPr>
              <w:t>011760010</w:t>
            </w:r>
          </w:p>
        </w:tc>
        <w:tc>
          <w:tcPr>
            <w:tcW w:w="1769" w:type="dxa"/>
            <w:vAlign w:val="center"/>
          </w:tcPr>
          <w:p w:rsidR="00A051B6" w:rsidRDefault="00086A92">
            <w:pPr>
              <w:jc w:val="center"/>
            </w:pPr>
            <w:r>
              <w:rPr>
                <w:color w:val="000000"/>
                <w:sz w:val="24"/>
                <w:szCs w:val="24"/>
              </w:rPr>
              <w:t>17</w:t>
            </w:r>
            <w:r>
              <w:rPr>
                <w:color w:val="000000"/>
                <w:sz w:val="24"/>
                <w:szCs w:val="24"/>
              </w:rPr>
              <w:t>豫高管</w:t>
            </w:r>
            <w:r>
              <w:rPr>
                <w:color w:val="000000"/>
                <w:sz w:val="24"/>
                <w:szCs w:val="24"/>
              </w:rPr>
              <w:t>SCP001</w:t>
            </w:r>
          </w:p>
        </w:tc>
        <w:tc>
          <w:tcPr>
            <w:tcW w:w="1387" w:type="dxa"/>
            <w:vAlign w:val="center"/>
          </w:tcPr>
          <w:p w:rsidR="00A051B6" w:rsidRDefault="00086A92">
            <w:pPr>
              <w:jc w:val="right"/>
            </w:pPr>
            <w:r>
              <w:rPr>
                <w:color w:val="000000"/>
                <w:sz w:val="24"/>
                <w:szCs w:val="24"/>
              </w:rPr>
              <w:t>200,000</w:t>
            </w:r>
          </w:p>
        </w:tc>
        <w:tc>
          <w:tcPr>
            <w:tcW w:w="2150" w:type="dxa"/>
            <w:vAlign w:val="center"/>
          </w:tcPr>
          <w:p w:rsidR="00A051B6" w:rsidRDefault="00086A92">
            <w:pPr>
              <w:jc w:val="right"/>
            </w:pPr>
            <w:r>
              <w:rPr>
                <w:color w:val="000000"/>
                <w:sz w:val="24"/>
                <w:szCs w:val="24"/>
              </w:rPr>
              <w:t>20,064,000.00</w:t>
            </w:r>
          </w:p>
        </w:tc>
        <w:tc>
          <w:tcPr>
            <w:tcW w:w="1237" w:type="dxa"/>
            <w:vAlign w:val="center"/>
          </w:tcPr>
          <w:p w:rsidR="00A051B6" w:rsidRDefault="00086A92">
            <w:pPr>
              <w:jc w:val="right"/>
            </w:pPr>
            <w:r>
              <w:rPr>
                <w:color w:val="000000"/>
                <w:sz w:val="24"/>
                <w:szCs w:val="24"/>
              </w:rPr>
              <w:t>6.39</w:t>
            </w:r>
          </w:p>
        </w:tc>
      </w:tr>
      <w:tr w:rsidR="00A051B6">
        <w:trPr>
          <w:jc w:val="center"/>
        </w:trPr>
        <w:tc>
          <w:tcPr>
            <w:tcW w:w="850" w:type="dxa"/>
            <w:vAlign w:val="center"/>
          </w:tcPr>
          <w:p w:rsidR="00A051B6" w:rsidRDefault="00086A92">
            <w:pPr>
              <w:jc w:val="center"/>
            </w:pPr>
            <w:r>
              <w:rPr>
                <w:color w:val="000000"/>
                <w:sz w:val="24"/>
                <w:szCs w:val="24"/>
              </w:rPr>
              <w:t>3</w:t>
            </w:r>
          </w:p>
        </w:tc>
        <w:tc>
          <w:tcPr>
            <w:tcW w:w="1475" w:type="dxa"/>
            <w:vAlign w:val="center"/>
          </w:tcPr>
          <w:p w:rsidR="00A051B6" w:rsidRDefault="00086A92">
            <w:pPr>
              <w:jc w:val="center"/>
            </w:pPr>
            <w:r>
              <w:rPr>
                <w:color w:val="000000"/>
                <w:sz w:val="24"/>
                <w:szCs w:val="24"/>
              </w:rPr>
              <w:t>011698809</w:t>
            </w:r>
          </w:p>
        </w:tc>
        <w:tc>
          <w:tcPr>
            <w:tcW w:w="1769" w:type="dxa"/>
            <w:vAlign w:val="center"/>
          </w:tcPr>
          <w:p w:rsidR="00A051B6" w:rsidRDefault="00086A92">
            <w:pPr>
              <w:jc w:val="center"/>
            </w:pPr>
            <w:r>
              <w:rPr>
                <w:color w:val="000000"/>
                <w:sz w:val="24"/>
                <w:szCs w:val="24"/>
              </w:rPr>
              <w:t>16</w:t>
            </w:r>
            <w:r>
              <w:rPr>
                <w:color w:val="000000"/>
                <w:sz w:val="24"/>
                <w:szCs w:val="24"/>
              </w:rPr>
              <w:t>京能洁能</w:t>
            </w:r>
            <w:r>
              <w:rPr>
                <w:color w:val="000000"/>
                <w:sz w:val="24"/>
                <w:szCs w:val="24"/>
              </w:rPr>
              <w:t>SCP005</w:t>
            </w:r>
          </w:p>
        </w:tc>
        <w:tc>
          <w:tcPr>
            <w:tcW w:w="1387" w:type="dxa"/>
            <w:vAlign w:val="center"/>
          </w:tcPr>
          <w:p w:rsidR="00A051B6" w:rsidRDefault="00086A92">
            <w:pPr>
              <w:jc w:val="right"/>
            </w:pPr>
            <w:r>
              <w:rPr>
                <w:color w:val="000000"/>
                <w:sz w:val="24"/>
                <w:szCs w:val="24"/>
              </w:rPr>
              <w:t>200,000</w:t>
            </w:r>
          </w:p>
        </w:tc>
        <w:tc>
          <w:tcPr>
            <w:tcW w:w="2150" w:type="dxa"/>
            <w:vAlign w:val="center"/>
          </w:tcPr>
          <w:p w:rsidR="00A051B6" w:rsidRDefault="00086A92">
            <w:pPr>
              <w:jc w:val="right"/>
            </w:pPr>
            <w:r>
              <w:rPr>
                <w:color w:val="000000"/>
                <w:sz w:val="24"/>
                <w:szCs w:val="24"/>
              </w:rPr>
              <w:t>20,052,000.00</w:t>
            </w:r>
          </w:p>
        </w:tc>
        <w:tc>
          <w:tcPr>
            <w:tcW w:w="1237" w:type="dxa"/>
            <w:vAlign w:val="center"/>
          </w:tcPr>
          <w:p w:rsidR="00A051B6" w:rsidRDefault="00086A92">
            <w:pPr>
              <w:jc w:val="right"/>
            </w:pPr>
            <w:r>
              <w:rPr>
                <w:color w:val="000000"/>
                <w:sz w:val="24"/>
                <w:szCs w:val="24"/>
              </w:rPr>
              <w:t>6.39</w:t>
            </w:r>
          </w:p>
        </w:tc>
      </w:tr>
      <w:tr w:rsidR="00A051B6">
        <w:trPr>
          <w:jc w:val="center"/>
        </w:trPr>
        <w:tc>
          <w:tcPr>
            <w:tcW w:w="850" w:type="dxa"/>
            <w:vAlign w:val="center"/>
          </w:tcPr>
          <w:p w:rsidR="00A051B6" w:rsidRDefault="00086A92">
            <w:pPr>
              <w:jc w:val="center"/>
            </w:pPr>
            <w:r>
              <w:rPr>
                <w:color w:val="000000"/>
                <w:sz w:val="24"/>
                <w:szCs w:val="24"/>
              </w:rPr>
              <w:t>4</w:t>
            </w:r>
          </w:p>
        </w:tc>
        <w:tc>
          <w:tcPr>
            <w:tcW w:w="1475" w:type="dxa"/>
            <w:vAlign w:val="center"/>
          </w:tcPr>
          <w:p w:rsidR="00A051B6" w:rsidRDefault="00086A92">
            <w:pPr>
              <w:jc w:val="center"/>
            </w:pPr>
            <w:r>
              <w:rPr>
                <w:color w:val="000000"/>
                <w:sz w:val="24"/>
                <w:szCs w:val="24"/>
              </w:rPr>
              <w:t>041659043</w:t>
            </w:r>
          </w:p>
        </w:tc>
        <w:tc>
          <w:tcPr>
            <w:tcW w:w="1769" w:type="dxa"/>
            <w:vAlign w:val="center"/>
          </w:tcPr>
          <w:p w:rsidR="00A051B6" w:rsidRDefault="00086A92">
            <w:pPr>
              <w:jc w:val="center"/>
            </w:pPr>
            <w:r>
              <w:rPr>
                <w:color w:val="000000"/>
                <w:sz w:val="24"/>
                <w:szCs w:val="24"/>
              </w:rPr>
              <w:t>16</w:t>
            </w:r>
            <w:r>
              <w:rPr>
                <w:color w:val="000000"/>
                <w:sz w:val="24"/>
                <w:szCs w:val="24"/>
              </w:rPr>
              <w:t>青海盐湖</w:t>
            </w:r>
            <w:r>
              <w:rPr>
                <w:color w:val="000000"/>
                <w:sz w:val="24"/>
                <w:szCs w:val="24"/>
              </w:rPr>
              <w:t>CP001</w:t>
            </w:r>
          </w:p>
        </w:tc>
        <w:tc>
          <w:tcPr>
            <w:tcW w:w="1387" w:type="dxa"/>
            <w:vAlign w:val="center"/>
          </w:tcPr>
          <w:p w:rsidR="00A051B6" w:rsidRDefault="00086A92">
            <w:pPr>
              <w:jc w:val="right"/>
            </w:pPr>
            <w:r>
              <w:rPr>
                <w:color w:val="000000"/>
                <w:sz w:val="24"/>
                <w:szCs w:val="24"/>
              </w:rPr>
              <w:t>200,000</w:t>
            </w:r>
          </w:p>
        </w:tc>
        <w:tc>
          <w:tcPr>
            <w:tcW w:w="2150" w:type="dxa"/>
            <w:vAlign w:val="center"/>
          </w:tcPr>
          <w:p w:rsidR="00A051B6" w:rsidRDefault="00086A92">
            <w:pPr>
              <w:jc w:val="right"/>
            </w:pPr>
            <w:r>
              <w:rPr>
                <w:color w:val="000000"/>
                <w:sz w:val="24"/>
                <w:szCs w:val="24"/>
              </w:rPr>
              <w:t>20,048,000.00</w:t>
            </w:r>
          </w:p>
        </w:tc>
        <w:tc>
          <w:tcPr>
            <w:tcW w:w="1237" w:type="dxa"/>
            <w:vAlign w:val="center"/>
          </w:tcPr>
          <w:p w:rsidR="00A051B6" w:rsidRDefault="00086A92">
            <w:pPr>
              <w:jc w:val="right"/>
            </w:pPr>
            <w:r>
              <w:rPr>
                <w:color w:val="000000"/>
                <w:sz w:val="24"/>
                <w:szCs w:val="24"/>
              </w:rPr>
              <w:t>6.38</w:t>
            </w:r>
          </w:p>
        </w:tc>
      </w:tr>
      <w:tr w:rsidR="00A051B6">
        <w:trPr>
          <w:jc w:val="center"/>
        </w:trPr>
        <w:tc>
          <w:tcPr>
            <w:tcW w:w="850" w:type="dxa"/>
            <w:vAlign w:val="center"/>
          </w:tcPr>
          <w:p w:rsidR="00A051B6" w:rsidRDefault="00086A92">
            <w:pPr>
              <w:jc w:val="center"/>
            </w:pPr>
            <w:r>
              <w:rPr>
                <w:color w:val="000000"/>
                <w:sz w:val="24"/>
                <w:szCs w:val="24"/>
              </w:rPr>
              <w:t>5</w:t>
            </w:r>
          </w:p>
        </w:tc>
        <w:tc>
          <w:tcPr>
            <w:tcW w:w="1475" w:type="dxa"/>
            <w:vAlign w:val="center"/>
          </w:tcPr>
          <w:p w:rsidR="00A051B6" w:rsidRDefault="00086A92">
            <w:pPr>
              <w:jc w:val="center"/>
            </w:pPr>
            <w:r>
              <w:rPr>
                <w:color w:val="000000"/>
                <w:sz w:val="24"/>
                <w:szCs w:val="24"/>
              </w:rPr>
              <w:t>011698792</w:t>
            </w:r>
          </w:p>
        </w:tc>
        <w:tc>
          <w:tcPr>
            <w:tcW w:w="1769" w:type="dxa"/>
            <w:vAlign w:val="center"/>
          </w:tcPr>
          <w:p w:rsidR="00A051B6" w:rsidRDefault="00086A92">
            <w:pPr>
              <w:jc w:val="center"/>
            </w:pPr>
            <w:r>
              <w:rPr>
                <w:color w:val="000000"/>
                <w:sz w:val="24"/>
                <w:szCs w:val="24"/>
              </w:rPr>
              <w:t>16</w:t>
            </w:r>
            <w:r>
              <w:rPr>
                <w:color w:val="000000"/>
                <w:sz w:val="24"/>
                <w:szCs w:val="24"/>
              </w:rPr>
              <w:t>鲁黄金</w:t>
            </w:r>
            <w:r>
              <w:rPr>
                <w:color w:val="000000"/>
                <w:sz w:val="24"/>
                <w:szCs w:val="24"/>
              </w:rPr>
              <w:t>SCP016</w:t>
            </w:r>
          </w:p>
        </w:tc>
        <w:tc>
          <w:tcPr>
            <w:tcW w:w="1387" w:type="dxa"/>
            <w:vAlign w:val="center"/>
          </w:tcPr>
          <w:p w:rsidR="00A051B6" w:rsidRDefault="00086A92">
            <w:pPr>
              <w:jc w:val="right"/>
            </w:pPr>
            <w:r>
              <w:rPr>
                <w:color w:val="000000"/>
                <w:sz w:val="24"/>
                <w:szCs w:val="24"/>
              </w:rPr>
              <w:t>200,000</w:t>
            </w:r>
          </w:p>
        </w:tc>
        <w:tc>
          <w:tcPr>
            <w:tcW w:w="2150" w:type="dxa"/>
            <w:vAlign w:val="center"/>
          </w:tcPr>
          <w:p w:rsidR="00A051B6" w:rsidRDefault="00086A92">
            <w:pPr>
              <w:jc w:val="right"/>
            </w:pPr>
            <w:r>
              <w:rPr>
                <w:color w:val="000000"/>
                <w:sz w:val="24"/>
                <w:szCs w:val="24"/>
              </w:rPr>
              <w:t>20,040,000.00</w:t>
            </w:r>
          </w:p>
        </w:tc>
        <w:tc>
          <w:tcPr>
            <w:tcW w:w="1237" w:type="dxa"/>
            <w:vAlign w:val="center"/>
          </w:tcPr>
          <w:p w:rsidR="00A051B6" w:rsidRDefault="00086A92">
            <w:pPr>
              <w:jc w:val="right"/>
            </w:pPr>
            <w:r>
              <w:rPr>
                <w:color w:val="000000"/>
                <w:sz w:val="24"/>
                <w:szCs w:val="24"/>
              </w:rPr>
              <w:t>6.38</w:t>
            </w:r>
          </w:p>
        </w:tc>
      </w:tr>
      <w:tr w:rsidR="00086A92">
        <w:trPr>
          <w:jc w:val="center"/>
        </w:trPr>
        <w:tc>
          <w:tcPr>
            <w:tcW w:w="850" w:type="dxa"/>
            <w:vAlign w:val="center"/>
          </w:tcPr>
          <w:p w:rsidR="00086A92" w:rsidRDefault="00086A92">
            <w:pPr>
              <w:jc w:val="center"/>
              <w:rPr>
                <w:color w:val="000000"/>
                <w:sz w:val="24"/>
                <w:szCs w:val="24"/>
              </w:rPr>
            </w:pPr>
            <w:r>
              <w:rPr>
                <w:rFonts w:hint="eastAsia"/>
                <w:color w:val="000000"/>
                <w:sz w:val="24"/>
                <w:szCs w:val="24"/>
              </w:rPr>
              <w:t>5</w:t>
            </w:r>
          </w:p>
        </w:tc>
        <w:tc>
          <w:tcPr>
            <w:tcW w:w="1475" w:type="dxa"/>
            <w:vAlign w:val="center"/>
          </w:tcPr>
          <w:p w:rsidR="00086A92" w:rsidRDefault="00DF25D1">
            <w:pPr>
              <w:jc w:val="center"/>
              <w:rPr>
                <w:color w:val="000000"/>
                <w:sz w:val="24"/>
                <w:szCs w:val="24"/>
              </w:rPr>
            </w:pPr>
            <w:r w:rsidRPr="00DF25D1">
              <w:rPr>
                <w:color w:val="000000"/>
                <w:sz w:val="24"/>
                <w:szCs w:val="24"/>
              </w:rPr>
              <w:t>041652022</w:t>
            </w:r>
            <w:bookmarkStart w:id="0" w:name="_GoBack"/>
            <w:bookmarkEnd w:id="0"/>
          </w:p>
        </w:tc>
        <w:tc>
          <w:tcPr>
            <w:tcW w:w="1769" w:type="dxa"/>
            <w:vAlign w:val="center"/>
          </w:tcPr>
          <w:p w:rsidR="00086A92" w:rsidRDefault="00086A92">
            <w:pPr>
              <w:jc w:val="center"/>
              <w:rPr>
                <w:color w:val="000000"/>
                <w:sz w:val="24"/>
                <w:szCs w:val="24"/>
              </w:rPr>
            </w:pPr>
            <w:r w:rsidRPr="00086A92">
              <w:rPr>
                <w:rFonts w:hint="eastAsia"/>
                <w:color w:val="000000"/>
                <w:sz w:val="24"/>
                <w:szCs w:val="24"/>
              </w:rPr>
              <w:t>16</w:t>
            </w:r>
            <w:r w:rsidRPr="00086A92">
              <w:rPr>
                <w:rFonts w:hint="eastAsia"/>
                <w:color w:val="000000"/>
                <w:sz w:val="24"/>
                <w:szCs w:val="24"/>
              </w:rPr>
              <w:t>鄂能源</w:t>
            </w:r>
            <w:r w:rsidRPr="00086A92">
              <w:rPr>
                <w:rFonts w:hint="eastAsia"/>
                <w:color w:val="000000"/>
                <w:sz w:val="24"/>
                <w:szCs w:val="24"/>
              </w:rPr>
              <w:t>CP001</w:t>
            </w:r>
          </w:p>
        </w:tc>
        <w:tc>
          <w:tcPr>
            <w:tcW w:w="1387" w:type="dxa"/>
            <w:vAlign w:val="center"/>
          </w:tcPr>
          <w:p w:rsidR="00086A92" w:rsidRDefault="00086A92">
            <w:pPr>
              <w:jc w:val="right"/>
              <w:rPr>
                <w:color w:val="000000"/>
                <w:sz w:val="24"/>
                <w:szCs w:val="24"/>
              </w:rPr>
            </w:pPr>
            <w:r w:rsidRPr="00086A92">
              <w:rPr>
                <w:color w:val="000000"/>
                <w:sz w:val="24"/>
                <w:szCs w:val="24"/>
              </w:rPr>
              <w:t>200,000</w:t>
            </w:r>
          </w:p>
        </w:tc>
        <w:tc>
          <w:tcPr>
            <w:tcW w:w="2150" w:type="dxa"/>
            <w:vAlign w:val="center"/>
          </w:tcPr>
          <w:p w:rsidR="00086A92" w:rsidRDefault="00086A92">
            <w:pPr>
              <w:jc w:val="right"/>
              <w:rPr>
                <w:color w:val="000000"/>
                <w:sz w:val="24"/>
                <w:szCs w:val="24"/>
              </w:rPr>
            </w:pPr>
            <w:r w:rsidRPr="00086A92">
              <w:rPr>
                <w:color w:val="000000"/>
                <w:sz w:val="24"/>
                <w:szCs w:val="24"/>
              </w:rPr>
              <w:t>20,040,000.00</w:t>
            </w:r>
          </w:p>
        </w:tc>
        <w:tc>
          <w:tcPr>
            <w:tcW w:w="1237" w:type="dxa"/>
            <w:vAlign w:val="center"/>
          </w:tcPr>
          <w:p w:rsidR="00086A92" w:rsidRDefault="00086A92" w:rsidP="00677BB7">
            <w:pPr>
              <w:jc w:val="right"/>
              <w:rPr>
                <w:color w:val="000000"/>
                <w:sz w:val="24"/>
                <w:szCs w:val="24"/>
              </w:rPr>
            </w:pPr>
            <w:r w:rsidRPr="00086A92">
              <w:rPr>
                <w:color w:val="000000"/>
                <w:sz w:val="24"/>
                <w:szCs w:val="24"/>
              </w:rPr>
              <w:t>6.38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16</w:t>
      </w:r>
      <w:r w:rsidRPr="00BE5388">
        <w:rPr>
          <w:bCs/>
          <w:color w:val="000000"/>
          <w:kern w:val="0"/>
          <w:sz w:val="24"/>
          <w:szCs w:val="24"/>
        </w:rPr>
        <w:t>青海盐湖</w:t>
      </w:r>
      <w:r w:rsidRPr="00BE5388">
        <w:rPr>
          <w:bCs/>
          <w:color w:val="000000"/>
          <w:kern w:val="0"/>
          <w:sz w:val="24"/>
          <w:szCs w:val="24"/>
        </w:rPr>
        <w:t>CP001</w:t>
      </w:r>
      <w:r w:rsidRPr="00BE5388">
        <w:rPr>
          <w:bCs/>
          <w:color w:val="000000"/>
          <w:kern w:val="0"/>
          <w:sz w:val="24"/>
          <w:szCs w:val="24"/>
        </w:rPr>
        <w:t>（证券代码</w:t>
      </w:r>
      <w:r w:rsidRPr="00BE5388">
        <w:rPr>
          <w:bCs/>
          <w:color w:val="000000"/>
          <w:kern w:val="0"/>
          <w:sz w:val="24"/>
          <w:szCs w:val="24"/>
        </w:rPr>
        <w:t>:041659043</w:t>
      </w:r>
      <w:r w:rsidRPr="00BE5388">
        <w:rPr>
          <w:bCs/>
          <w:color w:val="000000"/>
          <w:kern w:val="0"/>
          <w:sz w:val="24"/>
          <w:szCs w:val="24"/>
        </w:rPr>
        <w:t>）外，未出现被监管部门立案调查，或在报告编制日前一年内受到公开谴责、处罚的情形。</w:t>
      </w:r>
    </w:p>
    <w:p w:rsidR="00A051B6" w:rsidRDefault="00086A92">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16</w:t>
      </w:r>
      <w:r>
        <w:rPr>
          <w:bCs/>
          <w:color w:val="000000"/>
          <w:kern w:val="0"/>
          <w:sz w:val="24"/>
          <w:szCs w:val="24"/>
        </w:rPr>
        <w:t>青海盐湖</w:t>
      </w:r>
      <w:r>
        <w:rPr>
          <w:bCs/>
          <w:color w:val="000000"/>
          <w:kern w:val="0"/>
          <w:sz w:val="24"/>
          <w:szCs w:val="24"/>
        </w:rPr>
        <w:t>CP001</w:t>
      </w:r>
      <w:r>
        <w:rPr>
          <w:bCs/>
          <w:color w:val="000000"/>
          <w:kern w:val="0"/>
          <w:sz w:val="24"/>
          <w:szCs w:val="24"/>
        </w:rPr>
        <w:t>（证券代码</w:t>
      </w:r>
      <w:r>
        <w:rPr>
          <w:bCs/>
          <w:color w:val="000000"/>
          <w:kern w:val="0"/>
          <w:sz w:val="24"/>
          <w:szCs w:val="24"/>
        </w:rPr>
        <w:t>:041659043</w:t>
      </w:r>
      <w:r>
        <w:rPr>
          <w:bCs/>
          <w:color w:val="000000"/>
          <w:kern w:val="0"/>
          <w:sz w:val="24"/>
          <w:szCs w:val="24"/>
        </w:rPr>
        <w:t>）的发行主体盐湖股份于</w:t>
      </w:r>
      <w:r>
        <w:rPr>
          <w:bCs/>
          <w:color w:val="000000"/>
          <w:kern w:val="0"/>
          <w:sz w:val="24"/>
          <w:szCs w:val="24"/>
        </w:rPr>
        <w:t>2016</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22</w:t>
      </w:r>
      <w:r>
        <w:rPr>
          <w:bCs/>
          <w:color w:val="000000"/>
          <w:kern w:val="0"/>
          <w:sz w:val="24"/>
          <w:szCs w:val="24"/>
        </w:rPr>
        <w:t>日公告，公司控股子公司青海盐湖海纳化工有限公司聚氯乙烯一体化项目日产</w:t>
      </w:r>
      <w:r>
        <w:rPr>
          <w:bCs/>
          <w:color w:val="000000"/>
          <w:kern w:val="0"/>
          <w:sz w:val="24"/>
          <w:szCs w:val="24"/>
        </w:rPr>
        <w:t>2500</w:t>
      </w:r>
      <w:r>
        <w:rPr>
          <w:bCs/>
          <w:color w:val="000000"/>
          <w:kern w:val="0"/>
          <w:sz w:val="24"/>
          <w:szCs w:val="24"/>
        </w:rPr>
        <w:t>吨水泥生产线电石渣库顶除尘器发生闪爆事故，于近日收到西宁市人民政府出具的《关于青海盐湖海纳化工有限公司</w:t>
      </w:r>
      <w:r>
        <w:rPr>
          <w:bCs/>
          <w:color w:val="000000"/>
          <w:kern w:val="0"/>
          <w:sz w:val="24"/>
          <w:szCs w:val="24"/>
        </w:rPr>
        <w:t>2500t/d</w:t>
      </w:r>
      <w:r>
        <w:rPr>
          <w:bCs/>
          <w:color w:val="000000"/>
          <w:kern w:val="0"/>
          <w:sz w:val="24"/>
          <w:szCs w:val="24"/>
        </w:rPr>
        <w:t>电石渣水泥生产线</w:t>
      </w:r>
      <w:r>
        <w:rPr>
          <w:bCs/>
          <w:color w:val="000000"/>
          <w:kern w:val="0"/>
          <w:sz w:val="24"/>
          <w:szCs w:val="24"/>
        </w:rPr>
        <w:t>“9.18”</w:t>
      </w:r>
      <w:r>
        <w:rPr>
          <w:bCs/>
          <w:color w:val="000000"/>
          <w:kern w:val="0"/>
          <w:sz w:val="24"/>
          <w:szCs w:val="24"/>
        </w:rPr>
        <w:t>闪爆较大生产安全事故结案的批复》（宁政</w:t>
      </w:r>
      <w:r>
        <w:rPr>
          <w:bCs/>
          <w:color w:val="000000"/>
          <w:kern w:val="0"/>
          <w:sz w:val="24"/>
          <w:szCs w:val="24"/>
        </w:rPr>
        <w:t>[2016]213</w:t>
      </w:r>
      <w:r>
        <w:rPr>
          <w:bCs/>
          <w:color w:val="000000"/>
          <w:kern w:val="0"/>
          <w:sz w:val="24"/>
          <w:szCs w:val="24"/>
        </w:rPr>
        <w:t>号）及事故调查组出具的《关于青海盐湖海纳化工有限公司</w:t>
      </w:r>
      <w:r>
        <w:rPr>
          <w:bCs/>
          <w:color w:val="000000"/>
          <w:kern w:val="0"/>
          <w:sz w:val="24"/>
          <w:szCs w:val="24"/>
        </w:rPr>
        <w:t>2500t/d</w:t>
      </w:r>
      <w:r>
        <w:rPr>
          <w:bCs/>
          <w:color w:val="000000"/>
          <w:kern w:val="0"/>
          <w:sz w:val="24"/>
          <w:szCs w:val="24"/>
        </w:rPr>
        <w:t>电石渣水泥生产线</w:t>
      </w:r>
      <w:r>
        <w:rPr>
          <w:bCs/>
          <w:color w:val="000000"/>
          <w:kern w:val="0"/>
          <w:sz w:val="24"/>
          <w:szCs w:val="24"/>
        </w:rPr>
        <w:t>“9.18”</w:t>
      </w:r>
      <w:r>
        <w:rPr>
          <w:bCs/>
          <w:color w:val="000000"/>
          <w:kern w:val="0"/>
          <w:sz w:val="24"/>
          <w:szCs w:val="24"/>
        </w:rPr>
        <w:t>闪爆较大生产安全事故调查报告》。据此，西宁市人民政府决定给予盐湖海纳</w:t>
      </w:r>
      <w:r>
        <w:rPr>
          <w:bCs/>
          <w:color w:val="000000"/>
          <w:kern w:val="0"/>
          <w:sz w:val="24"/>
          <w:szCs w:val="24"/>
        </w:rPr>
        <w:t>100</w:t>
      </w:r>
      <w:r>
        <w:rPr>
          <w:bCs/>
          <w:color w:val="000000"/>
          <w:kern w:val="0"/>
          <w:sz w:val="24"/>
          <w:szCs w:val="24"/>
        </w:rPr>
        <w:t>万元的行政处罚。</w:t>
      </w:r>
    </w:p>
    <w:p w:rsidR="00A051B6" w:rsidRDefault="00086A92">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40,827.86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6,349,582.00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6,390,409.86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300,022,842.52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110.33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300,022,732.19</w:t>
            </w:r>
          </w:p>
        </w:tc>
      </w:tr>
    </w:tbl>
    <w:p w:rsidR="00A051B6" w:rsidRDefault="00086A9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5E6985" w:rsidRDefault="003C50AD" w:rsidP="00EE49FE">
      <w:pPr>
        <w:pStyle w:val="1"/>
        <w:spacing w:beforeLines="100" w:before="312" w:afterLines="100" w:after="312" w:line="360" w:lineRule="auto"/>
        <w:jc w:val="center"/>
        <w:rPr>
          <w:rFonts w:eastAsiaTheme="minorEastAsia"/>
          <w:color w:val="000000" w:themeColor="text1"/>
          <w:kern w:val="0"/>
          <w:sz w:val="24"/>
          <w:szCs w:val="24"/>
        </w:rPr>
      </w:pPr>
      <w:r w:rsidRPr="005E6985">
        <w:rPr>
          <w:rFonts w:eastAsiaTheme="minorEastAsia" w:hint="eastAsia"/>
          <w:color w:val="000000" w:themeColor="text1"/>
          <w:kern w:val="0"/>
          <w:sz w:val="24"/>
          <w:szCs w:val="24"/>
        </w:rPr>
        <w:lastRenderedPageBreak/>
        <w:t>§</w:t>
      </w:r>
      <w:r w:rsidR="003376A4">
        <w:rPr>
          <w:rFonts w:eastAsiaTheme="minorEastAsia" w:hint="eastAsia"/>
          <w:color w:val="000000" w:themeColor="text1"/>
          <w:kern w:val="0"/>
          <w:sz w:val="24"/>
          <w:szCs w:val="24"/>
        </w:rPr>
        <w:t>8</w:t>
      </w:r>
      <w:r w:rsidRPr="005E6985">
        <w:rPr>
          <w:rFonts w:eastAsiaTheme="minorEastAsia"/>
          <w:color w:val="000000" w:themeColor="text1"/>
          <w:kern w:val="0"/>
          <w:sz w:val="24"/>
          <w:szCs w:val="24"/>
        </w:rPr>
        <w:t xml:space="preserve">  </w:t>
      </w:r>
      <w:r w:rsidRPr="005E6985">
        <w:rPr>
          <w:rFonts w:eastAsiaTheme="minorEastAsia" w:hint="eastAsia"/>
          <w:color w:val="000000" w:themeColor="text1"/>
          <w:kern w:val="0"/>
          <w:sz w:val="24"/>
          <w:szCs w:val="24"/>
        </w:rPr>
        <w:t>影响投资者决策的其他重要信息</w:t>
      </w:r>
    </w:p>
    <w:p w:rsidR="003C50AD" w:rsidRPr="005E6985" w:rsidRDefault="003C50AD" w:rsidP="003C50AD">
      <w:pPr>
        <w:autoSpaceDE w:val="0"/>
        <w:autoSpaceDN w:val="0"/>
        <w:adjustRightInd w:val="0"/>
        <w:spacing w:line="360" w:lineRule="auto"/>
        <w:jc w:val="left"/>
        <w:rPr>
          <w:b/>
          <w:bCs/>
          <w:color w:val="000000"/>
          <w:kern w:val="0"/>
          <w:sz w:val="24"/>
          <w:szCs w:val="24"/>
        </w:rPr>
      </w:pPr>
      <w:r w:rsidRPr="005E6985">
        <w:rPr>
          <w:b/>
          <w:bCs/>
          <w:color w:val="000000"/>
          <w:kern w:val="0"/>
          <w:sz w:val="24"/>
          <w:szCs w:val="24"/>
        </w:rPr>
        <w:t xml:space="preserve">8.1 </w:t>
      </w:r>
      <w:r w:rsidRPr="005E6985">
        <w:rPr>
          <w:rFonts w:hint="eastAsia"/>
          <w:b/>
          <w:bCs/>
          <w:color w:val="000000"/>
          <w:kern w:val="0"/>
          <w:sz w:val="24"/>
          <w:szCs w:val="24"/>
        </w:rPr>
        <w:t>报告期内单一投资者持有基金份额比例达到或超过</w:t>
      </w:r>
      <w:r w:rsidRPr="005E6985">
        <w:rPr>
          <w:b/>
          <w:bCs/>
          <w:color w:val="000000"/>
          <w:kern w:val="0"/>
          <w:sz w:val="24"/>
          <w:szCs w:val="24"/>
        </w:rPr>
        <w:t>20%</w:t>
      </w:r>
      <w:r w:rsidRPr="005E6985">
        <w:rPr>
          <w:rFonts w:hint="eastAsia"/>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3E2300" w:rsidTr="00424D30">
        <w:tc>
          <w:tcPr>
            <w:tcW w:w="993" w:type="dxa"/>
            <w:vMerge w:val="restart"/>
            <w:vAlign w:val="center"/>
          </w:tcPr>
          <w:p w:rsidR="003C50AD" w:rsidRPr="005E6985" w:rsidRDefault="003C50AD" w:rsidP="00424D30">
            <w:pPr>
              <w:autoSpaceDE w:val="0"/>
              <w:autoSpaceDN w:val="0"/>
              <w:adjustRightInd w:val="0"/>
              <w:jc w:val="center"/>
              <w:rPr>
                <w:b/>
                <w:bCs/>
                <w:color w:val="000000"/>
                <w:kern w:val="0"/>
                <w:sz w:val="24"/>
                <w:szCs w:val="24"/>
              </w:rPr>
            </w:pPr>
            <w:r w:rsidRPr="005E6985">
              <w:rPr>
                <w:rFonts w:hint="eastAsia"/>
                <w:color w:val="000000"/>
                <w:kern w:val="0"/>
                <w:sz w:val="24"/>
                <w:szCs w:val="24"/>
              </w:rPr>
              <w:t>投资者类别</w:t>
            </w:r>
            <w:r w:rsidRPr="005E6985">
              <w:rPr>
                <w:color w:val="000000"/>
                <w:kern w:val="0"/>
                <w:sz w:val="24"/>
                <w:szCs w:val="24"/>
              </w:rPr>
              <w:t xml:space="preserve">  </w:t>
            </w:r>
          </w:p>
        </w:tc>
        <w:tc>
          <w:tcPr>
            <w:tcW w:w="5670" w:type="dxa"/>
            <w:gridSpan w:val="5"/>
            <w:vAlign w:val="center"/>
          </w:tcPr>
          <w:p w:rsidR="003C50AD" w:rsidRPr="005E6985" w:rsidRDefault="003C50AD" w:rsidP="00424D30">
            <w:pPr>
              <w:autoSpaceDE w:val="0"/>
              <w:autoSpaceDN w:val="0"/>
              <w:adjustRightInd w:val="0"/>
              <w:jc w:val="center"/>
              <w:rPr>
                <w:b/>
                <w:bCs/>
                <w:color w:val="000000"/>
                <w:kern w:val="0"/>
                <w:sz w:val="24"/>
                <w:szCs w:val="24"/>
              </w:rPr>
            </w:pPr>
            <w:r w:rsidRPr="005E6985">
              <w:rPr>
                <w:rFonts w:hint="eastAsia"/>
                <w:color w:val="000000"/>
                <w:kern w:val="0"/>
                <w:sz w:val="24"/>
                <w:szCs w:val="24"/>
              </w:rPr>
              <w:t>报告期内持有基金份额变化情况</w:t>
            </w:r>
          </w:p>
        </w:tc>
        <w:tc>
          <w:tcPr>
            <w:tcW w:w="2549" w:type="dxa"/>
            <w:gridSpan w:val="2"/>
            <w:vAlign w:val="center"/>
          </w:tcPr>
          <w:p w:rsidR="003C50AD" w:rsidRPr="005E6985" w:rsidRDefault="003C50AD" w:rsidP="00424D30">
            <w:pPr>
              <w:autoSpaceDE w:val="0"/>
              <w:autoSpaceDN w:val="0"/>
              <w:adjustRightInd w:val="0"/>
              <w:jc w:val="center"/>
              <w:rPr>
                <w:b/>
                <w:bCs/>
                <w:color w:val="000000"/>
                <w:kern w:val="0"/>
                <w:sz w:val="24"/>
                <w:szCs w:val="24"/>
              </w:rPr>
            </w:pPr>
            <w:r w:rsidRPr="005E6985">
              <w:rPr>
                <w:rFonts w:hint="eastAsia"/>
                <w:color w:val="000000"/>
                <w:kern w:val="0"/>
                <w:sz w:val="24"/>
                <w:szCs w:val="24"/>
              </w:rPr>
              <w:t>报告期末持有基金情况</w:t>
            </w:r>
          </w:p>
        </w:tc>
      </w:tr>
      <w:tr w:rsidR="003C50AD" w:rsidRPr="003E2300" w:rsidTr="00424D30">
        <w:tc>
          <w:tcPr>
            <w:tcW w:w="993" w:type="dxa"/>
            <w:vMerge/>
            <w:vAlign w:val="center"/>
          </w:tcPr>
          <w:p w:rsidR="003C50AD" w:rsidRPr="005E6985" w:rsidRDefault="003C50AD" w:rsidP="00424D30">
            <w:pPr>
              <w:autoSpaceDE w:val="0"/>
              <w:autoSpaceDN w:val="0"/>
              <w:adjustRightInd w:val="0"/>
              <w:jc w:val="center"/>
              <w:rPr>
                <w:b/>
                <w:bCs/>
                <w:color w:val="000000"/>
                <w:kern w:val="0"/>
                <w:sz w:val="24"/>
                <w:szCs w:val="24"/>
              </w:rPr>
            </w:pPr>
          </w:p>
        </w:tc>
        <w:tc>
          <w:tcPr>
            <w:tcW w:w="992" w:type="dxa"/>
            <w:vAlign w:val="center"/>
          </w:tcPr>
          <w:p w:rsidR="003C50AD" w:rsidRPr="005E6985" w:rsidRDefault="003C50AD" w:rsidP="00424D30">
            <w:pPr>
              <w:autoSpaceDE w:val="0"/>
              <w:autoSpaceDN w:val="0"/>
              <w:adjustRightInd w:val="0"/>
              <w:jc w:val="center"/>
              <w:rPr>
                <w:b/>
                <w:bCs/>
                <w:color w:val="000000"/>
                <w:kern w:val="0"/>
                <w:sz w:val="24"/>
                <w:szCs w:val="24"/>
              </w:rPr>
            </w:pPr>
            <w:r w:rsidRPr="005E6985">
              <w:rPr>
                <w:rFonts w:hint="eastAsia"/>
                <w:color w:val="000000"/>
                <w:kern w:val="0"/>
                <w:sz w:val="24"/>
                <w:szCs w:val="24"/>
              </w:rPr>
              <w:t>序号</w:t>
            </w:r>
          </w:p>
        </w:tc>
        <w:tc>
          <w:tcPr>
            <w:tcW w:w="1843" w:type="dxa"/>
            <w:vAlign w:val="center"/>
          </w:tcPr>
          <w:p w:rsidR="003C50AD" w:rsidRPr="005E6985" w:rsidRDefault="003C50AD" w:rsidP="00424D30">
            <w:pPr>
              <w:autoSpaceDE w:val="0"/>
              <w:autoSpaceDN w:val="0"/>
              <w:adjustRightInd w:val="0"/>
              <w:jc w:val="center"/>
              <w:rPr>
                <w:b/>
                <w:bCs/>
                <w:color w:val="000000"/>
                <w:kern w:val="0"/>
                <w:sz w:val="24"/>
                <w:szCs w:val="24"/>
              </w:rPr>
            </w:pPr>
            <w:r w:rsidRPr="005E6985">
              <w:rPr>
                <w:rFonts w:hint="eastAsia"/>
                <w:color w:val="000000"/>
                <w:kern w:val="0"/>
                <w:sz w:val="24"/>
                <w:szCs w:val="24"/>
              </w:rPr>
              <w:t>持有基金份额比例达到或者超过</w:t>
            </w:r>
            <w:r w:rsidRPr="005E6985">
              <w:rPr>
                <w:color w:val="000000"/>
                <w:kern w:val="0"/>
                <w:sz w:val="24"/>
                <w:szCs w:val="24"/>
              </w:rPr>
              <w:t>20%</w:t>
            </w:r>
            <w:r w:rsidRPr="005E6985">
              <w:rPr>
                <w:rFonts w:hint="eastAsia"/>
                <w:color w:val="000000"/>
                <w:kern w:val="0"/>
                <w:sz w:val="24"/>
                <w:szCs w:val="24"/>
              </w:rPr>
              <w:t>的时间区间</w:t>
            </w:r>
          </w:p>
        </w:tc>
        <w:tc>
          <w:tcPr>
            <w:tcW w:w="851" w:type="dxa"/>
            <w:vAlign w:val="center"/>
          </w:tcPr>
          <w:p w:rsidR="003C50AD" w:rsidRPr="005E6985" w:rsidRDefault="003C50AD" w:rsidP="00424D30">
            <w:pPr>
              <w:widowControl/>
              <w:jc w:val="center"/>
              <w:rPr>
                <w:b/>
                <w:bCs/>
                <w:color w:val="000000"/>
                <w:kern w:val="0"/>
                <w:sz w:val="24"/>
                <w:szCs w:val="24"/>
              </w:rPr>
            </w:pPr>
            <w:r w:rsidRPr="005E6985">
              <w:rPr>
                <w:rFonts w:hint="eastAsia"/>
                <w:color w:val="000000"/>
                <w:kern w:val="0"/>
                <w:sz w:val="24"/>
                <w:szCs w:val="24"/>
              </w:rPr>
              <w:t>期初份额</w:t>
            </w:r>
          </w:p>
        </w:tc>
        <w:tc>
          <w:tcPr>
            <w:tcW w:w="850" w:type="dxa"/>
            <w:vAlign w:val="center"/>
          </w:tcPr>
          <w:p w:rsidR="003C50AD" w:rsidRPr="005E6985" w:rsidRDefault="003C50AD" w:rsidP="00424D30">
            <w:pPr>
              <w:widowControl/>
              <w:jc w:val="center"/>
              <w:rPr>
                <w:b/>
                <w:bCs/>
                <w:color w:val="000000"/>
                <w:kern w:val="0"/>
                <w:sz w:val="24"/>
                <w:szCs w:val="24"/>
              </w:rPr>
            </w:pPr>
            <w:r w:rsidRPr="005E6985">
              <w:rPr>
                <w:rFonts w:hint="eastAsia"/>
                <w:color w:val="000000"/>
                <w:kern w:val="0"/>
                <w:sz w:val="24"/>
                <w:szCs w:val="24"/>
              </w:rPr>
              <w:t>申购份额</w:t>
            </w:r>
          </w:p>
        </w:tc>
        <w:tc>
          <w:tcPr>
            <w:tcW w:w="1134" w:type="dxa"/>
            <w:vAlign w:val="center"/>
          </w:tcPr>
          <w:p w:rsidR="003C50AD" w:rsidRPr="005E6985" w:rsidRDefault="003C50AD" w:rsidP="00424D30">
            <w:pPr>
              <w:widowControl/>
              <w:jc w:val="center"/>
              <w:rPr>
                <w:b/>
                <w:bCs/>
                <w:color w:val="000000"/>
                <w:kern w:val="0"/>
                <w:sz w:val="24"/>
                <w:szCs w:val="24"/>
              </w:rPr>
            </w:pPr>
            <w:r w:rsidRPr="005E6985">
              <w:rPr>
                <w:rFonts w:hint="eastAsia"/>
                <w:color w:val="000000"/>
                <w:kern w:val="0"/>
                <w:sz w:val="24"/>
                <w:szCs w:val="24"/>
              </w:rPr>
              <w:t>赎回份额</w:t>
            </w:r>
          </w:p>
        </w:tc>
        <w:tc>
          <w:tcPr>
            <w:tcW w:w="1419" w:type="dxa"/>
            <w:vAlign w:val="center"/>
          </w:tcPr>
          <w:p w:rsidR="003C50AD" w:rsidRPr="005E6985" w:rsidRDefault="003C50AD" w:rsidP="00424D30">
            <w:pPr>
              <w:autoSpaceDE w:val="0"/>
              <w:autoSpaceDN w:val="0"/>
              <w:adjustRightInd w:val="0"/>
              <w:jc w:val="center"/>
              <w:rPr>
                <w:b/>
                <w:bCs/>
                <w:color w:val="000000"/>
                <w:kern w:val="0"/>
                <w:sz w:val="24"/>
                <w:szCs w:val="24"/>
              </w:rPr>
            </w:pPr>
            <w:r w:rsidRPr="005E6985">
              <w:rPr>
                <w:rFonts w:hint="eastAsia"/>
                <w:color w:val="000000"/>
                <w:kern w:val="0"/>
                <w:sz w:val="24"/>
                <w:szCs w:val="24"/>
              </w:rPr>
              <w:t>持有份额</w:t>
            </w:r>
          </w:p>
        </w:tc>
        <w:tc>
          <w:tcPr>
            <w:tcW w:w="1130" w:type="dxa"/>
            <w:vAlign w:val="center"/>
          </w:tcPr>
          <w:p w:rsidR="003C50AD" w:rsidRPr="005E6985" w:rsidRDefault="003C50AD" w:rsidP="00424D30">
            <w:pPr>
              <w:autoSpaceDE w:val="0"/>
              <w:autoSpaceDN w:val="0"/>
              <w:adjustRightInd w:val="0"/>
              <w:jc w:val="center"/>
              <w:rPr>
                <w:b/>
                <w:bCs/>
                <w:color w:val="000000"/>
                <w:kern w:val="0"/>
                <w:sz w:val="24"/>
                <w:szCs w:val="24"/>
              </w:rPr>
            </w:pPr>
            <w:r w:rsidRPr="005E6985">
              <w:rPr>
                <w:rFonts w:hint="eastAsia"/>
                <w:color w:val="000000"/>
                <w:kern w:val="0"/>
                <w:sz w:val="24"/>
                <w:szCs w:val="24"/>
              </w:rPr>
              <w:t>份额占比</w:t>
            </w:r>
          </w:p>
        </w:tc>
      </w:tr>
      <w:tr w:rsidR="00A051B6" w:rsidRPr="003E2300">
        <w:tc>
          <w:tcPr>
            <w:tcW w:w="993" w:type="dxa"/>
          </w:tcPr>
          <w:p w:rsidR="00A051B6" w:rsidRPr="005E6985" w:rsidRDefault="00A051B6">
            <w:pPr>
              <w:rPr>
                <w:sz w:val="24"/>
                <w:szCs w:val="24"/>
              </w:rPr>
            </w:pPr>
          </w:p>
          <w:p w:rsidR="00A051B6" w:rsidRPr="005E6985" w:rsidRDefault="00086A92">
            <w:pPr>
              <w:rPr>
                <w:sz w:val="24"/>
                <w:szCs w:val="24"/>
              </w:rPr>
            </w:pPr>
            <w:r w:rsidRPr="005E6985">
              <w:rPr>
                <w:rFonts w:hint="eastAsia"/>
                <w:bCs/>
                <w:color w:val="000000"/>
                <w:kern w:val="0"/>
                <w:sz w:val="24"/>
                <w:szCs w:val="24"/>
              </w:rPr>
              <w:t>机构</w:t>
            </w:r>
          </w:p>
        </w:tc>
        <w:tc>
          <w:tcPr>
            <w:tcW w:w="992" w:type="dxa"/>
            <w:vAlign w:val="center"/>
          </w:tcPr>
          <w:p w:rsidR="00A051B6" w:rsidRPr="005E6985" w:rsidRDefault="00086A92">
            <w:pPr>
              <w:jc w:val="center"/>
              <w:rPr>
                <w:sz w:val="24"/>
                <w:szCs w:val="24"/>
              </w:rPr>
            </w:pPr>
            <w:r w:rsidRPr="005E6985">
              <w:rPr>
                <w:color w:val="000000"/>
                <w:kern w:val="0"/>
                <w:sz w:val="24"/>
                <w:szCs w:val="24"/>
              </w:rPr>
              <w:t>1</w:t>
            </w:r>
          </w:p>
        </w:tc>
        <w:tc>
          <w:tcPr>
            <w:tcW w:w="1843" w:type="dxa"/>
            <w:vAlign w:val="center"/>
          </w:tcPr>
          <w:p w:rsidR="00A051B6" w:rsidRPr="005E6985" w:rsidRDefault="00086A92">
            <w:pPr>
              <w:jc w:val="center"/>
              <w:rPr>
                <w:sz w:val="24"/>
                <w:szCs w:val="24"/>
              </w:rPr>
            </w:pPr>
            <w:r w:rsidRPr="005E6985">
              <w:rPr>
                <w:color w:val="000000"/>
                <w:kern w:val="0"/>
                <w:sz w:val="24"/>
                <w:szCs w:val="24"/>
              </w:rPr>
              <w:t>2017/4/1-2017/6/30</w:t>
            </w:r>
          </w:p>
        </w:tc>
        <w:tc>
          <w:tcPr>
            <w:tcW w:w="851" w:type="dxa"/>
            <w:vAlign w:val="center"/>
          </w:tcPr>
          <w:p w:rsidR="00A051B6" w:rsidRPr="005E6985" w:rsidRDefault="00086A92">
            <w:pPr>
              <w:jc w:val="center"/>
              <w:rPr>
                <w:sz w:val="24"/>
                <w:szCs w:val="24"/>
              </w:rPr>
            </w:pPr>
            <w:r w:rsidRPr="005E6985">
              <w:rPr>
                <w:color w:val="000000"/>
                <w:kern w:val="0"/>
                <w:sz w:val="24"/>
                <w:szCs w:val="24"/>
              </w:rPr>
              <w:t>299,999,000.00</w:t>
            </w:r>
          </w:p>
        </w:tc>
        <w:tc>
          <w:tcPr>
            <w:tcW w:w="850" w:type="dxa"/>
            <w:vAlign w:val="center"/>
          </w:tcPr>
          <w:p w:rsidR="00A051B6" w:rsidRPr="005E6985" w:rsidRDefault="00086A92">
            <w:pPr>
              <w:jc w:val="center"/>
              <w:rPr>
                <w:sz w:val="24"/>
                <w:szCs w:val="24"/>
              </w:rPr>
            </w:pPr>
            <w:r w:rsidRPr="005E6985">
              <w:rPr>
                <w:color w:val="000000"/>
                <w:kern w:val="0"/>
                <w:sz w:val="24"/>
                <w:szCs w:val="24"/>
              </w:rPr>
              <w:t>-</w:t>
            </w:r>
          </w:p>
        </w:tc>
        <w:tc>
          <w:tcPr>
            <w:tcW w:w="1134" w:type="dxa"/>
            <w:vAlign w:val="center"/>
          </w:tcPr>
          <w:p w:rsidR="00A051B6" w:rsidRPr="005E6985" w:rsidRDefault="00086A92">
            <w:pPr>
              <w:jc w:val="center"/>
              <w:rPr>
                <w:sz w:val="24"/>
                <w:szCs w:val="24"/>
              </w:rPr>
            </w:pPr>
            <w:r w:rsidRPr="005E6985">
              <w:rPr>
                <w:color w:val="000000"/>
                <w:kern w:val="0"/>
                <w:sz w:val="24"/>
                <w:szCs w:val="24"/>
              </w:rPr>
              <w:t>-</w:t>
            </w:r>
          </w:p>
        </w:tc>
        <w:tc>
          <w:tcPr>
            <w:tcW w:w="1419" w:type="dxa"/>
            <w:vAlign w:val="center"/>
          </w:tcPr>
          <w:p w:rsidR="00A051B6" w:rsidRPr="005E6985" w:rsidRDefault="00086A92">
            <w:pPr>
              <w:jc w:val="center"/>
              <w:rPr>
                <w:sz w:val="24"/>
                <w:szCs w:val="24"/>
              </w:rPr>
            </w:pPr>
            <w:r w:rsidRPr="005E6985">
              <w:rPr>
                <w:color w:val="000000"/>
                <w:kern w:val="0"/>
                <w:sz w:val="24"/>
                <w:szCs w:val="24"/>
              </w:rPr>
              <w:t>299,999,000.00</w:t>
            </w:r>
          </w:p>
        </w:tc>
        <w:tc>
          <w:tcPr>
            <w:tcW w:w="1130" w:type="dxa"/>
            <w:vAlign w:val="center"/>
          </w:tcPr>
          <w:p w:rsidR="00A051B6" w:rsidRPr="005E6985" w:rsidRDefault="00086A92">
            <w:pPr>
              <w:jc w:val="center"/>
              <w:rPr>
                <w:sz w:val="24"/>
                <w:szCs w:val="24"/>
              </w:rPr>
            </w:pPr>
            <w:r w:rsidRPr="005E6985">
              <w:rPr>
                <w:color w:val="000000"/>
                <w:kern w:val="0"/>
                <w:sz w:val="24"/>
                <w:szCs w:val="24"/>
              </w:rPr>
              <w:t>99.99%</w:t>
            </w:r>
          </w:p>
        </w:tc>
      </w:tr>
    </w:tbl>
    <w:p w:rsidR="003C50AD" w:rsidRPr="005E6985" w:rsidRDefault="003C50AD" w:rsidP="003C50AD">
      <w:pPr>
        <w:autoSpaceDE w:val="0"/>
        <w:autoSpaceDN w:val="0"/>
        <w:adjustRightInd w:val="0"/>
        <w:spacing w:line="360" w:lineRule="auto"/>
        <w:jc w:val="left"/>
        <w:rPr>
          <w:bCs/>
          <w:color w:val="000000"/>
          <w:kern w:val="0"/>
          <w:sz w:val="24"/>
          <w:szCs w:val="24"/>
        </w:rPr>
      </w:pPr>
      <w:r w:rsidRPr="005E6985">
        <w:rPr>
          <w:rFonts w:hint="eastAsia"/>
          <w:bCs/>
          <w:color w:val="000000"/>
          <w:kern w:val="0"/>
          <w:sz w:val="24"/>
          <w:szCs w:val="24"/>
        </w:rPr>
        <w:t>注：本基金本报告期内出现单一投资者持有基金份额比例超过基金总份额</w:t>
      </w:r>
      <w:r w:rsidRPr="005E6985">
        <w:rPr>
          <w:bCs/>
          <w:color w:val="000000"/>
          <w:kern w:val="0"/>
          <w:sz w:val="24"/>
          <w:szCs w:val="24"/>
        </w:rPr>
        <w:t>20%</w:t>
      </w:r>
      <w:r w:rsidRPr="005E6985">
        <w:rPr>
          <w:rFonts w:hint="eastAsia"/>
          <w:bCs/>
          <w:color w:val="000000"/>
          <w:kern w:val="0"/>
          <w:sz w:val="24"/>
          <w:szCs w:val="24"/>
        </w:rPr>
        <w:t>的情况。如该类投资者集中赎回，可能会对本基金带来流动性冲击，从而影响基金的投资运作和收益水平。基金管理人将加强流动性管理，防范相关风险，保护持有人利益。</w:t>
      </w: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051B6" w:rsidRDefault="00086A9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、中国证监会准予交银施罗德瑞鑫定期开放灵活配置混合型证券投资基金募集注册的文件；</w:t>
      </w:r>
      <w:r>
        <w:rPr>
          <w:color w:val="000000"/>
          <w:sz w:val="24"/>
          <w:szCs w:val="24"/>
        </w:rPr>
        <w:t xml:space="preserve"> </w:t>
      </w:r>
    </w:p>
    <w:p w:rsidR="00A051B6" w:rsidRDefault="00086A9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、《交银施罗德瑞鑫定期开放灵活配置混合型证券投资基金基金合同》；</w:t>
      </w:r>
      <w:r>
        <w:rPr>
          <w:color w:val="000000"/>
          <w:sz w:val="24"/>
          <w:szCs w:val="24"/>
        </w:rPr>
        <w:t xml:space="preserve"> </w:t>
      </w:r>
    </w:p>
    <w:p w:rsidR="00A051B6" w:rsidRDefault="00086A9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、《交银施罗德瑞鑫定期开放灵活配置混合型证券投资基金招募说明书》；</w:t>
      </w:r>
      <w:r>
        <w:rPr>
          <w:color w:val="000000"/>
          <w:sz w:val="24"/>
          <w:szCs w:val="24"/>
        </w:rPr>
        <w:t xml:space="preserve"> </w:t>
      </w:r>
    </w:p>
    <w:p w:rsidR="00A051B6" w:rsidRDefault="00086A9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、《交银施罗德瑞鑫定期开放灵活配置混合型证券投资基金托管协议》；</w:t>
      </w:r>
      <w:r>
        <w:rPr>
          <w:color w:val="000000"/>
          <w:sz w:val="24"/>
          <w:szCs w:val="24"/>
        </w:rPr>
        <w:t xml:space="preserve"> </w:t>
      </w:r>
    </w:p>
    <w:p w:rsidR="00A051B6" w:rsidRDefault="00086A9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、关于申请募集注册交银施罗德瑞鑫定期开放灵活配置混合型证券投资基金的法律意见书；</w:t>
      </w:r>
      <w:r>
        <w:rPr>
          <w:color w:val="000000"/>
          <w:sz w:val="24"/>
          <w:szCs w:val="24"/>
        </w:rPr>
        <w:t xml:space="preserve"> </w:t>
      </w:r>
    </w:p>
    <w:p w:rsidR="00A051B6" w:rsidRDefault="00086A9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051B6" w:rsidRDefault="00086A9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、报告期内交银施罗德瑞鑫定期开放灵活配置混合型证券投资基金在指定报刊上各项公告的原稿。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051B6" w:rsidRDefault="00086A9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w:t>
      </w:r>
      <w:r>
        <w:rPr>
          <w:color w:val="000000"/>
          <w:sz w:val="24"/>
          <w:szCs w:val="24"/>
        </w:rPr>
        <w:lastRenderedPageBreak/>
        <w:t>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D77" w:rsidRDefault="00CE1D77" w:rsidP="00876D65">
      <w:r>
        <w:separator/>
      </w:r>
    </w:p>
  </w:endnote>
  <w:endnote w:type="continuationSeparator" w:id="0">
    <w:p w:rsidR="00CE1D77" w:rsidRDefault="00CE1D7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DF25D1">
      <w:rPr>
        <w:noProof/>
        <w:kern w:val="0"/>
        <w:szCs w:val="21"/>
      </w:rPr>
      <w:t>14</w:t>
    </w:r>
    <w:r w:rsidR="0052479B">
      <w:rPr>
        <w:kern w:val="0"/>
        <w:szCs w:val="21"/>
      </w:rPr>
      <w:fldChar w:fldCharType="end"/>
    </w:r>
    <w:proofErr w:type="gramStart"/>
    <w:r>
      <w:rPr>
        <w:rFonts w:hint="eastAsia"/>
        <w:kern w:val="0"/>
        <w:szCs w:val="21"/>
      </w:rPr>
      <w:t>页共</w:t>
    </w:r>
    <w:proofErr w:type="gramEnd"/>
    <w:r w:rsidR="0052479B">
      <w:rPr>
        <w:kern w:val="0"/>
        <w:szCs w:val="21"/>
      </w:rPr>
      <w:fldChar w:fldCharType="begin"/>
    </w:r>
    <w:r>
      <w:rPr>
        <w:kern w:val="0"/>
        <w:szCs w:val="21"/>
      </w:rPr>
      <w:instrText xml:space="preserve"> NUMPAGES </w:instrText>
    </w:r>
    <w:r w:rsidR="0052479B">
      <w:rPr>
        <w:kern w:val="0"/>
        <w:szCs w:val="21"/>
      </w:rPr>
      <w:fldChar w:fldCharType="separate"/>
    </w:r>
    <w:r w:rsidR="00DF25D1">
      <w:rPr>
        <w:noProof/>
        <w:kern w:val="0"/>
        <w:szCs w:val="21"/>
      </w:rPr>
      <w:t>14</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D77" w:rsidRDefault="00CE1D77" w:rsidP="00876D65">
      <w:r>
        <w:separator/>
      </w:r>
    </w:p>
  </w:footnote>
  <w:footnote w:type="continuationSeparator" w:id="0">
    <w:p w:rsidR="00CE1D77" w:rsidRDefault="00CE1D7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A92"/>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05D4"/>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5FF3"/>
    <w:rsid w:val="00316484"/>
    <w:rsid w:val="00316E01"/>
    <w:rsid w:val="00320300"/>
    <w:rsid w:val="00320E90"/>
    <w:rsid w:val="00324508"/>
    <w:rsid w:val="003259C8"/>
    <w:rsid w:val="003307FE"/>
    <w:rsid w:val="00333AD0"/>
    <w:rsid w:val="00336EAF"/>
    <w:rsid w:val="003376A4"/>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2300"/>
    <w:rsid w:val="003E62FB"/>
    <w:rsid w:val="003E6867"/>
    <w:rsid w:val="003F09B5"/>
    <w:rsid w:val="003F1ECB"/>
    <w:rsid w:val="003F39DF"/>
    <w:rsid w:val="003F63BE"/>
    <w:rsid w:val="004003F8"/>
    <w:rsid w:val="004033ED"/>
    <w:rsid w:val="004061AC"/>
    <w:rsid w:val="00406B08"/>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2CE3"/>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E6985"/>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77BB7"/>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051B6"/>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1245"/>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1D77"/>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DF25D1"/>
    <w:rsid w:val="00E02660"/>
    <w:rsid w:val="00E04BE1"/>
    <w:rsid w:val="00E15BBF"/>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633BBFB-2BFC-414D-A9C0-602D81016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95143">
      <w:bodyDiv w:val="1"/>
      <w:marLeft w:val="0"/>
      <w:marRight w:val="0"/>
      <w:marTop w:val="0"/>
      <w:marBottom w:val="0"/>
      <w:divBdr>
        <w:top w:val="none" w:sz="0" w:space="0" w:color="auto"/>
        <w:left w:val="none" w:sz="0" w:space="0" w:color="auto"/>
        <w:bottom w:val="none" w:sz="0" w:space="0" w:color="auto"/>
        <w:right w:val="none" w:sz="0" w:space="0" w:color="auto"/>
      </w:divBdr>
    </w:div>
    <w:div w:id="123081057">
      <w:bodyDiv w:val="1"/>
      <w:marLeft w:val="0"/>
      <w:marRight w:val="0"/>
      <w:marTop w:val="0"/>
      <w:marBottom w:val="0"/>
      <w:divBdr>
        <w:top w:val="none" w:sz="0" w:space="0" w:color="auto"/>
        <w:left w:val="none" w:sz="0" w:space="0" w:color="auto"/>
        <w:bottom w:val="none" w:sz="0" w:space="0" w:color="auto"/>
        <w:right w:val="none" w:sz="0" w:space="0" w:color="auto"/>
      </w:divBdr>
    </w:div>
    <w:div w:id="512114673">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755324401">
      <w:bodyDiv w:val="1"/>
      <w:marLeft w:val="0"/>
      <w:marRight w:val="0"/>
      <w:marTop w:val="0"/>
      <w:marBottom w:val="0"/>
      <w:divBdr>
        <w:top w:val="none" w:sz="0" w:space="0" w:color="auto"/>
        <w:left w:val="none" w:sz="0" w:space="0" w:color="auto"/>
        <w:bottom w:val="none" w:sz="0" w:space="0" w:color="auto"/>
        <w:right w:val="none" w:sz="0" w:space="0" w:color="auto"/>
      </w:divBdr>
    </w:div>
    <w:div w:id="871921360">
      <w:bodyDiv w:val="1"/>
      <w:marLeft w:val="0"/>
      <w:marRight w:val="0"/>
      <w:marTop w:val="0"/>
      <w:marBottom w:val="0"/>
      <w:divBdr>
        <w:top w:val="none" w:sz="0" w:space="0" w:color="auto"/>
        <w:left w:val="none" w:sz="0" w:space="0" w:color="auto"/>
        <w:bottom w:val="none" w:sz="0" w:space="0" w:color="auto"/>
        <w:right w:val="none" w:sz="0" w:space="0" w:color="auto"/>
      </w:divBdr>
    </w:div>
    <w:div w:id="1440448453">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7175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ED991-630B-4831-80AB-9366C261B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14</Pages>
  <Words>1186</Words>
  <Characters>6763</Characters>
  <Application>Microsoft Office Word</Application>
  <DocSecurity>0</DocSecurity>
  <Lines>56</Lines>
  <Paragraphs>15</Paragraphs>
  <ScaleCrop>false</ScaleCrop>
  <Company/>
  <LinksUpToDate>false</LinksUpToDate>
  <CharactersWithSpaces>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574</cp:revision>
  <dcterms:created xsi:type="dcterms:W3CDTF">2012-10-16T06:07:00Z</dcterms:created>
  <dcterms:modified xsi:type="dcterms:W3CDTF">2017-07-18T08:47:00Z</dcterms:modified>
</cp:coreProperties>
</file>