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524,342,649.19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524,338,978.17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3,671.02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交银裕隆纯债债券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交银裕隆纯债债券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5,168,946.07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4,423,585.53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535,768,018.65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3,735.94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1.0177</w:t>
            </w:r>
          </w:p>
        </w:tc>
      </w:tr>
    </w:tbl>
    <w:p w:rsidR="001148B1" w:rsidRDefault="00C733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148B1">
        <w:trPr>
          <w:jc w:val="center"/>
        </w:trPr>
        <w:tc>
          <w:tcPr>
            <w:tcW w:w="1266" w:type="dxa"/>
            <w:vAlign w:val="center"/>
          </w:tcPr>
          <w:p w:rsidR="001148B1" w:rsidRDefault="00C73324">
            <w:pPr>
              <w:jc w:val="left"/>
            </w:pPr>
            <w:r>
              <w:rPr>
                <w:color w:val="000000"/>
                <w:sz w:val="24"/>
              </w:rPr>
              <w:lastRenderedPageBreak/>
              <w:t>过去三个月</w:t>
            </w:r>
          </w:p>
        </w:tc>
        <w:tc>
          <w:tcPr>
            <w:tcW w:w="1267" w:type="dxa"/>
            <w:vAlign w:val="center"/>
          </w:tcPr>
          <w:p w:rsidR="001148B1" w:rsidRDefault="00C73324">
            <w:pPr>
              <w:jc w:val="center"/>
            </w:pPr>
            <w:r>
              <w:rPr>
                <w:color w:val="000000"/>
                <w:sz w:val="24"/>
              </w:rPr>
              <w:t>0.83%</w:t>
            </w:r>
          </w:p>
        </w:tc>
        <w:tc>
          <w:tcPr>
            <w:tcW w:w="1267" w:type="dxa"/>
            <w:vAlign w:val="center"/>
          </w:tcPr>
          <w:p w:rsidR="001148B1" w:rsidRDefault="00C73324">
            <w:pPr>
              <w:jc w:val="center"/>
            </w:pPr>
            <w:r>
              <w:rPr>
                <w:color w:val="000000"/>
                <w:sz w:val="24"/>
              </w:rPr>
              <w:t>0.07%</w:t>
            </w:r>
          </w:p>
        </w:tc>
        <w:tc>
          <w:tcPr>
            <w:tcW w:w="1267" w:type="dxa"/>
            <w:vAlign w:val="center"/>
          </w:tcPr>
          <w:p w:rsidR="001148B1" w:rsidRDefault="00C73324">
            <w:pPr>
              <w:jc w:val="center"/>
            </w:pPr>
            <w:r>
              <w:rPr>
                <w:color w:val="000000"/>
                <w:sz w:val="24"/>
              </w:rPr>
              <w:t>-0.88%</w:t>
            </w:r>
          </w:p>
        </w:tc>
        <w:tc>
          <w:tcPr>
            <w:tcW w:w="1267" w:type="dxa"/>
            <w:vAlign w:val="center"/>
          </w:tcPr>
          <w:p w:rsidR="001148B1" w:rsidRDefault="00C73324">
            <w:pPr>
              <w:jc w:val="center"/>
            </w:pPr>
            <w:r>
              <w:rPr>
                <w:color w:val="000000"/>
                <w:sz w:val="24"/>
              </w:rPr>
              <w:t>0.08%</w:t>
            </w:r>
          </w:p>
        </w:tc>
        <w:tc>
          <w:tcPr>
            <w:tcW w:w="1267" w:type="dxa"/>
            <w:vAlign w:val="center"/>
          </w:tcPr>
          <w:p w:rsidR="001148B1" w:rsidRDefault="00C73324">
            <w:pPr>
              <w:jc w:val="center"/>
            </w:pPr>
            <w:r>
              <w:rPr>
                <w:color w:val="000000"/>
                <w:sz w:val="24"/>
              </w:rPr>
              <w:t>1.71%</w:t>
            </w:r>
          </w:p>
        </w:tc>
        <w:tc>
          <w:tcPr>
            <w:tcW w:w="1267" w:type="dxa"/>
            <w:vAlign w:val="center"/>
          </w:tcPr>
          <w:p w:rsidR="001148B1" w:rsidRDefault="00C73324">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148B1">
        <w:trPr>
          <w:jc w:val="center"/>
        </w:trPr>
        <w:tc>
          <w:tcPr>
            <w:tcW w:w="1266" w:type="dxa"/>
            <w:vAlign w:val="center"/>
          </w:tcPr>
          <w:p w:rsidR="001148B1" w:rsidRDefault="00C73324">
            <w:pPr>
              <w:jc w:val="left"/>
            </w:pPr>
            <w:r>
              <w:rPr>
                <w:color w:val="000000"/>
                <w:sz w:val="24"/>
              </w:rPr>
              <w:t>过去三个月</w:t>
            </w:r>
          </w:p>
        </w:tc>
        <w:tc>
          <w:tcPr>
            <w:tcW w:w="1267" w:type="dxa"/>
            <w:vAlign w:val="center"/>
          </w:tcPr>
          <w:p w:rsidR="001148B1" w:rsidRDefault="00C73324">
            <w:pPr>
              <w:jc w:val="center"/>
            </w:pPr>
            <w:r>
              <w:rPr>
                <w:color w:val="000000"/>
                <w:sz w:val="24"/>
              </w:rPr>
              <w:t>0.73%</w:t>
            </w:r>
          </w:p>
        </w:tc>
        <w:tc>
          <w:tcPr>
            <w:tcW w:w="1267" w:type="dxa"/>
            <w:vAlign w:val="center"/>
          </w:tcPr>
          <w:p w:rsidR="001148B1" w:rsidRDefault="00C73324">
            <w:pPr>
              <w:jc w:val="center"/>
            </w:pPr>
            <w:r>
              <w:rPr>
                <w:color w:val="000000"/>
                <w:sz w:val="24"/>
              </w:rPr>
              <w:t>0.07%</w:t>
            </w:r>
          </w:p>
        </w:tc>
        <w:tc>
          <w:tcPr>
            <w:tcW w:w="1267" w:type="dxa"/>
            <w:vAlign w:val="center"/>
          </w:tcPr>
          <w:p w:rsidR="001148B1" w:rsidRDefault="00C73324">
            <w:pPr>
              <w:jc w:val="center"/>
            </w:pPr>
            <w:r>
              <w:rPr>
                <w:color w:val="000000"/>
                <w:sz w:val="24"/>
              </w:rPr>
              <w:t>-0.88%</w:t>
            </w:r>
          </w:p>
        </w:tc>
        <w:tc>
          <w:tcPr>
            <w:tcW w:w="1267" w:type="dxa"/>
            <w:vAlign w:val="center"/>
          </w:tcPr>
          <w:p w:rsidR="001148B1" w:rsidRDefault="00C73324">
            <w:pPr>
              <w:jc w:val="center"/>
            </w:pPr>
            <w:r>
              <w:rPr>
                <w:color w:val="000000"/>
                <w:sz w:val="24"/>
              </w:rPr>
              <w:t>0.08%</w:t>
            </w:r>
          </w:p>
        </w:tc>
        <w:tc>
          <w:tcPr>
            <w:tcW w:w="1267" w:type="dxa"/>
            <w:vAlign w:val="center"/>
          </w:tcPr>
          <w:p w:rsidR="001148B1" w:rsidRDefault="00C73324">
            <w:pPr>
              <w:jc w:val="center"/>
            </w:pPr>
            <w:r>
              <w:rPr>
                <w:color w:val="000000"/>
                <w:sz w:val="24"/>
              </w:rPr>
              <w:t>1.61%</w:t>
            </w:r>
          </w:p>
        </w:tc>
        <w:tc>
          <w:tcPr>
            <w:tcW w:w="1267" w:type="dxa"/>
            <w:vAlign w:val="center"/>
          </w:tcPr>
          <w:p w:rsidR="001148B1" w:rsidRDefault="00C73324">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550339">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2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02"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45"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51"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550339">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2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02"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45"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51"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148B1">
        <w:trPr>
          <w:jc w:val="center"/>
        </w:trPr>
        <w:tc>
          <w:tcPr>
            <w:tcW w:w="946" w:type="dxa"/>
            <w:vAlign w:val="center"/>
          </w:tcPr>
          <w:p w:rsidR="001148B1" w:rsidRDefault="00C73324">
            <w:pPr>
              <w:jc w:val="center"/>
            </w:pPr>
            <w:r>
              <w:rPr>
                <w:color w:val="000000"/>
                <w:sz w:val="24"/>
              </w:rPr>
              <w:t>黄莹洁</w:t>
            </w:r>
          </w:p>
        </w:tc>
        <w:tc>
          <w:tcPr>
            <w:tcW w:w="924" w:type="dxa"/>
            <w:vAlign w:val="center"/>
          </w:tcPr>
          <w:p w:rsidR="001148B1" w:rsidRDefault="00C73324">
            <w:pPr>
              <w:jc w:val="center"/>
            </w:pPr>
            <w:r>
              <w:rPr>
                <w:color w:val="000000"/>
                <w:sz w:val="24"/>
              </w:rPr>
              <w:t>交银货币、交银理财</w:t>
            </w:r>
            <w:r>
              <w:rPr>
                <w:color w:val="000000"/>
                <w:sz w:val="24"/>
              </w:rPr>
              <w:t>21</w:t>
            </w:r>
            <w:r>
              <w:rPr>
                <w:color w:val="000000"/>
                <w:sz w:val="24"/>
              </w:rPr>
              <w:t>天债券、交银现金宝货</w:t>
            </w:r>
            <w:r>
              <w:rPr>
                <w:color w:val="000000"/>
                <w:sz w:val="24"/>
              </w:rPr>
              <w:lastRenderedPageBreak/>
              <w:t>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1148B1" w:rsidRDefault="00C73324">
            <w:pPr>
              <w:jc w:val="center"/>
            </w:pPr>
            <w:r>
              <w:rPr>
                <w:color w:val="000000"/>
                <w:sz w:val="24"/>
              </w:rPr>
              <w:lastRenderedPageBreak/>
              <w:t>2016-11-28</w:t>
            </w:r>
          </w:p>
        </w:tc>
        <w:tc>
          <w:tcPr>
            <w:tcW w:w="1300" w:type="dxa"/>
            <w:vAlign w:val="center"/>
          </w:tcPr>
          <w:p w:rsidR="001148B1" w:rsidRDefault="00C73324">
            <w:pPr>
              <w:jc w:val="center"/>
            </w:pPr>
            <w:r>
              <w:rPr>
                <w:color w:val="000000"/>
                <w:sz w:val="24"/>
              </w:rPr>
              <w:t>-</w:t>
            </w:r>
          </w:p>
        </w:tc>
        <w:tc>
          <w:tcPr>
            <w:tcW w:w="1245" w:type="dxa"/>
            <w:vAlign w:val="center"/>
          </w:tcPr>
          <w:p w:rsidR="001148B1" w:rsidRDefault="00C73324">
            <w:pPr>
              <w:jc w:val="center"/>
            </w:pPr>
            <w:r>
              <w:rPr>
                <w:color w:val="000000"/>
                <w:sz w:val="24"/>
              </w:rPr>
              <w:t>9</w:t>
            </w:r>
            <w:r>
              <w:rPr>
                <w:color w:val="000000"/>
                <w:sz w:val="24"/>
              </w:rPr>
              <w:t>年</w:t>
            </w:r>
          </w:p>
        </w:tc>
        <w:tc>
          <w:tcPr>
            <w:tcW w:w="3251" w:type="dxa"/>
            <w:vAlign w:val="center"/>
          </w:tcPr>
          <w:p w:rsidR="001148B1" w:rsidRDefault="00C7332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1148B1">
        <w:trPr>
          <w:jc w:val="center"/>
        </w:trPr>
        <w:tc>
          <w:tcPr>
            <w:tcW w:w="946" w:type="dxa"/>
            <w:vAlign w:val="center"/>
          </w:tcPr>
          <w:p w:rsidR="001148B1" w:rsidRDefault="00C73324">
            <w:pPr>
              <w:jc w:val="center"/>
            </w:pPr>
            <w:r>
              <w:rPr>
                <w:color w:val="000000"/>
                <w:sz w:val="24"/>
              </w:rPr>
              <w:t>连端清</w:t>
            </w:r>
          </w:p>
        </w:tc>
        <w:tc>
          <w:tcPr>
            <w:tcW w:w="924" w:type="dxa"/>
            <w:vAlign w:val="center"/>
          </w:tcPr>
          <w:p w:rsidR="001148B1" w:rsidRDefault="00C73324">
            <w:pPr>
              <w:jc w:val="center"/>
            </w:pPr>
            <w:r>
              <w:rPr>
                <w:color w:val="000000"/>
                <w:sz w:val="24"/>
              </w:rPr>
              <w:t>交银货币、交银理财</w:t>
            </w:r>
            <w:r>
              <w:rPr>
                <w:color w:val="000000"/>
                <w:sz w:val="24"/>
              </w:rPr>
              <w:t>60</w:t>
            </w:r>
            <w:r>
              <w:rPr>
                <w:color w:val="000000"/>
                <w:sz w:val="24"/>
              </w:rPr>
              <w:t>天债券、</w:t>
            </w:r>
            <w:r>
              <w:rPr>
                <w:color w:val="000000"/>
                <w:sz w:val="24"/>
              </w:rPr>
              <w:lastRenderedPageBreak/>
              <w:t>交银丰盈收益债券、交银现金宝货币、交银丰润收益债券、交银活期通货币、交银天利宝货币、交银裕兴纯债债券、交银裕盈纯债债券、交银裕利纯债债券、交银裕隆纯债债券、交银天鑫宝货币、交银天益宝货币、交银境尚收</w:t>
            </w:r>
            <w:r>
              <w:rPr>
                <w:color w:val="000000"/>
                <w:sz w:val="24"/>
              </w:rPr>
              <w:lastRenderedPageBreak/>
              <w:t>益债券的基金经理</w:t>
            </w:r>
          </w:p>
        </w:tc>
        <w:tc>
          <w:tcPr>
            <w:tcW w:w="1202" w:type="dxa"/>
            <w:vAlign w:val="center"/>
          </w:tcPr>
          <w:p w:rsidR="001148B1" w:rsidRDefault="00C73324">
            <w:pPr>
              <w:jc w:val="center"/>
            </w:pPr>
            <w:r>
              <w:rPr>
                <w:color w:val="000000"/>
                <w:sz w:val="24"/>
              </w:rPr>
              <w:lastRenderedPageBreak/>
              <w:t>2016-11-28</w:t>
            </w:r>
          </w:p>
        </w:tc>
        <w:tc>
          <w:tcPr>
            <w:tcW w:w="1300" w:type="dxa"/>
            <w:vAlign w:val="center"/>
          </w:tcPr>
          <w:p w:rsidR="001148B1" w:rsidRDefault="00C73324">
            <w:pPr>
              <w:jc w:val="center"/>
            </w:pPr>
            <w:r>
              <w:rPr>
                <w:color w:val="000000"/>
                <w:sz w:val="24"/>
              </w:rPr>
              <w:t>-</w:t>
            </w:r>
          </w:p>
        </w:tc>
        <w:tc>
          <w:tcPr>
            <w:tcW w:w="1245" w:type="dxa"/>
            <w:vAlign w:val="center"/>
          </w:tcPr>
          <w:p w:rsidR="001148B1" w:rsidRDefault="00C73324">
            <w:pPr>
              <w:jc w:val="center"/>
            </w:pPr>
            <w:r>
              <w:rPr>
                <w:color w:val="000000"/>
                <w:sz w:val="24"/>
              </w:rPr>
              <w:t>4</w:t>
            </w:r>
            <w:r>
              <w:rPr>
                <w:color w:val="000000"/>
                <w:sz w:val="24"/>
              </w:rPr>
              <w:t>年</w:t>
            </w:r>
          </w:p>
        </w:tc>
        <w:tc>
          <w:tcPr>
            <w:tcW w:w="3251" w:type="dxa"/>
            <w:vAlign w:val="center"/>
          </w:tcPr>
          <w:p w:rsidR="001148B1" w:rsidRDefault="00C7332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550339" w:rsidRPr="00765621" w:rsidRDefault="00550339" w:rsidP="00765621">
      <w:pPr>
        <w:spacing w:before="29" w:line="288" w:lineRule="auto"/>
        <w:rPr>
          <w:color w:val="000000"/>
          <w:sz w:val="24"/>
        </w:rPr>
      </w:pPr>
      <w:r w:rsidRPr="00765621">
        <w:rPr>
          <w:rFonts w:hint="eastAsia"/>
          <w:color w:val="000000"/>
          <w:sz w:val="24"/>
        </w:rPr>
        <w:lastRenderedPageBreak/>
        <w:t>注：</w:t>
      </w:r>
      <w:r w:rsidRPr="00765621">
        <w:rPr>
          <w:color w:val="000000"/>
          <w:sz w:val="24"/>
        </w:rPr>
        <w:t>1</w:t>
      </w:r>
      <w:r w:rsidRPr="00765621">
        <w:rPr>
          <w:rFonts w:hint="eastAsia"/>
          <w:color w:val="000000"/>
          <w:sz w:val="24"/>
        </w:rPr>
        <w:t>、本表所列基金经理（助理）任职日期和离职日期均以基金合同生效日或公司作出决定并公告</w:t>
      </w:r>
      <w:r w:rsidRPr="00765621">
        <w:rPr>
          <w:color w:val="000000"/>
          <w:sz w:val="24"/>
        </w:rPr>
        <w:t>(</w:t>
      </w:r>
      <w:r w:rsidRPr="00765621">
        <w:rPr>
          <w:rFonts w:hint="eastAsia"/>
          <w:color w:val="000000"/>
          <w:sz w:val="24"/>
        </w:rPr>
        <w:t>如适用</w:t>
      </w:r>
      <w:r w:rsidRPr="00765621">
        <w:rPr>
          <w:color w:val="000000"/>
          <w:sz w:val="24"/>
        </w:rPr>
        <w:t>)</w:t>
      </w:r>
      <w:r w:rsidRPr="00765621">
        <w:rPr>
          <w:rFonts w:hint="eastAsia"/>
          <w:color w:val="000000"/>
          <w:sz w:val="24"/>
        </w:rPr>
        <w:t>之日为准；</w:t>
      </w:r>
    </w:p>
    <w:p w:rsidR="00550339" w:rsidRPr="00765621" w:rsidRDefault="00550339" w:rsidP="00765621">
      <w:pPr>
        <w:spacing w:before="29" w:line="288" w:lineRule="auto"/>
        <w:ind w:firstLineChars="200" w:firstLine="480"/>
        <w:rPr>
          <w:color w:val="000000"/>
          <w:sz w:val="24"/>
        </w:rPr>
      </w:pPr>
      <w:r w:rsidRPr="00765621">
        <w:rPr>
          <w:color w:val="000000"/>
          <w:sz w:val="24"/>
        </w:rPr>
        <w:t>2</w:t>
      </w:r>
      <w:r w:rsidRPr="00765621">
        <w:rPr>
          <w:rFonts w:hint="eastAsia"/>
          <w:color w:val="000000"/>
          <w:sz w:val="24"/>
        </w:rPr>
        <w:t>、本表所列基金经理（助理）证券从业年限中的</w:t>
      </w:r>
      <w:r w:rsidRPr="00765621">
        <w:rPr>
          <w:color w:val="000000"/>
          <w:sz w:val="24"/>
        </w:rPr>
        <w:t>“</w:t>
      </w:r>
      <w:r w:rsidRPr="00765621">
        <w:rPr>
          <w:rFonts w:hint="eastAsia"/>
          <w:color w:val="000000"/>
          <w:sz w:val="24"/>
        </w:rPr>
        <w:t>证券从业</w:t>
      </w:r>
      <w:r w:rsidRPr="00765621">
        <w:rPr>
          <w:color w:val="000000"/>
          <w:sz w:val="24"/>
        </w:rPr>
        <w:t>”</w:t>
      </w:r>
      <w:r w:rsidRPr="00765621">
        <w:rPr>
          <w:rFonts w:hint="eastAsia"/>
          <w:color w:val="000000"/>
          <w:sz w:val="24"/>
        </w:rPr>
        <w:t>的含义遵从中国证券业协会《证券业从业人员资格管理办法》的相关规定；</w:t>
      </w:r>
      <w:r w:rsidRPr="00765621">
        <w:rPr>
          <w:color w:val="000000"/>
          <w:sz w:val="24"/>
        </w:rPr>
        <w:t xml:space="preserve"> </w:t>
      </w:r>
    </w:p>
    <w:p w:rsidR="00550339" w:rsidRPr="00765621" w:rsidRDefault="00550339" w:rsidP="00765621">
      <w:pPr>
        <w:spacing w:before="29" w:line="288" w:lineRule="auto"/>
        <w:ind w:firstLineChars="200" w:firstLine="480"/>
        <w:rPr>
          <w:color w:val="000000"/>
          <w:sz w:val="24"/>
        </w:rPr>
      </w:pPr>
      <w:r w:rsidRPr="00765621">
        <w:rPr>
          <w:color w:val="000000"/>
          <w:sz w:val="24"/>
        </w:rPr>
        <w:t>3</w:t>
      </w:r>
      <w:r w:rsidRPr="00765621">
        <w:rPr>
          <w:rFonts w:hint="eastAsia"/>
          <w:color w:val="000000"/>
          <w:sz w:val="24"/>
        </w:rPr>
        <w:t>、基金经理（或基金经理小组）期后变动（如有）敬请关注基金管理人发布的相关公告。</w:t>
      </w:r>
    </w:p>
    <w:p w:rsidR="005C7D00" w:rsidRPr="00550339"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148B1" w:rsidRDefault="00C7332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48B1" w:rsidRDefault="00C7332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148B1" w:rsidRDefault="00C7332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w:t>
      </w:r>
      <w:r w:rsidRPr="007F52FA">
        <w:rPr>
          <w:color w:val="000000"/>
          <w:sz w:val="24"/>
        </w:rPr>
        <w:lastRenderedPageBreak/>
        <w:t>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148B1" w:rsidRDefault="00C73324">
      <w:pPr>
        <w:spacing w:before="29" w:line="288" w:lineRule="auto"/>
        <w:ind w:firstLineChars="200" w:firstLine="480"/>
        <w:rPr>
          <w:color w:val="000000"/>
          <w:sz w:val="24"/>
        </w:rPr>
      </w:pPr>
      <w:r>
        <w:rPr>
          <w:color w:val="000000"/>
          <w:sz w:val="24"/>
        </w:rPr>
        <w:t>本报告期内，在外需改善、基建发力、房地产三四线崛起的背景下，国内经济企稳，微观行业则继续呈现业绩改善的趋势。在</w:t>
      </w:r>
      <w:r>
        <w:rPr>
          <w:color w:val="000000"/>
          <w:sz w:val="24"/>
        </w:rPr>
        <w:t>CPI</w:t>
      </w:r>
      <w:r>
        <w:rPr>
          <w:color w:val="000000"/>
          <w:sz w:val="24"/>
        </w:rPr>
        <w:t>低位徘徊、</w:t>
      </w:r>
      <w:r>
        <w:rPr>
          <w:color w:val="000000"/>
          <w:sz w:val="24"/>
        </w:rPr>
        <w:t>PPI</w:t>
      </w:r>
      <w:r>
        <w:rPr>
          <w:color w:val="000000"/>
          <w:sz w:val="24"/>
        </w:rPr>
        <w:t>处于下降通道、通胀预期回落的宏观背景下，央行货币政策中性偏紧，金融监管趋严。受到流动性和去杠杆的双重冲击，四月初以来收益率曲线出现了明显的上行。信用利差明显走阔。但六月份以来，央行加大流动性投放力度，维持二季度末资金面平稳过渡的操作意图明显，金融去杠杆节奏也有所放缓，市场的负面情绪有所缓和。随着资金面宽松、金融机构负债端压力缓和与收益率本身的吸引力上升，债券市场出现反弹。不过在金融机构负债问题没有解决的情况下，目前市场的机会仍然是结构性的，更确定的还是票息收益。</w:t>
      </w:r>
    </w:p>
    <w:p w:rsidR="001148B1" w:rsidRDefault="00C73324">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基金操作方面，从绝对收益率、期限利差和金融去杠杆角度看，目前中短端仍是较好的选择，基金以配置短久期的信用债为主。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半年末过后，短期资金面有望维持宽松局面，但在金融去杠杆的过程中，我们预计流动性的压力始终存在。未来市场大的机会有赖于：基本面的回落、银行增量资产增速的下降、同业业务的出清和错配的持续下降。无论是何种路径，低等级信用债可能都难逃信用风险或者流动性的冲击，中高等级信用债或是更优选择。组合管理方面，本基金将维持合理仓位，计划采用中短久期的票息策略，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日，交银裕隆纯债</w:t>
      </w:r>
      <w:r w:rsidRPr="007F52FA">
        <w:rPr>
          <w:color w:val="000000"/>
          <w:sz w:val="24"/>
        </w:rPr>
        <w:t>A</w:t>
      </w:r>
      <w:r w:rsidRPr="007F52FA">
        <w:rPr>
          <w:color w:val="000000"/>
          <w:sz w:val="24"/>
        </w:rPr>
        <w:t>份额净值为</w:t>
      </w:r>
      <w:r w:rsidRPr="007F52FA">
        <w:rPr>
          <w:color w:val="000000"/>
          <w:sz w:val="24"/>
        </w:rPr>
        <w:t>1.0218</w:t>
      </w:r>
      <w:r w:rsidRPr="007F52FA">
        <w:rPr>
          <w:color w:val="000000"/>
          <w:sz w:val="24"/>
        </w:rPr>
        <w:t>元，本报告期份额净值增长率为</w:t>
      </w:r>
      <w:r w:rsidRPr="007F52FA">
        <w:rPr>
          <w:color w:val="000000"/>
          <w:sz w:val="24"/>
        </w:rPr>
        <w:t>0.83%</w:t>
      </w:r>
      <w:r w:rsidRPr="007F52FA">
        <w:rPr>
          <w:color w:val="000000"/>
          <w:sz w:val="24"/>
        </w:rPr>
        <w:t>，同期业绩比较基准增长率为</w:t>
      </w:r>
      <w:r w:rsidRPr="007F52FA">
        <w:rPr>
          <w:color w:val="000000"/>
          <w:sz w:val="24"/>
        </w:rPr>
        <w:t>-0.88%</w:t>
      </w:r>
      <w:r w:rsidRPr="007F52FA">
        <w:rPr>
          <w:color w:val="000000"/>
          <w:sz w:val="24"/>
        </w:rPr>
        <w:t>；交银裕兴纯债</w:t>
      </w:r>
      <w:r w:rsidRPr="007F52FA">
        <w:rPr>
          <w:color w:val="000000"/>
          <w:sz w:val="24"/>
        </w:rPr>
        <w:t>C</w:t>
      </w:r>
      <w:r w:rsidRPr="007F52FA">
        <w:rPr>
          <w:color w:val="000000"/>
          <w:sz w:val="24"/>
        </w:rPr>
        <w:t>份额净值为</w:t>
      </w:r>
      <w:r w:rsidRPr="007F52FA">
        <w:rPr>
          <w:color w:val="000000"/>
          <w:sz w:val="24"/>
        </w:rPr>
        <w:t>1.0177</w:t>
      </w:r>
      <w:r w:rsidRPr="007F52FA">
        <w:rPr>
          <w:color w:val="000000"/>
          <w:sz w:val="24"/>
        </w:rPr>
        <w:t>元，本报告期份额净值增长率为</w:t>
      </w:r>
      <w:r w:rsidRPr="007F52FA">
        <w:rPr>
          <w:color w:val="000000"/>
          <w:sz w:val="24"/>
        </w:rPr>
        <w:t>0.73%</w:t>
      </w:r>
      <w:r w:rsidRPr="007F52FA">
        <w:rPr>
          <w:color w:val="000000"/>
          <w:sz w:val="24"/>
        </w:rPr>
        <w:t>，同期业绩比较基准增长率为</w:t>
      </w:r>
      <w:r w:rsidRPr="007F52FA">
        <w:rPr>
          <w:color w:val="000000"/>
          <w:sz w:val="24"/>
        </w:rPr>
        <w:t>-0.88%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685,411,100.00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685,411,100.00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2,562,411.66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10,492,540.41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698,466,052.07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CD2D5E" w:rsidRPr="00CD2D5E" w:rsidRDefault="00CD2D5E"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765621">
        <w:rPr>
          <w:rFonts w:eastAsiaTheme="minorEastAsia"/>
          <w:b/>
          <w:bCs/>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29,886,000.00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29,886,000.00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60,042,000.00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440,527,100.00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82.22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lastRenderedPageBreak/>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135,080,000.00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25.21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685,411,100.00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148B1">
        <w:trPr>
          <w:jc w:val="center"/>
        </w:trPr>
        <w:tc>
          <w:tcPr>
            <w:tcW w:w="1075" w:type="dxa"/>
            <w:vAlign w:val="center"/>
          </w:tcPr>
          <w:p w:rsidR="001148B1" w:rsidRDefault="00C73324">
            <w:pPr>
              <w:jc w:val="center"/>
            </w:pPr>
            <w:r>
              <w:rPr>
                <w:color w:val="000000"/>
                <w:sz w:val="24"/>
              </w:rPr>
              <w:t>1</w:t>
            </w:r>
          </w:p>
        </w:tc>
        <w:tc>
          <w:tcPr>
            <w:tcW w:w="1533" w:type="dxa"/>
            <w:vAlign w:val="center"/>
          </w:tcPr>
          <w:p w:rsidR="001148B1" w:rsidRDefault="00C73324">
            <w:pPr>
              <w:jc w:val="center"/>
            </w:pPr>
            <w:r>
              <w:rPr>
                <w:color w:val="000000"/>
                <w:sz w:val="24"/>
              </w:rPr>
              <w:t>101759015</w:t>
            </w:r>
          </w:p>
        </w:tc>
        <w:tc>
          <w:tcPr>
            <w:tcW w:w="1533" w:type="dxa"/>
            <w:vAlign w:val="center"/>
          </w:tcPr>
          <w:p w:rsidR="001148B1" w:rsidRDefault="00C73324">
            <w:pPr>
              <w:jc w:val="center"/>
            </w:pPr>
            <w:r>
              <w:rPr>
                <w:color w:val="000000"/>
                <w:sz w:val="24"/>
              </w:rPr>
              <w:t>17</w:t>
            </w:r>
            <w:r>
              <w:rPr>
                <w:color w:val="000000"/>
                <w:sz w:val="24"/>
              </w:rPr>
              <w:t>远洋集团</w:t>
            </w:r>
            <w:r>
              <w:rPr>
                <w:color w:val="000000"/>
                <w:sz w:val="24"/>
              </w:rPr>
              <w:t>MTN001A</w:t>
            </w:r>
          </w:p>
        </w:tc>
        <w:tc>
          <w:tcPr>
            <w:tcW w:w="1394" w:type="dxa"/>
            <w:vAlign w:val="center"/>
          </w:tcPr>
          <w:p w:rsidR="001148B1" w:rsidRDefault="00C73324">
            <w:pPr>
              <w:jc w:val="right"/>
            </w:pPr>
            <w:r>
              <w:rPr>
                <w:color w:val="000000"/>
                <w:sz w:val="24"/>
              </w:rPr>
              <w:t>400,000</w:t>
            </w:r>
          </w:p>
        </w:tc>
        <w:tc>
          <w:tcPr>
            <w:tcW w:w="1944" w:type="dxa"/>
            <w:vAlign w:val="center"/>
          </w:tcPr>
          <w:p w:rsidR="001148B1" w:rsidRDefault="00C73324">
            <w:pPr>
              <w:jc w:val="right"/>
            </w:pPr>
            <w:r>
              <w:rPr>
                <w:color w:val="000000"/>
                <w:sz w:val="24"/>
              </w:rPr>
              <w:t>40,172,000.00</w:t>
            </w:r>
          </w:p>
        </w:tc>
        <w:tc>
          <w:tcPr>
            <w:tcW w:w="1389" w:type="dxa"/>
            <w:vAlign w:val="center"/>
          </w:tcPr>
          <w:p w:rsidR="001148B1" w:rsidRDefault="00C73324">
            <w:pPr>
              <w:jc w:val="right"/>
            </w:pPr>
            <w:r>
              <w:rPr>
                <w:color w:val="000000"/>
                <w:sz w:val="24"/>
              </w:rPr>
              <w:t>7.50</w:t>
            </w:r>
          </w:p>
        </w:tc>
      </w:tr>
      <w:tr w:rsidR="001148B1">
        <w:trPr>
          <w:jc w:val="center"/>
        </w:trPr>
        <w:tc>
          <w:tcPr>
            <w:tcW w:w="1075" w:type="dxa"/>
            <w:vAlign w:val="center"/>
          </w:tcPr>
          <w:p w:rsidR="001148B1" w:rsidRDefault="00C73324">
            <w:pPr>
              <w:jc w:val="center"/>
            </w:pPr>
            <w:r>
              <w:rPr>
                <w:color w:val="000000"/>
                <w:sz w:val="24"/>
              </w:rPr>
              <w:t>2</w:t>
            </w:r>
          </w:p>
        </w:tc>
        <w:tc>
          <w:tcPr>
            <w:tcW w:w="1533" w:type="dxa"/>
            <w:vAlign w:val="center"/>
          </w:tcPr>
          <w:p w:rsidR="001148B1" w:rsidRDefault="00C73324">
            <w:pPr>
              <w:jc w:val="center"/>
            </w:pPr>
            <w:r>
              <w:rPr>
                <w:color w:val="000000"/>
                <w:sz w:val="24"/>
              </w:rPr>
              <w:t>101760007</w:t>
            </w:r>
          </w:p>
        </w:tc>
        <w:tc>
          <w:tcPr>
            <w:tcW w:w="1533" w:type="dxa"/>
            <w:vAlign w:val="center"/>
          </w:tcPr>
          <w:p w:rsidR="001148B1" w:rsidRDefault="00C73324">
            <w:pPr>
              <w:jc w:val="center"/>
            </w:pPr>
            <w:r>
              <w:rPr>
                <w:color w:val="000000"/>
                <w:sz w:val="24"/>
              </w:rPr>
              <w:t>17</w:t>
            </w:r>
            <w:r>
              <w:rPr>
                <w:color w:val="000000"/>
                <w:sz w:val="24"/>
              </w:rPr>
              <w:t>象屿</w:t>
            </w:r>
            <w:r>
              <w:rPr>
                <w:color w:val="000000"/>
                <w:sz w:val="24"/>
              </w:rPr>
              <w:t>MTN001</w:t>
            </w:r>
          </w:p>
        </w:tc>
        <w:tc>
          <w:tcPr>
            <w:tcW w:w="1394" w:type="dxa"/>
            <w:vAlign w:val="center"/>
          </w:tcPr>
          <w:p w:rsidR="001148B1" w:rsidRDefault="00C73324">
            <w:pPr>
              <w:jc w:val="right"/>
            </w:pPr>
            <w:r>
              <w:rPr>
                <w:color w:val="000000"/>
                <w:sz w:val="24"/>
              </w:rPr>
              <w:t>400,000</w:t>
            </w:r>
          </w:p>
        </w:tc>
        <w:tc>
          <w:tcPr>
            <w:tcW w:w="1944" w:type="dxa"/>
            <w:vAlign w:val="center"/>
          </w:tcPr>
          <w:p w:rsidR="001148B1" w:rsidRDefault="00C73324">
            <w:pPr>
              <w:jc w:val="right"/>
            </w:pPr>
            <w:r>
              <w:rPr>
                <w:color w:val="000000"/>
                <w:sz w:val="24"/>
              </w:rPr>
              <w:t>40,080,000.00</w:t>
            </w:r>
          </w:p>
        </w:tc>
        <w:tc>
          <w:tcPr>
            <w:tcW w:w="1389" w:type="dxa"/>
            <w:vAlign w:val="center"/>
          </w:tcPr>
          <w:p w:rsidR="001148B1" w:rsidRDefault="00C73324">
            <w:pPr>
              <w:jc w:val="right"/>
            </w:pPr>
            <w:r>
              <w:rPr>
                <w:color w:val="000000"/>
                <w:sz w:val="24"/>
              </w:rPr>
              <w:t>7.48</w:t>
            </w:r>
          </w:p>
        </w:tc>
      </w:tr>
      <w:tr w:rsidR="001148B1">
        <w:trPr>
          <w:jc w:val="center"/>
        </w:trPr>
        <w:tc>
          <w:tcPr>
            <w:tcW w:w="1075" w:type="dxa"/>
            <w:vAlign w:val="center"/>
          </w:tcPr>
          <w:p w:rsidR="001148B1" w:rsidRDefault="00C73324">
            <w:pPr>
              <w:jc w:val="center"/>
            </w:pPr>
            <w:r>
              <w:rPr>
                <w:color w:val="000000"/>
                <w:sz w:val="24"/>
              </w:rPr>
              <w:t>3</w:t>
            </w:r>
          </w:p>
        </w:tc>
        <w:tc>
          <w:tcPr>
            <w:tcW w:w="1533" w:type="dxa"/>
            <w:vAlign w:val="center"/>
          </w:tcPr>
          <w:p w:rsidR="001148B1" w:rsidRDefault="00C73324">
            <w:pPr>
              <w:jc w:val="center"/>
            </w:pPr>
            <w:r>
              <w:rPr>
                <w:color w:val="000000"/>
                <w:sz w:val="24"/>
              </w:rPr>
              <w:t>101652045</w:t>
            </w:r>
          </w:p>
        </w:tc>
        <w:tc>
          <w:tcPr>
            <w:tcW w:w="1533" w:type="dxa"/>
            <w:vAlign w:val="center"/>
          </w:tcPr>
          <w:p w:rsidR="001148B1" w:rsidRDefault="00C73324">
            <w:pPr>
              <w:jc w:val="center"/>
            </w:pPr>
            <w:r>
              <w:rPr>
                <w:color w:val="000000"/>
                <w:sz w:val="24"/>
              </w:rPr>
              <w:t>16</w:t>
            </w:r>
            <w:r>
              <w:rPr>
                <w:color w:val="000000"/>
                <w:sz w:val="24"/>
              </w:rPr>
              <w:t>许继</w:t>
            </w:r>
            <w:r>
              <w:rPr>
                <w:color w:val="000000"/>
                <w:sz w:val="24"/>
              </w:rPr>
              <w:t>MTN001</w:t>
            </w:r>
          </w:p>
        </w:tc>
        <w:tc>
          <w:tcPr>
            <w:tcW w:w="1394" w:type="dxa"/>
            <w:vAlign w:val="center"/>
          </w:tcPr>
          <w:p w:rsidR="001148B1" w:rsidRDefault="00C73324">
            <w:pPr>
              <w:jc w:val="right"/>
            </w:pPr>
            <w:r>
              <w:rPr>
                <w:color w:val="000000"/>
                <w:sz w:val="24"/>
              </w:rPr>
              <w:t>400,000</w:t>
            </w:r>
          </w:p>
        </w:tc>
        <w:tc>
          <w:tcPr>
            <w:tcW w:w="1944" w:type="dxa"/>
            <w:vAlign w:val="center"/>
          </w:tcPr>
          <w:p w:rsidR="001148B1" w:rsidRDefault="00C73324">
            <w:pPr>
              <w:jc w:val="right"/>
            </w:pPr>
            <w:r>
              <w:rPr>
                <w:color w:val="000000"/>
                <w:sz w:val="24"/>
              </w:rPr>
              <w:t>38,952,000.00</w:t>
            </w:r>
          </w:p>
        </w:tc>
        <w:tc>
          <w:tcPr>
            <w:tcW w:w="1389" w:type="dxa"/>
            <w:vAlign w:val="center"/>
          </w:tcPr>
          <w:p w:rsidR="001148B1" w:rsidRDefault="00C73324">
            <w:pPr>
              <w:jc w:val="right"/>
            </w:pPr>
            <w:r>
              <w:rPr>
                <w:color w:val="000000"/>
                <w:sz w:val="24"/>
              </w:rPr>
              <w:t>7.27</w:t>
            </w:r>
          </w:p>
        </w:tc>
      </w:tr>
      <w:tr w:rsidR="001148B1">
        <w:trPr>
          <w:jc w:val="center"/>
        </w:trPr>
        <w:tc>
          <w:tcPr>
            <w:tcW w:w="1075" w:type="dxa"/>
            <w:vAlign w:val="center"/>
          </w:tcPr>
          <w:p w:rsidR="001148B1" w:rsidRDefault="00C73324">
            <w:pPr>
              <w:jc w:val="center"/>
            </w:pPr>
            <w:r>
              <w:rPr>
                <w:color w:val="000000"/>
                <w:sz w:val="24"/>
              </w:rPr>
              <w:t>4</w:t>
            </w:r>
          </w:p>
        </w:tc>
        <w:tc>
          <w:tcPr>
            <w:tcW w:w="1533" w:type="dxa"/>
            <w:vAlign w:val="center"/>
          </w:tcPr>
          <w:p w:rsidR="001148B1" w:rsidRDefault="00C73324">
            <w:pPr>
              <w:jc w:val="center"/>
            </w:pPr>
            <w:r>
              <w:rPr>
                <w:color w:val="000000"/>
                <w:sz w:val="24"/>
              </w:rPr>
              <w:t>101456057</w:t>
            </w:r>
          </w:p>
        </w:tc>
        <w:tc>
          <w:tcPr>
            <w:tcW w:w="1533" w:type="dxa"/>
            <w:vAlign w:val="center"/>
          </w:tcPr>
          <w:p w:rsidR="001148B1" w:rsidRDefault="00C73324">
            <w:pPr>
              <w:jc w:val="center"/>
            </w:pPr>
            <w:r>
              <w:rPr>
                <w:color w:val="000000"/>
                <w:sz w:val="24"/>
              </w:rPr>
              <w:t>14</w:t>
            </w:r>
            <w:r>
              <w:rPr>
                <w:color w:val="000000"/>
                <w:sz w:val="24"/>
              </w:rPr>
              <w:t>榕交建</w:t>
            </w:r>
            <w:r>
              <w:rPr>
                <w:color w:val="000000"/>
                <w:sz w:val="24"/>
              </w:rPr>
              <w:t>MTN001</w:t>
            </w:r>
          </w:p>
        </w:tc>
        <w:tc>
          <w:tcPr>
            <w:tcW w:w="1394" w:type="dxa"/>
            <w:vAlign w:val="center"/>
          </w:tcPr>
          <w:p w:rsidR="001148B1" w:rsidRDefault="00C73324">
            <w:pPr>
              <w:jc w:val="right"/>
            </w:pPr>
            <w:r>
              <w:rPr>
                <w:color w:val="000000"/>
                <w:sz w:val="24"/>
              </w:rPr>
              <w:t>300,000</w:t>
            </w:r>
          </w:p>
        </w:tc>
        <w:tc>
          <w:tcPr>
            <w:tcW w:w="1944" w:type="dxa"/>
            <w:vAlign w:val="center"/>
          </w:tcPr>
          <w:p w:rsidR="001148B1" w:rsidRDefault="00C73324">
            <w:pPr>
              <w:jc w:val="right"/>
            </w:pPr>
            <w:r>
              <w:rPr>
                <w:color w:val="000000"/>
                <w:sz w:val="24"/>
              </w:rPr>
              <w:t>31,143,000.00</w:t>
            </w:r>
          </w:p>
        </w:tc>
        <w:tc>
          <w:tcPr>
            <w:tcW w:w="1389" w:type="dxa"/>
            <w:vAlign w:val="center"/>
          </w:tcPr>
          <w:p w:rsidR="001148B1" w:rsidRDefault="00C73324">
            <w:pPr>
              <w:jc w:val="right"/>
            </w:pPr>
            <w:r>
              <w:rPr>
                <w:color w:val="000000"/>
                <w:sz w:val="24"/>
              </w:rPr>
              <w:t>5.81</w:t>
            </w:r>
          </w:p>
        </w:tc>
      </w:tr>
      <w:tr w:rsidR="001148B1">
        <w:trPr>
          <w:jc w:val="center"/>
        </w:trPr>
        <w:tc>
          <w:tcPr>
            <w:tcW w:w="1075" w:type="dxa"/>
            <w:vAlign w:val="center"/>
          </w:tcPr>
          <w:p w:rsidR="001148B1" w:rsidRDefault="00C73324">
            <w:pPr>
              <w:jc w:val="center"/>
            </w:pPr>
            <w:r>
              <w:rPr>
                <w:color w:val="000000"/>
                <w:sz w:val="24"/>
              </w:rPr>
              <w:t>5</w:t>
            </w:r>
          </w:p>
        </w:tc>
        <w:tc>
          <w:tcPr>
            <w:tcW w:w="1533" w:type="dxa"/>
            <w:vAlign w:val="center"/>
          </w:tcPr>
          <w:p w:rsidR="001148B1" w:rsidRDefault="00C73324">
            <w:pPr>
              <w:jc w:val="center"/>
            </w:pPr>
            <w:r>
              <w:rPr>
                <w:color w:val="000000"/>
                <w:sz w:val="24"/>
              </w:rPr>
              <w:t>101454027</w:t>
            </w:r>
          </w:p>
        </w:tc>
        <w:tc>
          <w:tcPr>
            <w:tcW w:w="1533" w:type="dxa"/>
            <w:vAlign w:val="center"/>
          </w:tcPr>
          <w:p w:rsidR="001148B1" w:rsidRDefault="00C73324">
            <w:pPr>
              <w:jc w:val="center"/>
            </w:pPr>
            <w:r>
              <w:rPr>
                <w:color w:val="000000"/>
                <w:sz w:val="24"/>
              </w:rPr>
              <w:t>14</w:t>
            </w:r>
            <w:r>
              <w:rPr>
                <w:color w:val="000000"/>
                <w:sz w:val="24"/>
              </w:rPr>
              <w:t>大唐集</w:t>
            </w:r>
            <w:r>
              <w:rPr>
                <w:color w:val="000000"/>
                <w:sz w:val="24"/>
              </w:rPr>
              <w:t>MTN001</w:t>
            </w:r>
          </w:p>
        </w:tc>
        <w:tc>
          <w:tcPr>
            <w:tcW w:w="1394" w:type="dxa"/>
            <w:vAlign w:val="center"/>
          </w:tcPr>
          <w:p w:rsidR="001148B1" w:rsidRDefault="00C73324">
            <w:pPr>
              <w:jc w:val="right"/>
            </w:pPr>
            <w:r>
              <w:rPr>
                <w:color w:val="000000"/>
                <w:sz w:val="24"/>
              </w:rPr>
              <w:t>300,000</w:t>
            </w:r>
          </w:p>
        </w:tc>
        <w:tc>
          <w:tcPr>
            <w:tcW w:w="1944" w:type="dxa"/>
            <w:vAlign w:val="center"/>
          </w:tcPr>
          <w:p w:rsidR="001148B1" w:rsidRDefault="00C73324">
            <w:pPr>
              <w:jc w:val="right"/>
            </w:pPr>
            <w:r>
              <w:rPr>
                <w:color w:val="000000"/>
                <w:sz w:val="24"/>
              </w:rPr>
              <w:t>30,513,000.00</w:t>
            </w:r>
          </w:p>
        </w:tc>
        <w:tc>
          <w:tcPr>
            <w:tcW w:w="1389" w:type="dxa"/>
            <w:vAlign w:val="center"/>
          </w:tcPr>
          <w:p w:rsidR="001148B1" w:rsidRDefault="00C73324">
            <w:pPr>
              <w:jc w:val="right"/>
            </w:pPr>
            <w:r>
              <w:rPr>
                <w:color w:val="000000"/>
                <w:sz w:val="24"/>
              </w:rPr>
              <w:t>5.70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lastRenderedPageBreak/>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10,492,525.41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10,492,540.41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524,359,299.04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3,732.02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20,320.87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524,338,978.17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3,671.02</w:t>
            </w:r>
          </w:p>
        </w:tc>
      </w:tr>
    </w:tbl>
    <w:p w:rsidR="001148B1" w:rsidRDefault="00C733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765621" w:rsidRDefault="00ED0E09" w:rsidP="00BE251D">
      <w:pPr>
        <w:pStyle w:val="1"/>
        <w:spacing w:beforeLines="100" w:before="312" w:afterLines="100" w:after="312" w:line="360" w:lineRule="auto"/>
        <w:jc w:val="center"/>
        <w:rPr>
          <w:rFonts w:eastAsiaTheme="minorEastAsia"/>
          <w:color w:val="000000" w:themeColor="text1"/>
          <w:kern w:val="0"/>
          <w:sz w:val="24"/>
          <w:szCs w:val="21"/>
        </w:rPr>
      </w:pPr>
      <w:r w:rsidRPr="00765621">
        <w:rPr>
          <w:rFonts w:eastAsiaTheme="minorEastAsia"/>
          <w:color w:val="000000" w:themeColor="text1"/>
          <w:kern w:val="0"/>
          <w:sz w:val="24"/>
          <w:szCs w:val="21"/>
        </w:rPr>
        <w:t xml:space="preserve">§8 </w:t>
      </w:r>
      <w:r w:rsidRPr="00765621">
        <w:rPr>
          <w:rFonts w:eastAsiaTheme="minorEastAsia" w:hint="eastAsia"/>
          <w:color w:val="000000" w:themeColor="text1"/>
          <w:kern w:val="0"/>
          <w:sz w:val="24"/>
          <w:szCs w:val="21"/>
        </w:rPr>
        <w:t>影响投资者决策的其他重要信息</w:t>
      </w:r>
    </w:p>
    <w:p w:rsidR="00ED0E09" w:rsidRPr="00765621" w:rsidRDefault="00ED0E09" w:rsidP="00ED0E09">
      <w:pPr>
        <w:autoSpaceDE w:val="0"/>
        <w:autoSpaceDN w:val="0"/>
        <w:adjustRightInd w:val="0"/>
        <w:spacing w:line="360" w:lineRule="auto"/>
        <w:jc w:val="left"/>
        <w:rPr>
          <w:b/>
          <w:bCs/>
          <w:color w:val="000000"/>
          <w:kern w:val="0"/>
          <w:sz w:val="24"/>
          <w:szCs w:val="21"/>
        </w:rPr>
      </w:pPr>
      <w:r w:rsidRPr="00765621">
        <w:rPr>
          <w:b/>
          <w:bCs/>
          <w:color w:val="000000"/>
          <w:kern w:val="0"/>
          <w:sz w:val="24"/>
          <w:szCs w:val="21"/>
        </w:rPr>
        <w:t xml:space="preserve">8.1 </w:t>
      </w:r>
      <w:r w:rsidRPr="00765621">
        <w:rPr>
          <w:rFonts w:hint="eastAsia"/>
          <w:b/>
          <w:bCs/>
          <w:color w:val="000000"/>
          <w:kern w:val="0"/>
          <w:sz w:val="24"/>
          <w:szCs w:val="21"/>
        </w:rPr>
        <w:t>报告期内单一投资者持有基金份额比例达到或超过</w:t>
      </w:r>
      <w:r w:rsidRPr="00765621">
        <w:rPr>
          <w:b/>
          <w:bCs/>
          <w:color w:val="000000"/>
          <w:kern w:val="0"/>
          <w:sz w:val="24"/>
          <w:szCs w:val="21"/>
        </w:rPr>
        <w:t>20%</w:t>
      </w:r>
      <w:r w:rsidRPr="00765621">
        <w:rPr>
          <w:rFonts w:hint="eastAsia"/>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CD2D5E"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autoSpaceDE w:val="0"/>
              <w:autoSpaceDN w:val="0"/>
              <w:adjustRightInd w:val="0"/>
              <w:jc w:val="center"/>
              <w:rPr>
                <w:b/>
                <w:bCs/>
                <w:color w:val="000000"/>
                <w:kern w:val="0"/>
                <w:sz w:val="24"/>
                <w:szCs w:val="21"/>
              </w:rPr>
            </w:pPr>
            <w:r w:rsidRPr="00765621">
              <w:rPr>
                <w:rFonts w:hint="eastAsia"/>
                <w:color w:val="000000"/>
                <w:kern w:val="0"/>
                <w:sz w:val="24"/>
                <w:szCs w:val="21"/>
              </w:rPr>
              <w:t>投资者类别</w:t>
            </w:r>
            <w:r w:rsidRPr="00765621">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autoSpaceDE w:val="0"/>
              <w:autoSpaceDN w:val="0"/>
              <w:adjustRightInd w:val="0"/>
              <w:jc w:val="center"/>
              <w:rPr>
                <w:b/>
                <w:bCs/>
                <w:color w:val="000000"/>
                <w:kern w:val="0"/>
                <w:sz w:val="24"/>
                <w:szCs w:val="21"/>
              </w:rPr>
            </w:pPr>
            <w:r w:rsidRPr="00765621">
              <w:rPr>
                <w:rFonts w:hint="eastAsia"/>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autoSpaceDE w:val="0"/>
              <w:autoSpaceDN w:val="0"/>
              <w:adjustRightInd w:val="0"/>
              <w:jc w:val="center"/>
              <w:rPr>
                <w:b/>
                <w:bCs/>
                <w:color w:val="000000"/>
                <w:kern w:val="0"/>
                <w:sz w:val="24"/>
                <w:szCs w:val="21"/>
              </w:rPr>
            </w:pPr>
            <w:r w:rsidRPr="00765621">
              <w:rPr>
                <w:rFonts w:hint="eastAsia"/>
                <w:color w:val="000000"/>
                <w:kern w:val="0"/>
                <w:sz w:val="24"/>
                <w:szCs w:val="21"/>
              </w:rPr>
              <w:t>报告期末持有基金情况</w:t>
            </w:r>
          </w:p>
        </w:tc>
      </w:tr>
      <w:tr w:rsidR="00ED0E09" w:rsidRPr="00CD2D5E"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autoSpaceDE w:val="0"/>
              <w:autoSpaceDN w:val="0"/>
              <w:adjustRightInd w:val="0"/>
              <w:jc w:val="center"/>
              <w:rPr>
                <w:b/>
                <w:bCs/>
                <w:color w:val="000000"/>
                <w:kern w:val="0"/>
                <w:sz w:val="24"/>
                <w:szCs w:val="21"/>
              </w:rPr>
            </w:pPr>
            <w:r w:rsidRPr="00765621">
              <w:rPr>
                <w:rFonts w:hint="eastAsia"/>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autoSpaceDE w:val="0"/>
              <w:autoSpaceDN w:val="0"/>
              <w:adjustRightInd w:val="0"/>
              <w:jc w:val="center"/>
              <w:rPr>
                <w:b/>
                <w:bCs/>
                <w:color w:val="000000"/>
                <w:kern w:val="0"/>
                <w:sz w:val="24"/>
                <w:szCs w:val="21"/>
              </w:rPr>
            </w:pPr>
            <w:r w:rsidRPr="00765621">
              <w:rPr>
                <w:rFonts w:hint="eastAsia"/>
                <w:color w:val="000000"/>
                <w:kern w:val="0"/>
                <w:sz w:val="24"/>
                <w:szCs w:val="21"/>
              </w:rPr>
              <w:t>持有基金份额比例达到或者超过</w:t>
            </w:r>
            <w:r w:rsidRPr="00765621">
              <w:rPr>
                <w:color w:val="000000"/>
                <w:kern w:val="0"/>
                <w:sz w:val="24"/>
                <w:szCs w:val="21"/>
              </w:rPr>
              <w:t>20%</w:t>
            </w:r>
            <w:r w:rsidRPr="00765621">
              <w:rPr>
                <w:rFonts w:hint="eastAsia"/>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widowControl/>
              <w:jc w:val="center"/>
              <w:rPr>
                <w:b/>
                <w:bCs/>
                <w:color w:val="000000"/>
                <w:kern w:val="0"/>
                <w:sz w:val="24"/>
                <w:szCs w:val="21"/>
              </w:rPr>
            </w:pPr>
            <w:r w:rsidRPr="00765621">
              <w:rPr>
                <w:rFonts w:hint="eastAsia"/>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widowControl/>
              <w:jc w:val="center"/>
              <w:rPr>
                <w:b/>
                <w:bCs/>
                <w:color w:val="000000"/>
                <w:kern w:val="0"/>
                <w:sz w:val="24"/>
                <w:szCs w:val="21"/>
              </w:rPr>
            </w:pPr>
            <w:r w:rsidRPr="00765621">
              <w:rPr>
                <w:rFonts w:hint="eastAsia"/>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widowControl/>
              <w:jc w:val="center"/>
              <w:rPr>
                <w:b/>
                <w:bCs/>
                <w:color w:val="000000"/>
                <w:kern w:val="0"/>
                <w:sz w:val="24"/>
                <w:szCs w:val="21"/>
              </w:rPr>
            </w:pPr>
            <w:r w:rsidRPr="00765621">
              <w:rPr>
                <w:rFonts w:hint="eastAsia"/>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autoSpaceDE w:val="0"/>
              <w:autoSpaceDN w:val="0"/>
              <w:adjustRightInd w:val="0"/>
              <w:jc w:val="center"/>
              <w:rPr>
                <w:b/>
                <w:bCs/>
                <w:color w:val="000000"/>
                <w:kern w:val="0"/>
                <w:sz w:val="24"/>
                <w:szCs w:val="21"/>
              </w:rPr>
            </w:pPr>
            <w:r w:rsidRPr="00765621">
              <w:rPr>
                <w:rFonts w:hint="eastAsia"/>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765621" w:rsidRDefault="00ED0E09">
            <w:pPr>
              <w:autoSpaceDE w:val="0"/>
              <w:autoSpaceDN w:val="0"/>
              <w:adjustRightInd w:val="0"/>
              <w:jc w:val="center"/>
              <w:rPr>
                <w:b/>
                <w:bCs/>
                <w:color w:val="000000"/>
                <w:kern w:val="0"/>
                <w:sz w:val="24"/>
                <w:szCs w:val="21"/>
              </w:rPr>
            </w:pPr>
            <w:r w:rsidRPr="00765621">
              <w:rPr>
                <w:rFonts w:hint="eastAsia"/>
                <w:color w:val="000000"/>
                <w:kern w:val="0"/>
                <w:sz w:val="24"/>
                <w:szCs w:val="21"/>
              </w:rPr>
              <w:t>份额占比</w:t>
            </w:r>
          </w:p>
        </w:tc>
      </w:tr>
      <w:tr w:rsidR="001148B1" w:rsidRPr="00CD2D5E">
        <w:tc>
          <w:tcPr>
            <w:tcW w:w="992" w:type="dxa"/>
            <w:vMerge w:val="restart"/>
          </w:tcPr>
          <w:p w:rsidR="001148B1" w:rsidRPr="00765621" w:rsidRDefault="001148B1">
            <w:pPr>
              <w:rPr>
                <w:sz w:val="24"/>
              </w:rPr>
            </w:pPr>
          </w:p>
          <w:p w:rsidR="001148B1" w:rsidRPr="00765621" w:rsidRDefault="00C73324">
            <w:pPr>
              <w:rPr>
                <w:sz w:val="24"/>
              </w:rPr>
            </w:pPr>
            <w:bookmarkStart w:id="0" w:name="_GoBack"/>
            <w:r w:rsidRPr="00765621">
              <w:rPr>
                <w:rFonts w:hint="eastAsia"/>
                <w:bCs/>
                <w:color w:val="000000"/>
                <w:kern w:val="0"/>
                <w:sz w:val="24"/>
                <w:szCs w:val="21"/>
              </w:rPr>
              <w:t>机构</w:t>
            </w:r>
            <w:bookmarkEnd w:id="0"/>
          </w:p>
        </w:tc>
        <w:tc>
          <w:tcPr>
            <w:tcW w:w="991" w:type="dxa"/>
            <w:vAlign w:val="center"/>
          </w:tcPr>
          <w:p w:rsidR="001148B1" w:rsidRPr="00765621" w:rsidRDefault="00C73324">
            <w:pPr>
              <w:jc w:val="center"/>
              <w:rPr>
                <w:sz w:val="24"/>
              </w:rPr>
            </w:pPr>
            <w:r w:rsidRPr="00765621">
              <w:rPr>
                <w:color w:val="000000"/>
                <w:kern w:val="0"/>
                <w:sz w:val="24"/>
                <w:szCs w:val="21"/>
              </w:rPr>
              <w:t>1</w:t>
            </w:r>
          </w:p>
        </w:tc>
        <w:tc>
          <w:tcPr>
            <w:tcW w:w="1843" w:type="dxa"/>
            <w:vAlign w:val="center"/>
          </w:tcPr>
          <w:p w:rsidR="001148B1" w:rsidRPr="00765621" w:rsidRDefault="00C73324">
            <w:pPr>
              <w:jc w:val="center"/>
              <w:rPr>
                <w:sz w:val="24"/>
              </w:rPr>
            </w:pPr>
            <w:r w:rsidRPr="00765621">
              <w:rPr>
                <w:color w:val="000000"/>
                <w:kern w:val="0"/>
                <w:sz w:val="24"/>
                <w:szCs w:val="21"/>
              </w:rPr>
              <w:t>2017/4/1-2017/6/30</w:t>
            </w:r>
          </w:p>
        </w:tc>
        <w:tc>
          <w:tcPr>
            <w:tcW w:w="851" w:type="dxa"/>
            <w:vAlign w:val="center"/>
          </w:tcPr>
          <w:p w:rsidR="001148B1" w:rsidRPr="00765621" w:rsidRDefault="00C73324">
            <w:pPr>
              <w:jc w:val="center"/>
              <w:rPr>
                <w:sz w:val="24"/>
              </w:rPr>
            </w:pPr>
            <w:r w:rsidRPr="00765621">
              <w:rPr>
                <w:color w:val="000000"/>
                <w:kern w:val="0"/>
                <w:sz w:val="24"/>
                <w:szCs w:val="21"/>
              </w:rPr>
              <w:t>524,334,266.68</w:t>
            </w:r>
          </w:p>
        </w:tc>
        <w:tc>
          <w:tcPr>
            <w:tcW w:w="850" w:type="dxa"/>
            <w:vAlign w:val="center"/>
          </w:tcPr>
          <w:p w:rsidR="001148B1" w:rsidRPr="00765621" w:rsidRDefault="00C73324">
            <w:pPr>
              <w:jc w:val="center"/>
              <w:rPr>
                <w:sz w:val="24"/>
              </w:rPr>
            </w:pPr>
            <w:r w:rsidRPr="00765621">
              <w:rPr>
                <w:color w:val="000000"/>
                <w:kern w:val="0"/>
                <w:sz w:val="24"/>
                <w:szCs w:val="21"/>
              </w:rPr>
              <w:t>-</w:t>
            </w:r>
          </w:p>
        </w:tc>
        <w:tc>
          <w:tcPr>
            <w:tcW w:w="1134" w:type="dxa"/>
            <w:vAlign w:val="center"/>
          </w:tcPr>
          <w:p w:rsidR="001148B1" w:rsidRPr="00765621" w:rsidRDefault="00C73324">
            <w:pPr>
              <w:jc w:val="center"/>
              <w:rPr>
                <w:sz w:val="24"/>
              </w:rPr>
            </w:pPr>
            <w:r w:rsidRPr="00765621">
              <w:rPr>
                <w:color w:val="000000"/>
                <w:kern w:val="0"/>
                <w:sz w:val="24"/>
                <w:szCs w:val="21"/>
              </w:rPr>
              <w:t>-</w:t>
            </w:r>
          </w:p>
        </w:tc>
        <w:tc>
          <w:tcPr>
            <w:tcW w:w="1419" w:type="dxa"/>
            <w:vAlign w:val="center"/>
          </w:tcPr>
          <w:p w:rsidR="001148B1" w:rsidRPr="00765621" w:rsidRDefault="00C73324">
            <w:pPr>
              <w:jc w:val="center"/>
              <w:rPr>
                <w:sz w:val="24"/>
              </w:rPr>
            </w:pPr>
            <w:r w:rsidRPr="00765621">
              <w:rPr>
                <w:color w:val="000000"/>
                <w:kern w:val="0"/>
                <w:sz w:val="24"/>
                <w:szCs w:val="21"/>
              </w:rPr>
              <w:t>524,334,266.68</w:t>
            </w:r>
          </w:p>
        </w:tc>
        <w:tc>
          <w:tcPr>
            <w:tcW w:w="1130" w:type="dxa"/>
            <w:vAlign w:val="center"/>
          </w:tcPr>
          <w:p w:rsidR="001148B1" w:rsidRPr="00765621" w:rsidRDefault="00C73324">
            <w:pPr>
              <w:jc w:val="center"/>
              <w:rPr>
                <w:sz w:val="24"/>
              </w:rPr>
            </w:pPr>
            <w:r w:rsidRPr="00765621">
              <w:rPr>
                <w:color w:val="000000"/>
                <w:kern w:val="0"/>
                <w:sz w:val="24"/>
                <w:szCs w:val="21"/>
              </w:rPr>
              <w:t>100.00%</w:t>
            </w:r>
          </w:p>
        </w:tc>
      </w:tr>
    </w:tbl>
    <w:p w:rsidR="00ED0E09" w:rsidRPr="00765621" w:rsidRDefault="00ED0E09" w:rsidP="00ED0E09">
      <w:pPr>
        <w:autoSpaceDE w:val="0"/>
        <w:autoSpaceDN w:val="0"/>
        <w:adjustRightInd w:val="0"/>
        <w:spacing w:line="360" w:lineRule="auto"/>
        <w:jc w:val="left"/>
        <w:rPr>
          <w:bCs/>
          <w:color w:val="000000"/>
          <w:kern w:val="0"/>
          <w:sz w:val="24"/>
          <w:szCs w:val="21"/>
        </w:rPr>
      </w:pPr>
      <w:r w:rsidRPr="00765621">
        <w:rPr>
          <w:rFonts w:hint="eastAsia"/>
          <w:bCs/>
          <w:color w:val="000000"/>
          <w:kern w:val="0"/>
          <w:sz w:val="24"/>
          <w:szCs w:val="21"/>
        </w:rPr>
        <w:t>注：本基金本报告期内出现单一投资者持有基金份额比例超过基金总份额</w:t>
      </w:r>
      <w:r w:rsidRPr="00765621">
        <w:rPr>
          <w:bCs/>
          <w:color w:val="000000"/>
          <w:kern w:val="0"/>
          <w:sz w:val="24"/>
          <w:szCs w:val="21"/>
        </w:rPr>
        <w:t>20%</w:t>
      </w:r>
      <w:r w:rsidRPr="00765621">
        <w:rPr>
          <w:rFonts w:hint="eastAsia"/>
          <w:bCs/>
          <w:color w:val="000000"/>
          <w:kern w:val="0"/>
          <w:sz w:val="24"/>
          <w:szCs w:val="21"/>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lastRenderedPageBreak/>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1148B1" w:rsidRDefault="00C7332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0BA" w:rsidRDefault="001A50BA">
      <w:r>
        <w:separator/>
      </w:r>
    </w:p>
  </w:endnote>
  <w:endnote w:type="continuationSeparator" w:id="0">
    <w:p w:rsidR="001A50BA" w:rsidRDefault="001A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765621">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765621">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0BA" w:rsidRDefault="001A50BA">
      <w:r>
        <w:separator/>
      </w:r>
    </w:p>
  </w:footnote>
  <w:footnote w:type="continuationSeparator" w:id="0">
    <w:p w:rsidR="001A50BA" w:rsidRDefault="001A5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A50BA"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8B1"/>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0BA"/>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7C2"/>
    <w:rsid w:val="00545A0B"/>
    <w:rsid w:val="0054672F"/>
    <w:rsid w:val="00546CD3"/>
    <w:rsid w:val="00547FA4"/>
    <w:rsid w:val="00550339"/>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5621"/>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3A9"/>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3324"/>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2D5E"/>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516DBCDF-B3E4-4C63-9822-33BF385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List Paragraph"/>
    <w:basedOn w:val="a"/>
    <w:uiPriority w:val="34"/>
    <w:qFormat/>
    <w:rsid w:val="00550339"/>
    <w:pPr>
      <w:widowControl/>
      <w:ind w:firstLine="420"/>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0843-7C8F-4716-9A7F-D0C22E12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199</TotalTime>
  <Pages>14</Pages>
  <Words>1091</Words>
  <Characters>6219</Characters>
  <Application>Microsoft Office Word</Application>
  <DocSecurity>0</DocSecurity>
  <Lines>51</Lines>
  <Paragraphs>14</Paragraphs>
  <ScaleCrop>false</ScaleCrop>
  <Company>TRT. Ltd. Co.</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2017-07-18T03:24:00Z</dcterms:modified>
</cp:coreProperties>
</file>