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3,382,830,620.98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3,382,703,505.63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127,115.35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25,734,553.17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841.24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34,555,051.03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1,173.54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3,451,991,004.18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129,391.18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1.0179</w:t>
            </w:r>
          </w:p>
        </w:tc>
      </w:tr>
    </w:tbl>
    <w:p w:rsidR="002C3672" w:rsidRDefault="00C3074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3672">
        <w:trPr>
          <w:jc w:val="center"/>
        </w:trPr>
        <w:tc>
          <w:tcPr>
            <w:tcW w:w="1266" w:type="dxa"/>
            <w:vAlign w:val="center"/>
          </w:tcPr>
          <w:p w:rsidR="002C3672" w:rsidRDefault="00C3074C">
            <w:pPr>
              <w:jc w:val="left"/>
            </w:pPr>
            <w:r>
              <w:rPr>
                <w:color w:val="000000"/>
                <w:sz w:val="24"/>
              </w:rPr>
              <w:lastRenderedPageBreak/>
              <w:t>过去三个月</w:t>
            </w:r>
          </w:p>
        </w:tc>
        <w:tc>
          <w:tcPr>
            <w:tcW w:w="1267" w:type="dxa"/>
            <w:vAlign w:val="center"/>
          </w:tcPr>
          <w:p w:rsidR="002C3672" w:rsidRDefault="00C3074C">
            <w:pPr>
              <w:jc w:val="center"/>
            </w:pPr>
            <w:r>
              <w:rPr>
                <w:color w:val="000000"/>
                <w:sz w:val="24"/>
              </w:rPr>
              <w:t>1.01%</w:t>
            </w:r>
          </w:p>
        </w:tc>
        <w:tc>
          <w:tcPr>
            <w:tcW w:w="1267" w:type="dxa"/>
            <w:vAlign w:val="center"/>
          </w:tcPr>
          <w:p w:rsidR="002C3672" w:rsidRDefault="00C3074C">
            <w:pPr>
              <w:jc w:val="center"/>
            </w:pPr>
            <w:r>
              <w:rPr>
                <w:color w:val="000000"/>
                <w:sz w:val="24"/>
              </w:rPr>
              <w:t>0.02%</w:t>
            </w:r>
          </w:p>
        </w:tc>
        <w:tc>
          <w:tcPr>
            <w:tcW w:w="1267" w:type="dxa"/>
            <w:vAlign w:val="center"/>
          </w:tcPr>
          <w:p w:rsidR="002C3672" w:rsidRDefault="00C3074C">
            <w:pPr>
              <w:jc w:val="center"/>
            </w:pPr>
            <w:r>
              <w:rPr>
                <w:color w:val="000000"/>
                <w:sz w:val="24"/>
              </w:rPr>
              <w:t>-0.88%</w:t>
            </w:r>
          </w:p>
        </w:tc>
        <w:tc>
          <w:tcPr>
            <w:tcW w:w="1267" w:type="dxa"/>
            <w:vAlign w:val="center"/>
          </w:tcPr>
          <w:p w:rsidR="002C3672" w:rsidRDefault="00C3074C">
            <w:pPr>
              <w:jc w:val="center"/>
            </w:pPr>
            <w:r>
              <w:rPr>
                <w:color w:val="000000"/>
                <w:sz w:val="24"/>
              </w:rPr>
              <w:t>0.08%</w:t>
            </w:r>
          </w:p>
        </w:tc>
        <w:tc>
          <w:tcPr>
            <w:tcW w:w="1267" w:type="dxa"/>
            <w:vAlign w:val="center"/>
          </w:tcPr>
          <w:p w:rsidR="002C3672" w:rsidRDefault="00C3074C">
            <w:pPr>
              <w:jc w:val="center"/>
            </w:pPr>
            <w:r>
              <w:rPr>
                <w:color w:val="000000"/>
                <w:sz w:val="24"/>
              </w:rPr>
              <w:t>1.89%</w:t>
            </w:r>
          </w:p>
        </w:tc>
        <w:tc>
          <w:tcPr>
            <w:tcW w:w="1267" w:type="dxa"/>
            <w:vAlign w:val="center"/>
          </w:tcPr>
          <w:p w:rsidR="002C3672" w:rsidRDefault="00C3074C">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C3672">
        <w:trPr>
          <w:jc w:val="center"/>
        </w:trPr>
        <w:tc>
          <w:tcPr>
            <w:tcW w:w="1266" w:type="dxa"/>
            <w:vAlign w:val="center"/>
          </w:tcPr>
          <w:p w:rsidR="002C3672" w:rsidRDefault="00C3074C">
            <w:pPr>
              <w:jc w:val="left"/>
            </w:pPr>
            <w:r>
              <w:rPr>
                <w:color w:val="000000"/>
                <w:sz w:val="24"/>
              </w:rPr>
              <w:t>过去三个月</w:t>
            </w:r>
          </w:p>
        </w:tc>
        <w:tc>
          <w:tcPr>
            <w:tcW w:w="1267" w:type="dxa"/>
            <w:vAlign w:val="center"/>
          </w:tcPr>
          <w:p w:rsidR="002C3672" w:rsidRDefault="00C3074C">
            <w:pPr>
              <w:jc w:val="center"/>
            </w:pPr>
            <w:r>
              <w:rPr>
                <w:color w:val="000000"/>
                <w:sz w:val="24"/>
              </w:rPr>
              <w:t>0.91%</w:t>
            </w:r>
          </w:p>
        </w:tc>
        <w:tc>
          <w:tcPr>
            <w:tcW w:w="1267" w:type="dxa"/>
            <w:vAlign w:val="center"/>
          </w:tcPr>
          <w:p w:rsidR="002C3672" w:rsidRDefault="00C3074C">
            <w:pPr>
              <w:jc w:val="center"/>
            </w:pPr>
            <w:r>
              <w:rPr>
                <w:color w:val="000000"/>
                <w:sz w:val="24"/>
              </w:rPr>
              <w:t>0.02%</w:t>
            </w:r>
          </w:p>
        </w:tc>
        <w:tc>
          <w:tcPr>
            <w:tcW w:w="1267" w:type="dxa"/>
            <w:vAlign w:val="center"/>
          </w:tcPr>
          <w:p w:rsidR="002C3672" w:rsidRDefault="00C3074C">
            <w:pPr>
              <w:jc w:val="center"/>
            </w:pPr>
            <w:r>
              <w:rPr>
                <w:color w:val="000000"/>
                <w:sz w:val="24"/>
              </w:rPr>
              <w:t>-0.88%</w:t>
            </w:r>
          </w:p>
        </w:tc>
        <w:tc>
          <w:tcPr>
            <w:tcW w:w="1267" w:type="dxa"/>
            <w:vAlign w:val="center"/>
          </w:tcPr>
          <w:p w:rsidR="002C3672" w:rsidRDefault="00C3074C">
            <w:pPr>
              <w:jc w:val="center"/>
            </w:pPr>
            <w:r>
              <w:rPr>
                <w:color w:val="000000"/>
                <w:sz w:val="24"/>
              </w:rPr>
              <w:t>0.08%</w:t>
            </w:r>
          </w:p>
        </w:tc>
        <w:tc>
          <w:tcPr>
            <w:tcW w:w="1267" w:type="dxa"/>
            <w:vAlign w:val="center"/>
          </w:tcPr>
          <w:p w:rsidR="002C3672" w:rsidRDefault="00C3074C">
            <w:pPr>
              <w:jc w:val="center"/>
            </w:pPr>
            <w:r>
              <w:rPr>
                <w:color w:val="000000"/>
                <w:sz w:val="24"/>
              </w:rPr>
              <w:t>1.79%</w:t>
            </w:r>
          </w:p>
        </w:tc>
        <w:tc>
          <w:tcPr>
            <w:tcW w:w="1267" w:type="dxa"/>
            <w:vAlign w:val="center"/>
          </w:tcPr>
          <w:p w:rsidR="002C3672" w:rsidRDefault="00C3074C">
            <w:pPr>
              <w:jc w:val="center"/>
            </w:pPr>
            <w:r>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575C0" w:rsidRPr="007E3E56" w:rsidRDefault="004575C0" w:rsidP="007E3E56">
      <w:pPr>
        <w:spacing w:before="29" w:line="288" w:lineRule="auto"/>
        <w:ind w:firstLineChars="200" w:firstLine="480"/>
        <w:rPr>
          <w:color w:val="000000"/>
          <w:sz w:val="24"/>
        </w:rPr>
      </w:pPr>
      <w:r w:rsidRPr="007E3E56">
        <w:rPr>
          <w:rFonts w:hint="eastAsia"/>
          <w:color w:val="000000"/>
          <w:sz w:val="24"/>
        </w:rPr>
        <w:t>本基金基金合同生效日为</w:t>
      </w:r>
      <w:r w:rsidRPr="007E3E56">
        <w:rPr>
          <w:color w:val="000000"/>
          <w:sz w:val="24"/>
        </w:rPr>
        <w:t>2016</w:t>
      </w:r>
      <w:r w:rsidRPr="007E3E56">
        <w:rPr>
          <w:rFonts w:hint="eastAsia"/>
          <w:color w:val="000000"/>
          <w:sz w:val="24"/>
        </w:rPr>
        <w:t>年</w:t>
      </w:r>
      <w:r w:rsidRPr="007E3E56">
        <w:rPr>
          <w:color w:val="000000"/>
          <w:sz w:val="24"/>
        </w:rPr>
        <w:t>11</w:t>
      </w:r>
      <w:r w:rsidRPr="007E3E56">
        <w:rPr>
          <w:rFonts w:hint="eastAsia"/>
          <w:color w:val="000000"/>
          <w:sz w:val="24"/>
        </w:rPr>
        <w:t>月</w:t>
      </w:r>
      <w:r w:rsidRPr="007E3E56">
        <w:rPr>
          <w:color w:val="000000"/>
          <w:sz w:val="24"/>
        </w:rPr>
        <w:t>23</w:t>
      </w:r>
      <w:r w:rsidRPr="007E3E56">
        <w:rPr>
          <w:rFonts w:hint="eastAsia"/>
          <w:color w:val="000000"/>
          <w:sz w:val="24"/>
        </w:rPr>
        <w:t>日，基金合同生效日至报告期期末，本基金运作时间未满一年。本基金建仓期为自基金合同生效日起的</w:t>
      </w:r>
      <w:r w:rsidRPr="007E3E56">
        <w:rPr>
          <w:color w:val="000000"/>
          <w:sz w:val="24"/>
        </w:rPr>
        <w:t>6</w:t>
      </w:r>
      <w:r w:rsidRPr="007E3E56">
        <w:rPr>
          <w:rFonts w:hint="eastAsia"/>
          <w:color w:val="000000"/>
          <w:sz w:val="24"/>
        </w:rPr>
        <w:t>个月。截至建仓期结束，本基金各项资产配置比例符合基金合同及招募说明书有关投资比例的约定。</w:t>
      </w:r>
    </w:p>
    <w:p w:rsidR="0042785F" w:rsidRPr="004575C0"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575C0" w:rsidRPr="007E3E56" w:rsidRDefault="004575C0" w:rsidP="007E3E56">
      <w:pPr>
        <w:spacing w:before="29" w:line="288" w:lineRule="auto"/>
        <w:ind w:firstLineChars="200" w:firstLine="480"/>
        <w:rPr>
          <w:color w:val="000000"/>
          <w:sz w:val="24"/>
        </w:rPr>
      </w:pPr>
      <w:r w:rsidRPr="007E3E56">
        <w:rPr>
          <w:rFonts w:hint="eastAsia"/>
          <w:color w:val="000000"/>
          <w:sz w:val="24"/>
        </w:rPr>
        <w:t>本基金基金合同生效日为</w:t>
      </w:r>
      <w:r w:rsidRPr="007E3E56">
        <w:rPr>
          <w:color w:val="000000"/>
          <w:sz w:val="24"/>
        </w:rPr>
        <w:t>2016</w:t>
      </w:r>
      <w:r w:rsidRPr="007E3E56">
        <w:rPr>
          <w:rFonts w:hint="eastAsia"/>
          <w:color w:val="000000"/>
          <w:sz w:val="24"/>
        </w:rPr>
        <w:t>年</w:t>
      </w:r>
      <w:r w:rsidRPr="007E3E56">
        <w:rPr>
          <w:color w:val="000000"/>
          <w:sz w:val="24"/>
        </w:rPr>
        <w:t>11</w:t>
      </w:r>
      <w:r w:rsidRPr="007E3E56">
        <w:rPr>
          <w:rFonts w:hint="eastAsia"/>
          <w:color w:val="000000"/>
          <w:sz w:val="24"/>
        </w:rPr>
        <w:t>月</w:t>
      </w:r>
      <w:r w:rsidRPr="007E3E56">
        <w:rPr>
          <w:color w:val="000000"/>
          <w:sz w:val="24"/>
        </w:rPr>
        <w:t>23</w:t>
      </w:r>
      <w:r w:rsidRPr="007E3E56">
        <w:rPr>
          <w:rFonts w:hint="eastAsia"/>
          <w:color w:val="000000"/>
          <w:sz w:val="24"/>
        </w:rPr>
        <w:t>日，基金合同生效日至报告期期末，本基金运作时间未满一年。本基金建仓期为自基金合同生效日起的</w:t>
      </w:r>
      <w:r w:rsidRPr="007E3E56">
        <w:rPr>
          <w:color w:val="000000"/>
          <w:sz w:val="24"/>
        </w:rPr>
        <w:t>6</w:t>
      </w:r>
      <w:r w:rsidRPr="007E3E56">
        <w:rPr>
          <w:rFonts w:hint="eastAsia"/>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C3672">
        <w:trPr>
          <w:jc w:val="center"/>
        </w:trPr>
        <w:tc>
          <w:tcPr>
            <w:tcW w:w="946" w:type="dxa"/>
            <w:vAlign w:val="center"/>
          </w:tcPr>
          <w:p w:rsidR="002C3672" w:rsidRDefault="00C3074C">
            <w:pPr>
              <w:jc w:val="center"/>
            </w:pPr>
            <w:r>
              <w:rPr>
                <w:color w:val="000000"/>
                <w:sz w:val="24"/>
              </w:rPr>
              <w:t>连端清</w:t>
            </w:r>
          </w:p>
        </w:tc>
        <w:tc>
          <w:tcPr>
            <w:tcW w:w="924" w:type="dxa"/>
            <w:vAlign w:val="center"/>
          </w:tcPr>
          <w:p w:rsidR="002C3672" w:rsidRDefault="00C3074C">
            <w:pPr>
              <w:jc w:val="center"/>
            </w:pPr>
            <w:r>
              <w:rPr>
                <w:color w:val="000000"/>
                <w:sz w:val="24"/>
              </w:rPr>
              <w:t>交银货币、交银理财</w:t>
            </w:r>
            <w:r>
              <w:rPr>
                <w:color w:val="000000"/>
                <w:sz w:val="24"/>
              </w:rPr>
              <w:t>60</w:t>
            </w:r>
            <w:r>
              <w:rPr>
                <w:color w:val="000000"/>
                <w:sz w:val="24"/>
              </w:rPr>
              <w:t>天债券、交银丰盈收益债券、交银现金</w:t>
            </w:r>
            <w:r>
              <w:rPr>
                <w:color w:val="000000"/>
                <w:sz w:val="24"/>
              </w:rPr>
              <w:lastRenderedPageBreak/>
              <w:t>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202" w:type="dxa"/>
            <w:vAlign w:val="center"/>
          </w:tcPr>
          <w:p w:rsidR="002C3672" w:rsidRDefault="00C3074C">
            <w:pPr>
              <w:jc w:val="center"/>
            </w:pPr>
            <w:r>
              <w:rPr>
                <w:color w:val="000000"/>
                <w:sz w:val="24"/>
              </w:rPr>
              <w:lastRenderedPageBreak/>
              <w:t>2017-03-31</w:t>
            </w:r>
          </w:p>
        </w:tc>
        <w:tc>
          <w:tcPr>
            <w:tcW w:w="1300" w:type="dxa"/>
            <w:vAlign w:val="center"/>
          </w:tcPr>
          <w:p w:rsidR="002C3672" w:rsidRDefault="00C3074C">
            <w:pPr>
              <w:jc w:val="center"/>
            </w:pPr>
            <w:r>
              <w:rPr>
                <w:color w:val="000000"/>
                <w:sz w:val="24"/>
              </w:rPr>
              <w:t>-</w:t>
            </w:r>
          </w:p>
        </w:tc>
        <w:tc>
          <w:tcPr>
            <w:tcW w:w="1245" w:type="dxa"/>
            <w:vAlign w:val="center"/>
          </w:tcPr>
          <w:p w:rsidR="002C3672" w:rsidRDefault="00C3074C">
            <w:pPr>
              <w:jc w:val="center"/>
            </w:pPr>
            <w:r>
              <w:rPr>
                <w:color w:val="000000"/>
                <w:sz w:val="24"/>
              </w:rPr>
              <w:t>4</w:t>
            </w:r>
            <w:r>
              <w:rPr>
                <w:color w:val="000000"/>
                <w:sz w:val="24"/>
              </w:rPr>
              <w:t>年</w:t>
            </w:r>
          </w:p>
        </w:tc>
        <w:tc>
          <w:tcPr>
            <w:tcW w:w="3251" w:type="dxa"/>
            <w:vAlign w:val="center"/>
          </w:tcPr>
          <w:p w:rsidR="002C3672" w:rsidRDefault="00C3074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1B35AA" w:rsidRDefault="001B35AA" w:rsidP="001B35AA">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w:t>
      </w:r>
      <w:r>
        <w:rPr>
          <w:color w:val="000000"/>
          <w:sz w:val="24"/>
        </w:rPr>
        <w:lastRenderedPageBreak/>
        <w:t>出决定并公告</w:t>
      </w:r>
      <w:r>
        <w:rPr>
          <w:color w:val="000000"/>
          <w:sz w:val="24"/>
        </w:rPr>
        <w:t>(</w:t>
      </w:r>
      <w:r>
        <w:rPr>
          <w:color w:val="000000"/>
          <w:sz w:val="24"/>
        </w:rPr>
        <w:t>如适用</w:t>
      </w:r>
      <w:r>
        <w:rPr>
          <w:color w:val="000000"/>
          <w:sz w:val="24"/>
        </w:rPr>
        <w:t>)</w:t>
      </w:r>
      <w:r>
        <w:rPr>
          <w:color w:val="000000"/>
          <w:sz w:val="24"/>
        </w:rPr>
        <w:t>之日为准；</w:t>
      </w:r>
    </w:p>
    <w:p w:rsidR="001B35AA" w:rsidRDefault="001B35AA" w:rsidP="001B35AA">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1B35AA" w:rsidRPr="007F52FA" w:rsidRDefault="001B35AA" w:rsidP="001B35AA">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1B35A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C3672" w:rsidRDefault="00C307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3672" w:rsidRDefault="00C307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3672" w:rsidRDefault="00C3074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C3672" w:rsidRDefault="00C3074C">
      <w:pPr>
        <w:spacing w:before="29" w:line="288" w:lineRule="auto"/>
        <w:ind w:firstLineChars="200" w:firstLine="480"/>
        <w:rPr>
          <w:color w:val="000000"/>
          <w:sz w:val="24"/>
        </w:rPr>
      </w:pPr>
      <w:r>
        <w:rPr>
          <w:color w:val="000000"/>
          <w:sz w:val="24"/>
        </w:rPr>
        <w:t>2017</w:t>
      </w:r>
      <w:r>
        <w:rPr>
          <w:color w:val="000000"/>
          <w:sz w:val="24"/>
        </w:rPr>
        <w:t>年二季度，国内经济整体平稳，但已运行至小周期的高点。随着楼市调控政</w:t>
      </w:r>
      <w:r>
        <w:rPr>
          <w:color w:val="000000"/>
          <w:sz w:val="24"/>
        </w:rPr>
        <w:lastRenderedPageBreak/>
        <w:t>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2C3672" w:rsidRDefault="00C3074C">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2C3672" w:rsidRDefault="00C3074C">
      <w:pPr>
        <w:spacing w:before="29" w:line="288" w:lineRule="auto"/>
        <w:ind w:firstLineChars="200" w:firstLine="480"/>
        <w:rPr>
          <w:color w:val="000000"/>
          <w:sz w:val="24"/>
        </w:rPr>
      </w:pPr>
      <w:r>
        <w:rPr>
          <w:color w:val="000000"/>
          <w:sz w:val="24"/>
        </w:rPr>
        <w:t>基金操作方面，报告期内本基金继续加强信用风险管控，顺应市场走势调整持仓债券，降低组合杠杆与久期，努力为持有人创造稳健的回报。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尽力控制信用风险，积极跟踪把握市场节奏，继续调整部分债券，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本报告期末，交银裕利纯债债券</w:t>
      </w:r>
      <w:r w:rsidRPr="007F52FA">
        <w:rPr>
          <w:color w:val="000000"/>
          <w:sz w:val="24"/>
        </w:rPr>
        <w:t>A</w:t>
      </w:r>
      <w:r w:rsidRPr="007F52FA">
        <w:rPr>
          <w:color w:val="000000"/>
          <w:sz w:val="24"/>
        </w:rPr>
        <w:t>份额净值为</w:t>
      </w:r>
      <w:r w:rsidRPr="007F52FA">
        <w:rPr>
          <w:color w:val="000000"/>
          <w:sz w:val="24"/>
        </w:rPr>
        <w:t>1.0205</w:t>
      </w:r>
      <w:r w:rsidRPr="007F52FA">
        <w:rPr>
          <w:color w:val="000000"/>
          <w:sz w:val="24"/>
        </w:rPr>
        <w:t>元，本报告期份额净值增长率为</w:t>
      </w:r>
      <w:r w:rsidRPr="007F52FA">
        <w:rPr>
          <w:color w:val="000000"/>
          <w:sz w:val="24"/>
        </w:rPr>
        <w:t>1.01%</w:t>
      </w:r>
      <w:r w:rsidRPr="007F52FA">
        <w:rPr>
          <w:color w:val="000000"/>
          <w:sz w:val="24"/>
        </w:rPr>
        <w:t>，同期业绩比较基准增长率为</w:t>
      </w:r>
      <w:r w:rsidRPr="007F52FA">
        <w:rPr>
          <w:color w:val="000000"/>
          <w:sz w:val="24"/>
        </w:rPr>
        <w:t>-0.88%</w:t>
      </w:r>
      <w:r w:rsidRPr="007F52FA">
        <w:rPr>
          <w:color w:val="000000"/>
          <w:sz w:val="24"/>
        </w:rPr>
        <w:t>；交银裕利纯债债券</w:t>
      </w:r>
      <w:r w:rsidRPr="007F52FA">
        <w:rPr>
          <w:color w:val="000000"/>
          <w:sz w:val="24"/>
        </w:rPr>
        <w:t>C</w:t>
      </w:r>
      <w:r w:rsidRPr="007F52FA">
        <w:rPr>
          <w:color w:val="000000"/>
          <w:sz w:val="24"/>
        </w:rPr>
        <w:t>份额净值为</w:t>
      </w:r>
      <w:r w:rsidRPr="007F52FA">
        <w:rPr>
          <w:color w:val="000000"/>
          <w:sz w:val="24"/>
        </w:rPr>
        <w:t>1.0179</w:t>
      </w:r>
      <w:r w:rsidRPr="007F52FA">
        <w:rPr>
          <w:color w:val="000000"/>
          <w:sz w:val="24"/>
        </w:rPr>
        <w:t>元，本报告期份额净值增长率为</w:t>
      </w:r>
      <w:r w:rsidRPr="007F52FA">
        <w:rPr>
          <w:color w:val="000000"/>
          <w:sz w:val="24"/>
        </w:rPr>
        <w:t>0.91%</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本基金本报告期内曾连续二十个工作日以上出现基金份额持有人数量不满二百人的情形，但截至本报告期末，本基金基金份额持有人数量已高于二百人。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3,207,912,000.00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2,835,122,000.00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76.84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372,790,000.00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10.10</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444,069,097.75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37,898,925.98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3,689,880,023.73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62B96" w:rsidRPr="00F62B96" w:rsidRDefault="00F62B96"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7E3E56">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199,279,000.00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199,279,000.00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2,132,306,000.00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503,537,000.00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14.59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2,835,122,000.00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C3672">
        <w:trPr>
          <w:jc w:val="center"/>
        </w:trPr>
        <w:tc>
          <w:tcPr>
            <w:tcW w:w="1075" w:type="dxa"/>
            <w:vAlign w:val="center"/>
          </w:tcPr>
          <w:p w:rsidR="002C3672" w:rsidRDefault="00C3074C">
            <w:pPr>
              <w:jc w:val="center"/>
            </w:pPr>
            <w:r>
              <w:rPr>
                <w:color w:val="000000"/>
                <w:sz w:val="24"/>
              </w:rPr>
              <w:t>1</w:t>
            </w:r>
          </w:p>
        </w:tc>
        <w:tc>
          <w:tcPr>
            <w:tcW w:w="1533" w:type="dxa"/>
            <w:vAlign w:val="center"/>
          </w:tcPr>
          <w:p w:rsidR="002C3672" w:rsidRDefault="00C3074C">
            <w:pPr>
              <w:jc w:val="center"/>
            </w:pPr>
            <w:r>
              <w:rPr>
                <w:color w:val="000000"/>
                <w:sz w:val="24"/>
              </w:rPr>
              <w:t>11755006</w:t>
            </w:r>
          </w:p>
        </w:tc>
        <w:tc>
          <w:tcPr>
            <w:tcW w:w="1533" w:type="dxa"/>
            <w:vAlign w:val="center"/>
          </w:tcPr>
          <w:p w:rsidR="002C3672" w:rsidRDefault="00C3074C">
            <w:pPr>
              <w:jc w:val="center"/>
            </w:pPr>
            <w:r>
              <w:rPr>
                <w:color w:val="000000"/>
                <w:sz w:val="24"/>
              </w:rPr>
              <w:t>17</w:t>
            </w:r>
            <w:r>
              <w:rPr>
                <w:color w:val="000000"/>
                <w:sz w:val="24"/>
              </w:rPr>
              <w:t>宝钢股</w:t>
            </w:r>
            <w:r>
              <w:rPr>
                <w:color w:val="000000"/>
                <w:sz w:val="24"/>
              </w:rPr>
              <w:t>SCP001</w:t>
            </w:r>
          </w:p>
        </w:tc>
        <w:tc>
          <w:tcPr>
            <w:tcW w:w="1394" w:type="dxa"/>
            <w:vAlign w:val="center"/>
          </w:tcPr>
          <w:p w:rsidR="002C3672" w:rsidRDefault="00C3074C">
            <w:pPr>
              <w:jc w:val="right"/>
            </w:pPr>
            <w:r>
              <w:rPr>
                <w:color w:val="000000"/>
                <w:sz w:val="24"/>
              </w:rPr>
              <w:t>3,000,000</w:t>
            </w:r>
          </w:p>
        </w:tc>
        <w:tc>
          <w:tcPr>
            <w:tcW w:w="1944" w:type="dxa"/>
            <w:vAlign w:val="center"/>
          </w:tcPr>
          <w:p w:rsidR="002C3672" w:rsidRDefault="00C3074C">
            <w:pPr>
              <w:jc w:val="right"/>
            </w:pPr>
            <w:r>
              <w:rPr>
                <w:color w:val="000000"/>
                <w:sz w:val="24"/>
              </w:rPr>
              <w:t>299,760,000.00</w:t>
            </w:r>
          </w:p>
        </w:tc>
        <w:tc>
          <w:tcPr>
            <w:tcW w:w="1389" w:type="dxa"/>
            <w:vAlign w:val="center"/>
          </w:tcPr>
          <w:p w:rsidR="002C3672" w:rsidRDefault="00C3074C">
            <w:pPr>
              <w:jc w:val="right"/>
            </w:pPr>
            <w:r>
              <w:rPr>
                <w:color w:val="000000"/>
                <w:sz w:val="24"/>
              </w:rPr>
              <w:t>8.68</w:t>
            </w:r>
          </w:p>
        </w:tc>
      </w:tr>
      <w:tr w:rsidR="002C3672">
        <w:trPr>
          <w:jc w:val="center"/>
        </w:trPr>
        <w:tc>
          <w:tcPr>
            <w:tcW w:w="1075" w:type="dxa"/>
            <w:vAlign w:val="center"/>
          </w:tcPr>
          <w:p w:rsidR="002C3672" w:rsidRDefault="00C3074C">
            <w:pPr>
              <w:jc w:val="center"/>
            </w:pPr>
            <w:r>
              <w:rPr>
                <w:color w:val="000000"/>
                <w:sz w:val="24"/>
              </w:rPr>
              <w:t>2</w:t>
            </w:r>
          </w:p>
        </w:tc>
        <w:tc>
          <w:tcPr>
            <w:tcW w:w="1533" w:type="dxa"/>
            <w:vAlign w:val="center"/>
          </w:tcPr>
          <w:p w:rsidR="002C3672" w:rsidRDefault="00C3074C">
            <w:pPr>
              <w:jc w:val="center"/>
            </w:pPr>
            <w:r>
              <w:rPr>
                <w:color w:val="000000"/>
                <w:sz w:val="24"/>
              </w:rPr>
              <w:t>11698719</w:t>
            </w:r>
          </w:p>
        </w:tc>
        <w:tc>
          <w:tcPr>
            <w:tcW w:w="1533" w:type="dxa"/>
            <w:vAlign w:val="center"/>
          </w:tcPr>
          <w:p w:rsidR="002C3672" w:rsidRDefault="00C3074C">
            <w:pPr>
              <w:jc w:val="center"/>
            </w:pPr>
            <w:r>
              <w:rPr>
                <w:color w:val="000000"/>
                <w:sz w:val="24"/>
              </w:rPr>
              <w:t>16</w:t>
            </w:r>
            <w:r>
              <w:rPr>
                <w:color w:val="000000"/>
                <w:sz w:val="24"/>
              </w:rPr>
              <w:t>振华</w:t>
            </w:r>
            <w:r>
              <w:rPr>
                <w:color w:val="000000"/>
                <w:sz w:val="24"/>
              </w:rPr>
              <w:t>SCP001</w:t>
            </w:r>
          </w:p>
        </w:tc>
        <w:tc>
          <w:tcPr>
            <w:tcW w:w="1394" w:type="dxa"/>
            <w:vAlign w:val="center"/>
          </w:tcPr>
          <w:p w:rsidR="002C3672" w:rsidRDefault="00C3074C">
            <w:pPr>
              <w:jc w:val="right"/>
            </w:pPr>
            <w:r>
              <w:rPr>
                <w:color w:val="000000"/>
                <w:sz w:val="24"/>
              </w:rPr>
              <w:t>2,000,000</w:t>
            </w:r>
          </w:p>
        </w:tc>
        <w:tc>
          <w:tcPr>
            <w:tcW w:w="1944" w:type="dxa"/>
            <w:vAlign w:val="center"/>
          </w:tcPr>
          <w:p w:rsidR="002C3672" w:rsidRDefault="00C3074C">
            <w:pPr>
              <w:jc w:val="right"/>
            </w:pPr>
            <w:r>
              <w:rPr>
                <w:color w:val="000000"/>
                <w:sz w:val="24"/>
              </w:rPr>
              <w:t>200,600,000.00</w:t>
            </w:r>
          </w:p>
        </w:tc>
        <w:tc>
          <w:tcPr>
            <w:tcW w:w="1389" w:type="dxa"/>
            <w:vAlign w:val="center"/>
          </w:tcPr>
          <w:p w:rsidR="002C3672" w:rsidRDefault="00C3074C">
            <w:pPr>
              <w:jc w:val="right"/>
            </w:pPr>
            <w:r>
              <w:rPr>
                <w:color w:val="000000"/>
                <w:sz w:val="24"/>
              </w:rPr>
              <w:t>5.81</w:t>
            </w:r>
          </w:p>
        </w:tc>
      </w:tr>
      <w:tr w:rsidR="002C3672">
        <w:trPr>
          <w:jc w:val="center"/>
        </w:trPr>
        <w:tc>
          <w:tcPr>
            <w:tcW w:w="1075" w:type="dxa"/>
            <w:vAlign w:val="center"/>
          </w:tcPr>
          <w:p w:rsidR="002C3672" w:rsidRDefault="00C3074C">
            <w:pPr>
              <w:jc w:val="center"/>
            </w:pPr>
            <w:r>
              <w:rPr>
                <w:color w:val="000000"/>
                <w:sz w:val="24"/>
              </w:rPr>
              <w:t>3</w:t>
            </w:r>
          </w:p>
        </w:tc>
        <w:tc>
          <w:tcPr>
            <w:tcW w:w="1533" w:type="dxa"/>
            <w:vAlign w:val="center"/>
          </w:tcPr>
          <w:p w:rsidR="002C3672" w:rsidRDefault="00C3074C">
            <w:pPr>
              <w:jc w:val="center"/>
            </w:pPr>
            <w:r>
              <w:rPr>
                <w:color w:val="000000"/>
                <w:sz w:val="24"/>
              </w:rPr>
              <w:t>170401</w:t>
            </w:r>
          </w:p>
        </w:tc>
        <w:tc>
          <w:tcPr>
            <w:tcW w:w="1533" w:type="dxa"/>
            <w:vAlign w:val="center"/>
          </w:tcPr>
          <w:p w:rsidR="002C3672" w:rsidRDefault="00C3074C">
            <w:pPr>
              <w:jc w:val="center"/>
            </w:pPr>
            <w:r>
              <w:rPr>
                <w:color w:val="000000"/>
                <w:sz w:val="24"/>
              </w:rPr>
              <w:t>17</w:t>
            </w:r>
            <w:r>
              <w:rPr>
                <w:color w:val="000000"/>
                <w:sz w:val="24"/>
              </w:rPr>
              <w:t>农发</w:t>
            </w:r>
            <w:r>
              <w:rPr>
                <w:color w:val="000000"/>
                <w:sz w:val="24"/>
              </w:rPr>
              <w:t>01</w:t>
            </w:r>
          </w:p>
        </w:tc>
        <w:tc>
          <w:tcPr>
            <w:tcW w:w="1394" w:type="dxa"/>
            <w:vAlign w:val="center"/>
          </w:tcPr>
          <w:p w:rsidR="002C3672" w:rsidRDefault="00C3074C">
            <w:pPr>
              <w:jc w:val="right"/>
            </w:pPr>
            <w:r>
              <w:rPr>
                <w:color w:val="000000"/>
                <w:sz w:val="24"/>
              </w:rPr>
              <w:t>1,900,000</w:t>
            </w:r>
          </w:p>
        </w:tc>
        <w:tc>
          <w:tcPr>
            <w:tcW w:w="1944" w:type="dxa"/>
            <w:vAlign w:val="center"/>
          </w:tcPr>
          <w:p w:rsidR="002C3672" w:rsidRDefault="00C3074C">
            <w:pPr>
              <w:jc w:val="right"/>
            </w:pPr>
            <w:r>
              <w:rPr>
                <w:color w:val="000000"/>
                <w:sz w:val="24"/>
              </w:rPr>
              <w:t>189,278,000.00</w:t>
            </w:r>
          </w:p>
        </w:tc>
        <w:tc>
          <w:tcPr>
            <w:tcW w:w="1389" w:type="dxa"/>
            <w:vAlign w:val="center"/>
          </w:tcPr>
          <w:p w:rsidR="002C3672" w:rsidRDefault="00C3074C">
            <w:pPr>
              <w:jc w:val="right"/>
            </w:pPr>
            <w:r>
              <w:rPr>
                <w:color w:val="000000"/>
                <w:sz w:val="24"/>
              </w:rPr>
              <w:t>5.48</w:t>
            </w:r>
          </w:p>
        </w:tc>
      </w:tr>
      <w:tr w:rsidR="002C3672">
        <w:trPr>
          <w:jc w:val="center"/>
        </w:trPr>
        <w:tc>
          <w:tcPr>
            <w:tcW w:w="1075" w:type="dxa"/>
            <w:vAlign w:val="center"/>
          </w:tcPr>
          <w:p w:rsidR="002C3672" w:rsidRDefault="00C3074C">
            <w:pPr>
              <w:jc w:val="center"/>
            </w:pPr>
            <w:r>
              <w:rPr>
                <w:color w:val="000000"/>
                <w:sz w:val="24"/>
              </w:rPr>
              <w:t>4</w:t>
            </w:r>
          </w:p>
        </w:tc>
        <w:tc>
          <w:tcPr>
            <w:tcW w:w="1533" w:type="dxa"/>
            <w:vAlign w:val="center"/>
          </w:tcPr>
          <w:p w:rsidR="002C3672" w:rsidRDefault="00C3074C">
            <w:pPr>
              <w:jc w:val="center"/>
            </w:pPr>
            <w:r>
              <w:rPr>
                <w:color w:val="000000"/>
                <w:sz w:val="24"/>
              </w:rPr>
              <w:t>111613134</w:t>
            </w:r>
          </w:p>
        </w:tc>
        <w:tc>
          <w:tcPr>
            <w:tcW w:w="1533" w:type="dxa"/>
            <w:vAlign w:val="center"/>
          </w:tcPr>
          <w:p w:rsidR="002C3672" w:rsidRDefault="00C3074C">
            <w:pPr>
              <w:jc w:val="center"/>
            </w:pPr>
            <w:r>
              <w:rPr>
                <w:color w:val="000000"/>
                <w:sz w:val="24"/>
              </w:rPr>
              <w:t>16</w:t>
            </w:r>
            <w:r>
              <w:rPr>
                <w:color w:val="000000"/>
                <w:sz w:val="24"/>
              </w:rPr>
              <w:t>浙商</w:t>
            </w:r>
            <w:r>
              <w:rPr>
                <w:color w:val="000000"/>
                <w:sz w:val="24"/>
              </w:rPr>
              <w:t>CD134</w:t>
            </w:r>
          </w:p>
        </w:tc>
        <w:tc>
          <w:tcPr>
            <w:tcW w:w="1394" w:type="dxa"/>
            <w:vAlign w:val="center"/>
          </w:tcPr>
          <w:p w:rsidR="002C3672" w:rsidRDefault="00C3074C">
            <w:pPr>
              <w:jc w:val="right"/>
            </w:pPr>
            <w:r>
              <w:rPr>
                <w:color w:val="000000"/>
                <w:sz w:val="24"/>
              </w:rPr>
              <w:t>1,600,000</w:t>
            </w:r>
          </w:p>
        </w:tc>
        <w:tc>
          <w:tcPr>
            <w:tcW w:w="1944" w:type="dxa"/>
            <w:vAlign w:val="center"/>
          </w:tcPr>
          <w:p w:rsidR="002C3672" w:rsidRDefault="00C3074C">
            <w:pPr>
              <w:jc w:val="right"/>
            </w:pPr>
            <w:r>
              <w:rPr>
                <w:color w:val="000000"/>
                <w:sz w:val="24"/>
              </w:rPr>
              <w:t>154,672,000.00</w:t>
            </w:r>
          </w:p>
        </w:tc>
        <w:tc>
          <w:tcPr>
            <w:tcW w:w="1389" w:type="dxa"/>
            <w:vAlign w:val="center"/>
          </w:tcPr>
          <w:p w:rsidR="002C3672" w:rsidRDefault="00C3074C">
            <w:pPr>
              <w:jc w:val="right"/>
            </w:pPr>
            <w:r>
              <w:rPr>
                <w:color w:val="000000"/>
                <w:sz w:val="24"/>
              </w:rPr>
              <w:t>4.48</w:t>
            </w:r>
          </w:p>
        </w:tc>
      </w:tr>
      <w:tr w:rsidR="002C3672">
        <w:trPr>
          <w:jc w:val="center"/>
        </w:trPr>
        <w:tc>
          <w:tcPr>
            <w:tcW w:w="1075" w:type="dxa"/>
            <w:vAlign w:val="center"/>
          </w:tcPr>
          <w:p w:rsidR="002C3672" w:rsidRDefault="00C3074C">
            <w:pPr>
              <w:jc w:val="center"/>
            </w:pPr>
            <w:r>
              <w:rPr>
                <w:color w:val="000000"/>
                <w:sz w:val="24"/>
              </w:rPr>
              <w:t>5</w:t>
            </w:r>
          </w:p>
        </w:tc>
        <w:tc>
          <w:tcPr>
            <w:tcW w:w="1533" w:type="dxa"/>
            <w:vAlign w:val="center"/>
          </w:tcPr>
          <w:p w:rsidR="002C3672" w:rsidRDefault="00C3074C">
            <w:pPr>
              <w:jc w:val="center"/>
            </w:pPr>
            <w:r>
              <w:rPr>
                <w:color w:val="000000"/>
                <w:sz w:val="24"/>
              </w:rPr>
              <w:t>41751004</w:t>
            </w:r>
          </w:p>
        </w:tc>
        <w:tc>
          <w:tcPr>
            <w:tcW w:w="1533" w:type="dxa"/>
            <w:vAlign w:val="center"/>
          </w:tcPr>
          <w:p w:rsidR="002C3672" w:rsidRDefault="00C3074C">
            <w:pPr>
              <w:jc w:val="center"/>
            </w:pPr>
            <w:r>
              <w:rPr>
                <w:color w:val="000000"/>
                <w:sz w:val="24"/>
              </w:rPr>
              <w:t>17</w:t>
            </w:r>
            <w:r>
              <w:rPr>
                <w:color w:val="000000"/>
                <w:sz w:val="24"/>
              </w:rPr>
              <w:t>深能源</w:t>
            </w:r>
            <w:r>
              <w:rPr>
                <w:color w:val="000000"/>
                <w:sz w:val="24"/>
              </w:rPr>
              <w:t>CP001</w:t>
            </w:r>
          </w:p>
        </w:tc>
        <w:tc>
          <w:tcPr>
            <w:tcW w:w="1394" w:type="dxa"/>
            <w:vAlign w:val="center"/>
          </w:tcPr>
          <w:p w:rsidR="002C3672" w:rsidRDefault="00C3074C">
            <w:pPr>
              <w:jc w:val="right"/>
            </w:pPr>
            <w:r>
              <w:rPr>
                <w:color w:val="000000"/>
                <w:sz w:val="24"/>
              </w:rPr>
              <w:t>1,200,000</w:t>
            </w:r>
          </w:p>
        </w:tc>
        <w:tc>
          <w:tcPr>
            <w:tcW w:w="1944" w:type="dxa"/>
            <w:vAlign w:val="center"/>
          </w:tcPr>
          <w:p w:rsidR="002C3672" w:rsidRDefault="00C3074C">
            <w:pPr>
              <w:jc w:val="right"/>
            </w:pPr>
            <w:r>
              <w:rPr>
                <w:color w:val="000000"/>
                <w:sz w:val="24"/>
              </w:rPr>
              <w:t>120,156,000.00</w:t>
            </w:r>
          </w:p>
        </w:tc>
        <w:tc>
          <w:tcPr>
            <w:tcW w:w="1389" w:type="dxa"/>
            <w:vAlign w:val="center"/>
          </w:tcPr>
          <w:p w:rsidR="002C3672" w:rsidRDefault="00C3074C">
            <w:pPr>
              <w:jc w:val="right"/>
            </w:pPr>
            <w:r>
              <w:rPr>
                <w:color w:val="000000"/>
                <w:sz w:val="24"/>
              </w:rPr>
              <w:t>3.48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87"/>
        <w:gridCol w:w="1453"/>
        <w:gridCol w:w="1405"/>
        <w:gridCol w:w="1466"/>
        <w:gridCol w:w="1716"/>
        <w:gridCol w:w="144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2C3672">
        <w:trPr>
          <w:jc w:val="center"/>
        </w:trPr>
        <w:tc>
          <w:tcPr>
            <w:tcW w:w="0" w:type="auto"/>
            <w:vAlign w:val="center"/>
          </w:tcPr>
          <w:p w:rsidR="002C3672" w:rsidRDefault="00C3074C">
            <w:pPr>
              <w:jc w:val="center"/>
            </w:pPr>
            <w:r>
              <w:rPr>
                <w:color w:val="000000"/>
                <w:sz w:val="24"/>
              </w:rPr>
              <w:t>1</w:t>
            </w:r>
          </w:p>
        </w:tc>
        <w:tc>
          <w:tcPr>
            <w:tcW w:w="0" w:type="auto"/>
            <w:vAlign w:val="center"/>
          </w:tcPr>
          <w:p w:rsidR="002C3672" w:rsidRDefault="00C3074C">
            <w:pPr>
              <w:jc w:val="center"/>
            </w:pPr>
            <w:r>
              <w:rPr>
                <w:color w:val="000000"/>
                <w:sz w:val="24"/>
              </w:rPr>
              <w:t>1789144</w:t>
            </w:r>
          </w:p>
        </w:tc>
        <w:tc>
          <w:tcPr>
            <w:tcW w:w="0" w:type="auto"/>
            <w:vAlign w:val="center"/>
          </w:tcPr>
          <w:p w:rsidR="002C3672" w:rsidRDefault="00C3074C">
            <w:pPr>
              <w:jc w:val="center"/>
            </w:pPr>
            <w:r>
              <w:rPr>
                <w:color w:val="000000"/>
                <w:sz w:val="24"/>
              </w:rPr>
              <w:t>17</w:t>
            </w:r>
            <w:r>
              <w:rPr>
                <w:color w:val="000000"/>
                <w:sz w:val="24"/>
              </w:rPr>
              <w:t>光盈</w:t>
            </w:r>
            <w:r>
              <w:rPr>
                <w:color w:val="000000"/>
                <w:sz w:val="24"/>
              </w:rPr>
              <w:t>2A</w:t>
            </w:r>
          </w:p>
        </w:tc>
        <w:tc>
          <w:tcPr>
            <w:tcW w:w="0" w:type="auto"/>
            <w:vAlign w:val="center"/>
          </w:tcPr>
          <w:p w:rsidR="002C3672" w:rsidRDefault="00C3074C">
            <w:pPr>
              <w:jc w:val="right"/>
            </w:pPr>
            <w:r>
              <w:rPr>
                <w:color w:val="000000"/>
                <w:sz w:val="24"/>
              </w:rPr>
              <w:t>2,000,000</w:t>
            </w:r>
          </w:p>
        </w:tc>
        <w:tc>
          <w:tcPr>
            <w:tcW w:w="0" w:type="auto"/>
            <w:vAlign w:val="center"/>
          </w:tcPr>
          <w:p w:rsidR="002C3672" w:rsidRDefault="00C3074C">
            <w:pPr>
              <w:jc w:val="right"/>
            </w:pPr>
            <w:r>
              <w:rPr>
                <w:color w:val="000000"/>
                <w:sz w:val="24"/>
              </w:rPr>
              <w:t>200,840,000.00</w:t>
            </w:r>
          </w:p>
        </w:tc>
        <w:tc>
          <w:tcPr>
            <w:tcW w:w="0" w:type="auto"/>
            <w:vAlign w:val="center"/>
          </w:tcPr>
          <w:p w:rsidR="002C3672" w:rsidRDefault="00C3074C">
            <w:pPr>
              <w:jc w:val="right"/>
            </w:pPr>
            <w:r>
              <w:rPr>
                <w:color w:val="000000"/>
                <w:sz w:val="24"/>
              </w:rPr>
              <w:t>5.82</w:t>
            </w:r>
          </w:p>
        </w:tc>
      </w:tr>
      <w:tr w:rsidR="002C3672">
        <w:trPr>
          <w:jc w:val="center"/>
        </w:trPr>
        <w:tc>
          <w:tcPr>
            <w:tcW w:w="0" w:type="auto"/>
            <w:vAlign w:val="center"/>
          </w:tcPr>
          <w:p w:rsidR="002C3672" w:rsidRDefault="00C3074C">
            <w:pPr>
              <w:jc w:val="center"/>
            </w:pPr>
            <w:r>
              <w:rPr>
                <w:color w:val="000000"/>
                <w:sz w:val="24"/>
              </w:rPr>
              <w:t>2</w:t>
            </w:r>
          </w:p>
        </w:tc>
        <w:tc>
          <w:tcPr>
            <w:tcW w:w="0" w:type="auto"/>
            <w:vAlign w:val="center"/>
          </w:tcPr>
          <w:p w:rsidR="002C3672" w:rsidRDefault="00C3074C">
            <w:pPr>
              <w:jc w:val="center"/>
            </w:pPr>
            <w:r>
              <w:rPr>
                <w:color w:val="000000"/>
                <w:sz w:val="24"/>
              </w:rPr>
              <w:t>1789147</w:t>
            </w:r>
          </w:p>
        </w:tc>
        <w:tc>
          <w:tcPr>
            <w:tcW w:w="0" w:type="auto"/>
            <w:vAlign w:val="center"/>
          </w:tcPr>
          <w:p w:rsidR="002C3672" w:rsidRDefault="00C3074C">
            <w:pPr>
              <w:jc w:val="center"/>
            </w:pPr>
            <w:r>
              <w:rPr>
                <w:color w:val="000000"/>
                <w:sz w:val="24"/>
              </w:rPr>
              <w:t>17</w:t>
            </w:r>
            <w:r>
              <w:rPr>
                <w:color w:val="000000"/>
                <w:sz w:val="24"/>
              </w:rPr>
              <w:t>开元</w:t>
            </w:r>
            <w:r>
              <w:rPr>
                <w:color w:val="000000"/>
                <w:sz w:val="24"/>
              </w:rPr>
              <w:t>2A1</w:t>
            </w:r>
          </w:p>
        </w:tc>
        <w:tc>
          <w:tcPr>
            <w:tcW w:w="0" w:type="auto"/>
            <w:vAlign w:val="center"/>
          </w:tcPr>
          <w:p w:rsidR="002C3672" w:rsidRDefault="00C3074C">
            <w:pPr>
              <w:jc w:val="right"/>
            </w:pPr>
            <w:r>
              <w:rPr>
                <w:color w:val="000000"/>
                <w:sz w:val="24"/>
              </w:rPr>
              <w:t>1,000,000</w:t>
            </w:r>
          </w:p>
        </w:tc>
        <w:tc>
          <w:tcPr>
            <w:tcW w:w="0" w:type="auto"/>
            <w:vAlign w:val="center"/>
          </w:tcPr>
          <w:p w:rsidR="002C3672" w:rsidRDefault="00C3074C">
            <w:pPr>
              <w:jc w:val="right"/>
            </w:pPr>
            <w:r>
              <w:rPr>
                <w:color w:val="000000"/>
                <w:sz w:val="24"/>
              </w:rPr>
              <w:t>100,090,000.00</w:t>
            </w:r>
          </w:p>
        </w:tc>
        <w:tc>
          <w:tcPr>
            <w:tcW w:w="0" w:type="auto"/>
            <w:vAlign w:val="center"/>
          </w:tcPr>
          <w:p w:rsidR="002C3672" w:rsidRDefault="00C3074C">
            <w:pPr>
              <w:jc w:val="right"/>
            </w:pPr>
            <w:r>
              <w:rPr>
                <w:color w:val="000000"/>
                <w:sz w:val="24"/>
              </w:rPr>
              <w:t>2.90</w:t>
            </w:r>
          </w:p>
        </w:tc>
      </w:tr>
      <w:tr w:rsidR="002C3672">
        <w:trPr>
          <w:jc w:val="center"/>
        </w:trPr>
        <w:tc>
          <w:tcPr>
            <w:tcW w:w="0" w:type="auto"/>
            <w:vAlign w:val="center"/>
          </w:tcPr>
          <w:p w:rsidR="002C3672" w:rsidRDefault="00C3074C">
            <w:pPr>
              <w:jc w:val="center"/>
            </w:pPr>
            <w:r>
              <w:rPr>
                <w:color w:val="000000"/>
                <w:sz w:val="24"/>
              </w:rPr>
              <w:t>3</w:t>
            </w:r>
          </w:p>
        </w:tc>
        <w:tc>
          <w:tcPr>
            <w:tcW w:w="0" w:type="auto"/>
            <w:vAlign w:val="center"/>
          </w:tcPr>
          <w:p w:rsidR="002C3672" w:rsidRDefault="00C3074C">
            <w:pPr>
              <w:jc w:val="center"/>
            </w:pPr>
            <w:r>
              <w:rPr>
                <w:color w:val="000000"/>
                <w:sz w:val="24"/>
              </w:rPr>
              <w:t>1789133</w:t>
            </w:r>
          </w:p>
        </w:tc>
        <w:tc>
          <w:tcPr>
            <w:tcW w:w="0" w:type="auto"/>
            <w:vAlign w:val="center"/>
          </w:tcPr>
          <w:p w:rsidR="002C3672" w:rsidRDefault="00C3074C">
            <w:pPr>
              <w:jc w:val="center"/>
            </w:pPr>
            <w:r>
              <w:rPr>
                <w:color w:val="000000"/>
                <w:sz w:val="24"/>
              </w:rPr>
              <w:t>17</w:t>
            </w:r>
            <w:r>
              <w:rPr>
                <w:color w:val="000000"/>
                <w:sz w:val="24"/>
              </w:rPr>
              <w:t>开元</w:t>
            </w:r>
            <w:r>
              <w:rPr>
                <w:color w:val="000000"/>
                <w:sz w:val="24"/>
              </w:rPr>
              <w:t>1A</w:t>
            </w:r>
          </w:p>
        </w:tc>
        <w:tc>
          <w:tcPr>
            <w:tcW w:w="0" w:type="auto"/>
            <w:vAlign w:val="center"/>
          </w:tcPr>
          <w:p w:rsidR="002C3672" w:rsidRDefault="00C3074C">
            <w:pPr>
              <w:jc w:val="right"/>
            </w:pPr>
            <w:r>
              <w:rPr>
                <w:color w:val="000000"/>
                <w:sz w:val="24"/>
              </w:rPr>
              <w:t>2,000,000</w:t>
            </w:r>
          </w:p>
        </w:tc>
        <w:tc>
          <w:tcPr>
            <w:tcW w:w="0" w:type="auto"/>
            <w:vAlign w:val="center"/>
          </w:tcPr>
          <w:p w:rsidR="002C3672" w:rsidRDefault="00C3074C">
            <w:pPr>
              <w:jc w:val="right"/>
            </w:pPr>
            <w:r>
              <w:rPr>
                <w:color w:val="000000"/>
                <w:sz w:val="24"/>
              </w:rPr>
              <w:t>71,860,000.00</w:t>
            </w:r>
          </w:p>
        </w:tc>
        <w:tc>
          <w:tcPr>
            <w:tcW w:w="0" w:type="auto"/>
            <w:vAlign w:val="center"/>
          </w:tcPr>
          <w:p w:rsidR="002C3672" w:rsidRDefault="00C3074C">
            <w:pPr>
              <w:jc w:val="right"/>
            </w:pPr>
            <w:r>
              <w:rPr>
                <w:color w:val="000000"/>
                <w:sz w:val="24"/>
              </w:rPr>
              <w:t>2.08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37,898,925.98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37,898,925.98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lastRenderedPageBreak/>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3,382,700,997.21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128,159.83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2,577.90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1,489.23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3,382,703,505.63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127,115.35</w:t>
            </w:r>
          </w:p>
        </w:tc>
      </w:tr>
    </w:tbl>
    <w:p w:rsidR="002C3672" w:rsidRDefault="00C3074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E3E56"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7E3E56">
        <w:rPr>
          <w:rFonts w:eastAsiaTheme="minorEastAsia"/>
          <w:color w:val="000000" w:themeColor="text1"/>
          <w:kern w:val="0"/>
          <w:sz w:val="24"/>
          <w:szCs w:val="24"/>
        </w:rPr>
        <w:t xml:space="preserve">§8 </w:t>
      </w:r>
      <w:r w:rsidRPr="007E3E56">
        <w:rPr>
          <w:rFonts w:eastAsiaTheme="minorEastAsia" w:hint="eastAsia"/>
          <w:color w:val="000000" w:themeColor="text1"/>
          <w:kern w:val="0"/>
          <w:sz w:val="24"/>
          <w:szCs w:val="24"/>
        </w:rPr>
        <w:t>影响投资者决策的其他重要信息</w:t>
      </w:r>
    </w:p>
    <w:p w:rsidR="00ED0E09" w:rsidRPr="007E3E56" w:rsidRDefault="00ED0E09" w:rsidP="00ED0E09">
      <w:pPr>
        <w:autoSpaceDE w:val="0"/>
        <w:autoSpaceDN w:val="0"/>
        <w:adjustRightInd w:val="0"/>
        <w:spacing w:line="360" w:lineRule="auto"/>
        <w:jc w:val="left"/>
        <w:rPr>
          <w:b/>
          <w:bCs/>
          <w:color w:val="000000"/>
          <w:kern w:val="0"/>
          <w:sz w:val="24"/>
        </w:rPr>
      </w:pPr>
      <w:r w:rsidRPr="007E3E56">
        <w:rPr>
          <w:b/>
          <w:bCs/>
          <w:color w:val="000000"/>
          <w:kern w:val="0"/>
          <w:sz w:val="24"/>
        </w:rPr>
        <w:t xml:space="preserve">8.1 </w:t>
      </w:r>
      <w:r w:rsidRPr="007E3E56">
        <w:rPr>
          <w:rFonts w:hint="eastAsia"/>
          <w:b/>
          <w:bCs/>
          <w:color w:val="000000"/>
          <w:kern w:val="0"/>
          <w:sz w:val="24"/>
        </w:rPr>
        <w:t>报告期内单一投资者持有基金份额比例达到或超过</w:t>
      </w:r>
      <w:r w:rsidRPr="007E3E56">
        <w:rPr>
          <w:b/>
          <w:bCs/>
          <w:color w:val="000000"/>
          <w:kern w:val="0"/>
          <w:sz w:val="24"/>
        </w:rPr>
        <w:t>20%</w:t>
      </w:r>
      <w:r w:rsidRPr="007E3E56">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7D4153"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投资者类别</w:t>
            </w:r>
            <w:r w:rsidRPr="007E3E56">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报告期末持有基金情况</w:t>
            </w:r>
          </w:p>
        </w:tc>
      </w:tr>
      <w:tr w:rsidR="00ED0E09" w:rsidRPr="007D4153"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持有基金份额</w:t>
            </w:r>
            <w:r w:rsidRPr="007E3E56">
              <w:rPr>
                <w:rFonts w:hint="eastAsia"/>
                <w:color w:val="000000"/>
                <w:kern w:val="0"/>
                <w:sz w:val="24"/>
              </w:rPr>
              <w:lastRenderedPageBreak/>
              <w:t>比例达到或者超过</w:t>
            </w:r>
            <w:r w:rsidRPr="007E3E56">
              <w:rPr>
                <w:color w:val="000000"/>
                <w:kern w:val="0"/>
                <w:sz w:val="24"/>
              </w:rPr>
              <w:t>20%</w:t>
            </w:r>
            <w:r w:rsidRPr="007E3E56">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widowControl/>
              <w:jc w:val="center"/>
              <w:rPr>
                <w:b/>
                <w:bCs/>
                <w:color w:val="000000"/>
                <w:kern w:val="0"/>
                <w:sz w:val="24"/>
              </w:rPr>
            </w:pPr>
            <w:r w:rsidRPr="007E3E56">
              <w:rPr>
                <w:rFonts w:hint="eastAsia"/>
                <w:color w:val="000000"/>
                <w:kern w:val="0"/>
                <w:sz w:val="24"/>
              </w:rPr>
              <w:lastRenderedPageBreak/>
              <w:t>期初</w:t>
            </w:r>
            <w:r w:rsidRPr="007E3E56">
              <w:rPr>
                <w:rFonts w:hint="eastAsia"/>
                <w:color w:val="000000"/>
                <w:kern w:val="0"/>
                <w:sz w:val="24"/>
              </w:rPr>
              <w:lastRenderedPageBreak/>
              <w:t>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widowControl/>
              <w:jc w:val="center"/>
              <w:rPr>
                <w:b/>
                <w:bCs/>
                <w:color w:val="000000"/>
                <w:kern w:val="0"/>
                <w:sz w:val="24"/>
              </w:rPr>
            </w:pPr>
            <w:r w:rsidRPr="007E3E56">
              <w:rPr>
                <w:rFonts w:hint="eastAsia"/>
                <w:color w:val="000000"/>
                <w:kern w:val="0"/>
                <w:sz w:val="24"/>
              </w:rPr>
              <w:lastRenderedPageBreak/>
              <w:t>申购</w:t>
            </w:r>
            <w:r w:rsidRPr="007E3E56">
              <w:rPr>
                <w:rFonts w:hint="eastAsia"/>
                <w:color w:val="000000"/>
                <w:kern w:val="0"/>
                <w:sz w:val="24"/>
              </w:rPr>
              <w:lastRenderedPageBreak/>
              <w:t>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widowControl/>
              <w:jc w:val="center"/>
              <w:rPr>
                <w:b/>
                <w:bCs/>
                <w:color w:val="000000"/>
                <w:kern w:val="0"/>
                <w:sz w:val="24"/>
              </w:rPr>
            </w:pPr>
            <w:r w:rsidRPr="007E3E56">
              <w:rPr>
                <w:rFonts w:hint="eastAsia"/>
                <w:color w:val="000000"/>
                <w:kern w:val="0"/>
                <w:sz w:val="24"/>
              </w:rPr>
              <w:lastRenderedPageBreak/>
              <w:t>赎回份</w:t>
            </w:r>
            <w:r w:rsidRPr="007E3E56">
              <w:rPr>
                <w:rFonts w:hint="eastAsia"/>
                <w:color w:val="000000"/>
                <w:kern w:val="0"/>
                <w:sz w:val="24"/>
              </w:rPr>
              <w:lastRenderedPageBreak/>
              <w:t>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lastRenderedPageBreak/>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7E3E56" w:rsidRDefault="00ED0E09">
            <w:pPr>
              <w:autoSpaceDE w:val="0"/>
              <w:autoSpaceDN w:val="0"/>
              <w:adjustRightInd w:val="0"/>
              <w:jc w:val="center"/>
              <w:rPr>
                <w:b/>
                <w:bCs/>
                <w:color w:val="000000"/>
                <w:kern w:val="0"/>
                <w:sz w:val="24"/>
              </w:rPr>
            </w:pPr>
            <w:r w:rsidRPr="007E3E56">
              <w:rPr>
                <w:rFonts w:hint="eastAsia"/>
                <w:color w:val="000000"/>
                <w:kern w:val="0"/>
                <w:sz w:val="24"/>
              </w:rPr>
              <w:t>份额占</w:t>
            </w:r>
            <w:r w:rsidRPr="007E3E56">
              <w:rPr>
                <w:rFonts w:hint="eastAsia"/>
                <w:color w:val="000000"/>
                <w:kern w:val="0"/>
                <w:sz w:val="24"/>
              </w:rPr>
              <w:lastRenderedPageBreak/>
              <w:t>比</w:t>
            </w:r>
          </w:p>
        </w:tc>
      </w:tr>
      <w:tr w:rsidR="002C3672" w:rsidRPr="007D4153">
        <w:tc>
          <w:tcPr>
            <w:tcW w:w="992" w:type="dxa"/>
            <w:vMerge w:val="restart"/>
          </w:tcPr>
          <w:p w:rsidR="002C3672" w:rsidRPr="007E3E56" w:rsidRDefault="002C3672">
            <w:pPr>
              <w:rPr>
                <w:sz w:val="24"/>
              </w:rPr>
            </w:pPr>
            <w:bookmarkStart w:id="0" w:name="_GoBack" w:colFirst="0" w:colLast="0"/>
          </w:p>
          <w:p w:rsidR="002C3672" w:rsidRPr="007E3E56" w:rsidRDefault="00C3074C">
            <w:pPr>
              <w:rPr>
                <w:sz w:val="24"/>
              </w:rPr>
            </w:pPr>
            <w:r w:rsidRPr="007E3E56">
              <w:rPr>
                <w:rFonts w:hint="eastAsia"/>
                <w:bCs/>
                <w:color w:val="000000"/>
                <w:kern w:val="0"/>
                <w:sz w:val="24"/>
              </w:rPr>
              <w:t>机构</w:t>
            </w:r>
          </w:p>
        </w:tc>
        <w:tc>
          <w:tcPr>
            <w:tcW w:w="991" w:type="dxa"/>
            <w:vAlign w:val="center"/>
          </w:tcPr>
          <w:p w:rsidR="002C3672" w:rsidRPr="007E3E56" w:rsidRDefault="00C3074C">
            <w:pPr>
              <w:jc w:val="center"/>
              <w:rPr>
                <w:sz w:val="24"/>
              </w:rPr>
            </w:pPr>
            <w:r w:rsidRPr="007E3E56">
              <w:rPr>
                <w:color w:val="000000"/>
                <w:kern w:val="0"/>
                <w:sz w:val="24"/>
              </w:rPr>
              <w:t>1</w:t>
            </w:r>
          </w:p>
        </w:tc>
        <w:tc>
          <w:tcPr>
            <w:tcW w:w="1843" w:type="dxa"/>
            <w:vAlign w:val="center"/>
          </w:tcPr>
          <w:p w:rsidR="002C3672" w:rsidRPr="007E3E56" w:rsidRDefault="00C3074C">
            <w:pPr>
              <w:jc w:val="center"/>
              <w:rPr>
                <w:sz w:val="24"/>
              </w:rPr>
            </w:pPr>
            <w:r w:rsidRPr="007E3E56">
              <w:rPr>
                <w:color w:val="000000"/>
                <w:kern w:val="0"/>
                <w:sz w:val="24"/>
              </w:rPr>
              <w:t>2017/4/1-2017/6/30</w:t>
            </w:r>
          </w:p>
        </w:tc>
        <w:tc>
          <w:tcPr>
            <w:tcW w:w="851" w:type="dxa"/>
            <w:vAlign w:val="center"/>
          </w:tcPr>
          <w:p w:rsidR="002C3672" w:rsidRPr="007E3E56" w:rsidRDefault="00C3074C">
            <w:pPr>
              <w:jc w:val="center"/>
              <w:rPr>
                <w:sz w:val="24"/>
              </w:rPr>
            </w:pPr>
            <w:r w:rsidRPr="007E3E56">
              <w:rPr>
                <w:color w:val="000000"/>
                <w:kern w:val="0"/>
                <w:sz w:val="24"/>
              </w:rPr>
              <w:t>3,382,690,550.12</w:t>
            </w:r>
          </w:p>
        </w:tc>
        <w:tc>
          <w:tcPr>
            <w:tcW w:w="850" w:type="dxa"/>
            <w:vAlign w:val="center"/>
          </w:tcPr>
          <w:p w:rsidR="002C3672" w:rsidRPr="007E3E56" w:rsidRDefault="00C3074C">
            <w:pPr>
              <w:jc w:val="center"/>
              <w:rPr>
                <w:sz w:val="24"/>
              </w:rPr>
            </w:pPr>
            <w:r w:rsidRPr="007E3E56">
              <w:rPr>
                <w:color w:val="000000"/>
                <w:kern w:val="0"/>
                <w:sz w:val="24"/>
              </w:rPr>
              <w:t>-</w:t>
            </w:r>
          </w:p>
        </w:tc>
        <w:tc>
          <w:tcPr>
            <w:tcW w:w="1134" w:type="dxa"/>
            <w:vAlign w:val="center"/>
          </w:tcPr>
          <w:p w:rsidR="002C3672" w:rsidRPr="007E3E56" w:rsidRDefault="00C3074C">
            <w:pPr>
              <w:jc w:val="center"/>
              <w:rPr>
                <w:sz w:val="24"/>
              </w:rPr>
            </w:pPr>
            <w:r w:rsidRPr="007E3E56">
              <w:rPr>
                <w:color w:val="000000"/>
                <w:kern w:val="0"/>
                <w:sz w:val="24"/>
              </w:rPr>
              <w:t>-</w:t>
            </w:r>
          </w:p>
        </w:tc>
        <w:tc>
          <w:tcPr>
            <w:tcW w:w="1419" w:type="dxa"/>
            <w:vAlign w:val="center"/>
          </w:tcPr>
          <w:p w:rsidR="002C3672" w:rsidRPr="007E3E56" w:rsidRDefault="00C3074C">
            <w:pPr>
              <w:jc w:val="center"/>
              <w:rPr>
                <w:sz w:val="24"/>
              </w:rPr>
            </w:pPr>
            <w:r w:rsidRPr="007E3E56">
              <w:rPr>
                <w:color w:val="000000"/>
                <w:kern w:val="0"/>
                <w:sz w:val="24"/>
              </w:rPr>
              <w:t>3,382,690,550.12</w:t>
            </w:r>
          </w:p>
        </w:tc>
        <w:tc>
          <w:tcPr>
            <w:tcW w:w="1130" w:type="dxa"/>
            <w:vAlign w:val="center"/>
          </w:tcPr>
          <w:p w:rsidR="002C3672" w:rsidRPr="007E3E56" w:rsidRDefault="00C3074C">
            <w:pPr>
              <w:jc w:val="center"/>
              <w:rPr>
                <w:sz w:val="24"/>
              </w:rPr>
            </w:pPr>
            <w:r w:rsidRPr="007E3E56">
              <w:rPr>
                <w:color w:val="000000"/>
                <w:kern w:val="0"/>
                <w:sz w:val="24"/>
              </w:rPr>
              <w:t>100.00%</w:t>
            </w:r>
          </w:p>
        </w:tc>
      </w:tr>
    </w:tbl>
    <w:bookmarkEnd w:id="0"/>
    <w:p w:rsidR="00ED0E09" w:rsidRPr="007E3E56" w:rsidRDefault="00ED0E09" w:rsidP="00ED0E09">
      <w:pPr>
        <w:autoSpaceDE w:val="0"/>
        <w:autoSpaceDN w:val="0"/>
        <w:adjustRightInd w:val="0"/>
        <w:spacing w:line="360" w:lineRule="auto"/>
        <w:jc w:val="left"/>
        <w:rPr>
          <w:bCs/>
          <w:color w:val="000000"/>
          <w:kern w:val="0"/>
          <w:sz w:val="24"/>
        </w:rPr>
      </w:pPr>
      <w:r w:rsidRPr="007E3E56">
        <w:rPr>
          <w:rFonts w:hint="eastAsia"/>
          <w:bCs/>
          <w:color w:val="000000"/>
          <w:kern w:val="0"/>
          <w:sz w:val="24"/>
        </w:rPr>
        <w:t>注：本基金本报告期内出现单一投资者持有基金份额比例超过基金总份额</w:t>
      </w:r>
      <w:r w:rsidRPr="007E3E56">
        <w:rPr>
          <w:bCs/>
          <w:color w:val="000000"/>
          <w:kern w:val="0"/>
          <w:sz w:val="24"/>
        </w:rPr>
        <w:t>20%</w:t>
      </w:r>
      <w:r w:rsidRPr="007E3E56">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C3672" w:rsidRDefault="00C3074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7A" w:rsidRDefault="002A117A">
      <w:r>
        <w:separator/>
      </w:r>
    </w:p>
  </w:endnote>
  <w:endnote w:type="continuationSeparator" w:id="0">
    <w:p w:rsidR="002A117A" w:rsidRDefault="002A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7E3E56">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7E3E56">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7A" w:rsidRDefault="002A117A">
      <w:r>
        <w:separator/>
      </w:r>
    </w:p>
  </w:footnote>
  <w:footnote w:type="continuationSeparator" w:id="0">
    <w:p w:rsidR="002A117A" w:rsidRDefault="002A1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A117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35A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17A"/>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72"/>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75C0"/>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153"/>
    <w:rsid w:val="007D440B"/>
    <w:rsid w:val="007D62F9"/>
    <w:rsid w:val="007D63A4"/>
    <w:rsid w:val="007D6FFB"/>
    <w:rsid w:val="007D732D"/>
    <w:rsid w:val="007D741B"/>
    <w:rsid w:val="007E0F19"/>
    <w:rsid w:val="007E2A84"/>
    <w:rsid w:val="007E2BA4"/>
    <w:rsid w:val="007E3E56"/>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07F7C"/>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5F4"/>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74C"/>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B96"/>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841D64B0-0B03-43FD-B74F-170AEE4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3093-D46D-49D6-A20D-2E51D42E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205</TotalTime>
  <Pages>1</Pages>
  <Words>1147</Words>
  <Characters>6539</Characters>
  <Application>Microsoft Office Word</Application>
  <DocSecurity>0</DocSecurity>
  <Lines>54</Lines>
  <Paragraphs>15</Paragraphs>
  <ScaleCrop>false</ScaleCrop>
  <Company>TRT. Ltd. Co.</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2017-07-18T03:23:00Z</dcterms:modified>
</cp:coreProperties>
</file>