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997,036,655.03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519776</w:t>
            </w:r>
          </w:p>
        </w:tc>
        <w:tc>
          <w:tcPr>
            <w:tcW w:w="3048" w:type="dxa"/>
            <w:vAlign w:val="center"/>
          </w:tcPr>
          <w:p w:rsidR="00C23B30" w:rsidRPr="000E4C40" w:rsidRDefault="00C23B30" w:rsidP="00A52A9E">
            <w:pPr>
              <w:spacing w:before="29" w:line="288" w:lineRule="auto"/>
              <w:jc w:val="left"/>
              <w:rPr>
                <w:sz w:val="24"/>
              </w:rPr>
            </w:pPr>
            <w:r w:rsidRPr="000E4C40">
              <w:rPr>
                <w:sz w:val="24"/>
              </w:rPr>
              <w:t>519777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997,022,731.02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13,924.01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交银裕盈纯债债券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交银裕盈纯债债券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10,967,989.31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133.89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7,986,065.14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97.79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1,011,779,740.72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14,098.47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1.013</w:t>
            </w:r>
          </w:p>
        </w:tc>
      </w:tr>
    </w:tbl>
    <w:p w:rsidR="00F651B8" w:rsidRDefault="00BD753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D12AFF">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交银裕盈纯债债券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651B8">
        <w:trPr>
          <w:jc w:val="center"/>
        </w:trPr>
        <w:tc>
          <w:tcPr>
            <w:tcW w:w="1266" w:type="dxa"/>
            <w:vAlign w:val="center"/>
          </w:tcPr>
          <w:p w:rsidR="00F651B8" w:rsidRDefault="00BD753D">
            <w:pPr>
              <w:jc w:val="left"/>
            </w:pPr>
            <w:r>
              <w:rPr>
                <w:color w:val="000000"/>
                <w:sz w:val="24"/>
              </w:rPr>
              <w:t>过去三个月</w:t>
            </w:r>
          </w:p>
        </w:tc>
        <w:tc>
          <w:tcPr>
            <w:tcW w:w="1267" w:type="dxa"/>
            <w:vAlign w:val="center"/>
          </w:tcPr>
          <w:p w:rsidR="00F651B8" w:rsidRDefault="00BD753D">
            <w:pPr>
              <w:jc w:val="center"/>
            </w:pPr>
            <w:r>
              <w:rPr>
                <w:color w:val="000000"/>
                <w:sz w:val="24"/>
              </w:rPr>
              <w:t>0.79%</w:t>
            </w:r>
          </w:p>
        </w:tc>
        <w:tc>
          <w:tcPr>
            <w:tcW w:w="1267" w:type="dxa"/>
            <w:vAlign w:val="center"/>
          </w:tcPr>
          <w:p w:rsidR="00F651B8" w:rsidRDefault="00BD753D">
            <w:pPr>
              <w:jc w:val="center"/>
            </w:pPr>
            <w:r>
              <w:rPr>
                <w:color w:val="000000"/>
                <w:sz w:val="24"/>
              </w:rPr>
              <w:t>0.06%</w:t>
            </w:r>
          </w:p>
        </w:tc>
        <w:tc>
          <w:tcPr>
            <w:tcW w:w="1267" w:type="dxa"/>
            <w:vAlign w:val="center"/>
          </w:tcPr>
          <w:p w:rsidR="00F651B8" w:rsidRDefault="00BD753D">
            <w:pPr>
              <w:jc w:val="center"/>
            </w:pPr>
            <w:r>
              <w:rPr>
                <w:color w:val="000000"/>
                <w:sz w:val="24"/>
              </w:rPr>
              <w:t>-0.88%</w:t>
            </w:r>
          </w:p>
        </w:tc>
        <w:tc>
          <w:tcPr>
            <w:tcW w:w="1267" w:type="dxa"/>
            <w:vAlign w:val="center"/>
          </w:tcPr>
          <w:p w:rsidR="00F651B8" w:rsidRDefault="00BD753D">
            <w:pPr>
              <w:jc w:val="center"/>
            </w:pPr>
            <w:r>
              <w:rPr>
                <w:color w:val="000000"/>
                <w:sz w:val="24"/>
              </w:rPr>
              <w:t>0.08%</w:t>
            </w:r>
          </w:p>
        </w:tc>
        <w:tc>
          <w:tcPr>
            <w:tcW w:w="1267" w:type="dxa"/>
            <w:vAlign w:val="center"/>
          </w:tcPr>
          <w:p w:rsidR="00F651B8" w:rsidRDefault="00BD753D">
            <w:pPr>
              <w:jc w:val="center"/>
            </w:pPr>
            <w:r>
              <w:rPr>
                <w:color w:val="000000"/>
                <w:sz w:val="24"/>
              </w:rPr>
              <w:t>1.67%</w:t>
            </w:r>
          </w:p>
        </w:tc>
        <w:tc>
          <w:tcPr>
            <w:tcW w:w="1267" w:type="dxa"/>
            <w:vAlign w:val="center"/>
          </w:tcPr>
          <w:p w:rsidR="00F651B8" w:rsidRDefault="00BD753D">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交银裕盈纯债债券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651B8">
        <w:trPr>
          <w:jc w:val="center"/>
        </w:trPr>
        <w:tc>
          <w:tcPr>
            <w:tcW w:w="1266" w:type="dxa"/>
            <w:vAlign w:val="center"/>
          </w:tcPr>
          <w:p w:rsidR="00F651B8" w:rsidRDefault="00BD753D">
            <w:pPr>
              <w:jc w:val="left"/>
            </w:pPr>
            <w:r>
              <w:rPr>
                <w:color w:val="000000"/>
                <w:sz w:val="24"/>
              </w:rPr>
              <w:t>过去三个月</w:t>
            </w:r>
          </w:p>
        </w:tc>
        <w:tc>
          <w:tcPr>
            <w:tcW w:w="1267" w:type="dxa"/>
            <w:vAlign w:val="center"/>
          </w:tcPr>
          <w:p w:rsidR="00F651B8" w:rsidRDefault="00BD753D">
            <w:pPr>
              <w:jc w:val="center"/>
            </w:pPr>
            <w:r>
              <w:rPr>
                <w:color w:val="000000"/>
                <w:sz w:val="24"/>
              </w:rPr>
              <w:t>0.70%</w:t>
            </w:r>
          </w:p>
        </w:tc>
        <w:tc>
          <w:tcPr>
            <w:tcW w:w="1267" w:type="dxa"/>
            <w:vAlign w:val="center"/>
          </w:tcPr>
          <w:p w:rsidR="00F651B8" w:rsidRDefault="00BD753D">
            <w:pPr>
              <w:jc w:val="center"/>
            </w:pPr>
            <w:r>
              <w:rPr>
                <w:color w:val="000000"/>
                <w:sz w:val="24"/>
              </w:rPr>
              <w:t>0.06%</w:t>
            </w:r>
          </w:p>
        </w:tc>
        <w:tc>
          <w:tcPr>
            <w:tcW w:w="1267" w:type="dxa"/>
            <w:vAlign w:val="center"/>
          </w:tcPr>
          <w:p w:rsidR="00F651B8" w:rsidRDefault="00BD753D">
            <w:pPr>
              <w:jc w:val="center"/>
            </w:pPr>
            <w:r>
              <w:rPr>
                <w:color w:val="000000"/>
                <w:sz w:val="24"/>
              </w:rPr>
              <w:t>-0.88%</w:t>
            </w:r>
          </w:p>
        </w:tc>
        <w:tc>
          <w:tcPr>
            <w:tcW w:w="1267" w:type="dxa"/>
            <w:vAlign w:val="center"/>
          </w:tcPr>
          <w:p w:rsidR="00F651B8" w:rsidRDefault="00BD753D">
            <w:pPr>
              <w:jc w:val="center"/>
            </w:pPr>
            <w:r>
              <w:rPr>
                <w:color w:val="000000"/>
                <w:sz w:val="24"/>
              </w:rPr>
              <w:t>0.08%</w:t>
            </w:r>
          </w:p>
        </w:tc>
        <w:tc>
          <w:tcPr>
            <w:tcW w:w="1267" w:type="dxa"/>
            <w:vAlign w:val="center"/>
          </w:tcPr>
          <w:p w:rsidR="00F651B8" w:rsidRDefault="00BD753D">
            <w:pPr>
              <w:jc w:val="center"/>
            </w:pPr>
            <w:r>
              <w:rPr>
                <w:color w:val="000000"/>
                <w:sz w:val="24"/>
              </w:rPr>
              <w:t>1.58%</w:t>
            </w:r>
          </w:p>
        </w:tc>
        <w:tc>
          <w:tcPr>
            <w:tcW w:w="1267" w:type="dxa"/>
            <w:vAlign w:val="center"/>
          </w:tcPr>
          <w:p w:rsidR="00F651B8" w:rsidRDefault="00BD753D">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交银施罗德裕盈纯债债券型证券投资基金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交银裕盈纯债债券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D16D22">
        <w:trPr>
          <w:jc w:val="center"/>
        </w:trPr>
        <w:tc>
          <w:tcPr>
            <w:tcW w:w="94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2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02"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45"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51"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D16D22">
        <w:trPr>
          <w:jc w:val="center"/>
        </w:trPr>
        <w:tc>
          <w:tcPr>
            <w:tcW w:w="94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2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02"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45"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51"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651B8">
        <w:trPr>
          <w:jc w:val="center"/>
        </w:trPr>
        <w:tc>
          <w:tcPr>
            <w:tcW w:w="946" w:type="dxa"/>
            <w:vAlign w:val="center"/>
          </w:tcPr>
          <w:p w:rsidR="00F651B8" w:rsidRDefault="00BD753D">
            <w:pPr>
              <w:jc w:val="center"/>
            </w:pPr>
            <w:r>
              <w:rPr>
                <w:color w:val="000000"/>
                <w:sz w:val="24"/>
              </w:rPr>
              <w:t>连端清</w:t>
            </w:r>
          </w:p>
        </w:tc>
        <w:tc>
          <w:tcPr>
            <w:tcW w:w="924" w:type="dxa"/>
            <w:vAlign w:val="center"/>
          </w:tcPr>
          <w:p w:rsidR="00F651B8" w:rsidRDefault="00BD753D">
            <w:pPr>
              <w:jc w:val="center"/>
            </w:pPr>
            <w:r>
              <w:rPr>
                <w:color w:val="000000"/>
                <w:sz w:val="24"/>
              </w:rPr>
              <w:t>交银货币、交银理财</w:t>
            </w:r>
            <w:r>
              <w:rPr>
                <w:color w:val="000000"/>
                <w:sz w:val="24"/>
              </w:rPr>
              <w:t>60</w:t>
            </w:r>
            <w:r>
              <w:rPr>
                <w:color w:val="000000"/>
                <w:sz w:val="24"/>
              </w:rPr>
              <w:t>天债券、交银丰盈收益债券、</w:t>
            </w:r>
            <w:r>
              <w:rPr>
                <w:color w:val="000000"/>
                <w:sz w:val="24"/>
              </w:rPr>
              <w:lastRenderedPageBreak/>
              <w:t>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202" w:type="dxa"/>
            <w:vAlign w:val="center"/>
          </w:tcPr>
          <w:p w:rsidR="00F651B8" w:rsidRDefault="00BD753D">
            <w:pPr>
              <w:jc w:val="center"/>
            </w:pPr>
            <w:r>
              <w:rPr>
                <w:color w:val="000000"/>
                <w:sz w:val="24"/>
              </w:rPr>
              <w:lastRenderedPageBreak/>
              <w:t>2017-03-31</w:t>
            </w:r>
          </w:p>
        </w:tc>
        <w:tc>
          <w:tcPr>
            <w:tcW w:w="1300" w:type="dxa"/>
            <w:vAlign w:val="center"/>
          </w:tcPr>
          <w:p w:rsidR="00F651B8" w:rsidRDefault="00BD753D">
            <w:pPr>
              <w:jc w:val="center"/>
            </w:pPr>
            <w:r>
              <w:rPr>
                <w:color w:val="000000"/>
                <w:sz w:val="24"/>
              </w:rPr>
              <w:t>-</w:t>
            </w:r>
          </w:p>
        </w:tc>
        <w:tc>
          <w:tcPr>
            <w:tcW w:w="1245" w:type="dxa"/>
            <w:vAlign w:val="center"/>
          </w:tcPr>
          <w:p w:rsidR="00F651B8" w:rsidRDefault="00BD753D">
            <w:pPr>
              <w:jc w:val="center"/>
            </w:pPr>
            <w:r>
              <w:rPr>
                <w:color w:val="000000"/>
                <w:sz w:val="24"/>
              </w:rPr>
              <w:t>4</w:t>
            </w:r>
            <w:r>
              <w:rPr>
                <w:color w:val="000000"/>
                <w:sz w:val="24"/>
              </w:rPr>
              <w:t>年</w:t>
            </w:r>
          </w:p>
        </w:tc>
        <w:tc>
          <w:tcPr>
            <w:tcW w:w="3251" w:type="dxa"/>
            <w:vAlign w:val="center"/>
          </w:tcPr>
          <w:p w:rsidR="00F651B8" w:rsidRDefault="00BD753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773A88" w:rsidRDefault="00773A88" w:rsidP="00773A88">
      <w:pPr>
        <w:spacing w:before="29" w:line="288" w:lineRule="auto"/>
        <w:rPr>
          <w:color w:val="000000"/>
          <w:sz w:val="24"/>
        </w:rPr>
      </w:pPr>
      <w:r>
        <w:rPr>
          <w:rFonts w:hint="eastAsia"/>
          <w:color w:val="000000"/>
          <w:sz w:val="24"/>
        </w:rPr>
        <w:lastRenderedPageBreak/>
        <w:t>注：</w:t>
      </w:r>
      <w:r>
        <w:rPr>
          <w:color w:val="000000"/>
          <w:sz w:val="24"/>
        </w:rPr>
        <w:t>1</w:t>
      </w:r>
      <w:r>
        <w:rPr>
          <w:rFonts w:hint="eastAsia"/>
          <w:color w:val="000000"/>
          <w:sz w:val="24"/>
        </w:rPr>
        <w:t>、本表所列基金经理（助理）任职日期和离职日期均以基金合同生效日或公司作出决定并公告</w:t>
      </w:r>
      <w:r>
        <w:rPr>
          <w:color w:val="000000"/>
          <w:sz w:val="24"/>
        </w:rPr>
        <w:t>(</w:t>
      </w:r>
      <w:r>
        <w:rPr>
          <w:rFonts w:hint="eastAsia"/>
          <w:color w:val="000000"/>
          <w:sz w:val="24"/>
        </w:rPr>
        <w:t>如适用</w:t>
      </w:r>
      <w:r>
        <w:rPr>
          <w:color w:val="000000"/>
          <w:sz w:val="24"/>
        </w:rPr>
        <w:t>)</w:t>
      </w:r>
      <w:r>
        <w:rPr>
          <w:rFonts w:hint="eastAsia"/>
          <w:color w:val="000000"/>
          <w:sz w:val="24"/>
        </w:rPr>
        <w:t>之日为准；</w:t>
      </w:r>
    </w:p>
    <w:p w:rsidR="00773A88" w:rsidRDefault="00773A88" w:rsidP="00773A88">
      <w:pPr>
        <w:spacing w:before="29" w:line="288" w:lineRule="auto"/>
        <w:ind w:firstLineChars="200" w:firstLine="480"/>
        <w:rPr>
          <w:color w:val="000000"/>
          <w:sz w:val="24"/>
        </w:rPr>
      </w:pPr>
      <w:r>
        <w:rPr>
          <w:color w:val="000000"/>
          <w:sz w:val="24"/>
        </w:rPr>
        <w:t>2</w:t>
      </w:r>
      <w:r>
        <w:rPr>
          <w:rFonts w:hint="eastAsia"/>
          <w:color w:val="000000"/>
          <w:sz w:val="24"/>
        </w:rPr>
        <w:t>、本表所列基金经理（助理）证券从业年限中的</w:t>
      </w:r>
      <w:r>
        <w:rPr>
          <w:color w:val="000000"/>
          <w:sz w:val="24"/>
        </w:rPr>
        <w:t>“</w:t>
      </w:r>
      <w:r>
        <w:rPr>
          <w:rFonts w:hint="eastAsia"/>
          <w:color w:val="000000"/>
          <w:sz w:val="24"/>
        </w:rPr>
        <w:t>证券从业</w:t>
      </w:r>
      <w:r>
        <w:rPr>
          <w:color w:val="000000"/>
          <w:sz w:val="24"/>
        </w:rPr>
        <w:t>”</w:t>
      </w:r>
      <w:r>
        <w:rPr>
          <w:rFonts w:hint="eastAsia"/>
          <w:color w:val="000000"/>
          <w:sz w:val="24"/>
        </w:rPr>
        <w:t>的含义遵从中国证券业协会《证券业从业人员资格管理办法》的相关规定；</w:t>
      </w:r>
      <w:r>
        <w:rPr>
          <w:color w:val="000000"/>
          <w:sz w:val="24"/>
        </w:rPr>
        <w:t xml:space="preserve"> </w:t>
      </w:r>
    </w:p>
    <w:p w:rsidR="00773A88" w:rsidRDefault="00773A88" w:rsidP="00773A88">
      <w:pPr>
        <w:spacing w:before="29" w:line="288" w:lineRule="auto"/>
        <w:ind w:firstLineChars="200" w:firstLine="480"/>
        <w:rPr>
          <w:color w:val="000000"/>
          <w:sz w:val="24"/>
        </w:rPr>
      </w:pPr>
      <w:r>
        <w:rPr>
          <w:color w:val="000000"/>
          <w:sz w:val="24"/>
        </w:rPr>
        <w:t>3</w:t>
      </w:r>
      <w:r>
        <w:rPr>
          <w:rFonts w:hint="eastAsia"/>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651B8" w:rsidRDefault="00BD753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651B8" w:rsidRDefault="00BD753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651B8" w:rsidRDefault="00BD753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651B8" w:rsidRDefault="00BD753D">
      <w:pPr>
        <w:spacing w:before="29" w:line="288" w:lineRule="auto"/>
        <w:ind w:firstLineChars="200" w:firstLine="480"/>
        <w:rPr>
          <w:color w:val="000000"/>
          <w:sz w:val="24"/>
        </w:rPr>
      </w:pPr>
      <w:r>
        <w:rPr>
          <w:color w:val="000000"/>
          <w:sz w:val="24"/>
        </w:rPr>
        <w:lastRenderedPageBreak/>
        <w:t>2017</w:t>
      </w:r>
      <w:r>
        <w:rPr>
          <w:color w:val="000000"/>
          <w:sz w:val="24"/>
        </w:rPr>
        <w:t>年二季度，国内经济整体平稳，但已运行至小周期的高点。随着楼市调控政策进一步加码，银行对住房按揭贷款趋向谨慎，房地产投资同比增速在四月份上升至</w:t>
      </w:r>
      <w:r>
        <w:rPr>
          <w:color w:val="000000"/>
          <w:sz w:val="24"/>
        </w:rPr>
        <w:t>9.3%</w:t>
      </w:r>
      <w:r>
        <w:rPr>
          <w:color w:val="000000"/>
          <w:sz w:val="24"/>
        </w:rPr>
        <w:t>的高点后开始下行。二季度，中采制造业</w:t>
      </w:r>
      <w:r>
        <w:rPr>
          <w:color w:val="000000"/>
          <w:sz w:val="24"/>
        </w:rPr>
        <w:t>PMI</w:t>
      </w:r>
      <w:r>
        <w:rPr>
          <w:color w:val="000000"/>
          <w:sz w:val="24"/>
        </w:rPr>
        <w:t>从三月份的高点下行之后出现高位震荡，</w:t>
      </w:r>
      <w:r>
        <w:rPr>
          <w:color w:val="000000"/>
          <w:sz w:val="24"/>
        </w:rPr>
        <w:t>PPI</w:t>
      </w:r>
      <w:r>
        <w:rPr>
          <w:color w:val="000000"/>
          <w:sz w:val="24"/>
        </w:rPr>
        <w:t>呈逐步下行走势。鉴于国内经济形势相对稳定，但金融泡沫较大，且美联储上半年加息节奏加快，二季度银监会等三会强化金融行业监管，旨在降低金融市场风险，给市场造成了影响。为配合三会强化金融监管，央行二季度货币政策转向</w:t>
      </w:r>
      <w:r>
        <w:rPr>
          <w:color w:val="000000"/>
          <w:sz w:val="24"/>
        </w:rPr>
        <w:t>“</w:t>
      </w:r>
      <w:r>
        <w:rPr>
          <w:color w:val="000000"/>
          <w:sz w:val="24"/>
        </w:rPr>
        <w:t>不松不紧</w:t>
      </w:r>
      <w:r>
        <w:rPr>
          <w:color w:val="000000"/>
          <w:sz w:val="24"/>
        </w:rPr>
        <w:t>”</w:t>
      </w:r>
      <w:r>
        <w:rPr>
          <w:color w:val="000000"/>
          <w:sz w:val="24"/>
        </w:rPr>
        <w:t>，加大了市场维稳力度。央行公开市场净投放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亿元，主动引导市场机构对六月资金面向好的预期。</w:t>
      </w:r>
    </w:p>
    <w:p w:rsidR="00F651B8" w:rsidRDefault="00BD753D">
      <w:pPr>
        <w:spacing w:before="29" w:line="288" w:lineRule="auto"/>
        <w:ind w:firstLineChars="200" w:firstLine="480"/>
        <w:rPr>
          <w:color w:val="000000"/>
          <w:sz w:val="24"/>
        </w:rPr>
      </w:pPr>
      <w:r>
        <w:rPr>
          <w:color w:val="000000"/>
          <w:sz w:val="24"/>
        </w:rPr>
        <w:t>资金面上，受央行维稳金融市场影响，二季度市场资金面进一步好转，但是资金价格中枢继续上移，六月末</w:t>
      </w:r>
      <w:r>
        <w:rPr>
          <w:color w:val="000000"/>
          <w:sz w:val="24"/>
        </w:rPr>
        <w:t>R001</w:t>
      </w:r>
      <w:r>
        <w:rPr>
          <w:color w:val="000000"/>
          <w:sz w:val="24"/>
        </w:rPr>
        <w:t>较一季末上升</w:t>
      </w:r>
      <w:r>
        <w:rPr>
          <w:color w:val="000000"/>
          <w:sz w:val="24"/>
        </w:rPr>
        <w:t>30BP</w:t>
      </w:r>
      <w:r>
        <w:rPr>
          <w:color w:val="000000"/>
          <w:sz w:val="24"/>
        </w:rPr>
        <w:t>以上。受经济稳定、三会加强金融监管以及六月资金面显著好于市场预期等因素交替冲击，二季度债市经历四、五月份的大幅下跌之后，在六月份迎来回暖行情。其中，六月底银行间市场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F651B8" w:rsidRDefault="00BD753D">
      <w:pPr>
        <w:spacing w:before="29" w:line="288" w:lineRule="auto"/>
        <w:ind w:firstLineChars="200" w:firstLine="480"/>
        <w:rPr>
          <w:color w:val="000000"/>
          <w:sz w:val="24"/>
        </w:rPr>
      </w:pPr>
      <w:r>
        <w:rPr>
          <w:color w:val="000000"/>
          <w:sz w:val="24"/>
        </w:rPr>
        <w:t>基金操作方面，报告期内本基金继续加强信用风险管控，顺应市场走势调整持仓债券，降低组合杠杆与久期，努力为持有人创造稳健的回报。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尽管国内经济已处于小周期高点，但是考虑本轮楼市调控因城施策特色、国内消费对经济增长贡献的提升以及发达经济体保持向好势头等因素，除非房地产投资出现大幅下滑，否则短期内国内经济整体上保持高位企稳的概率较大。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尽力控制信用风险，积极跟踪把握市场节奏，继续调整部分债券，力求保持合适的组合久期，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日，交银裕盈纯债</w:t>
      </w:r>
      <w:r w:rsidRPr="007F52FA">
        <w:rPr>
          <w:color w:val="000000"/>
          <w:sz w:val="24"/>
        </w:rPr>
        <w:t>A</w:t>
      </w:r>
      <w:r w:rsidRPr="007F52FA">
        <w:rPr>
          <w:color w:val="000000"/>
          <w:sz w:val="24"/>
        </w:rPr>
        <w:t>份额净值为</w:t>
      </w:r>
      <w:r w:rsidRPr="007F52FA">
        <w:rPr>
          <w:color w:val="000000"/>
          <w:sz w:val="24"/>
        </w:rPr>
        <w:t>1.015</w:t>
      </w:r>
      <w:r w:rsidRPr="007F52FA">
        <w:rPr>
          <w:color w:val="000000"/>
          <w:sz w:val="24"/>
        </w:rPr>
        <w:t>元，本报告期份额净值增长率为</w:t>
      </w:r>
      <w:r w:rsidRPr="007F52FA">
        <w:rPr>
          <w:color w:val="000000"/>
          <w:sz w:val="24"/>
        </w:rPr>
        <w:t>0.79%</w:t>
      </w:r>
      <w:r w:rsidRPr="007F52FA">
        <w:rPr>
          <w:color w:val="000000"/>
          <w:sz w:val="24"/>
        </w:rPr>
        <w:t>，同期业绩比较基准增长率为</w:t>
      </w:r>
      <w:r w:rsidRPr="007F52FA">
        <w:rPr>
          <w:color w:val="000000"/>
          <w:sz w:val="24"/>
        </w:rPr>
        <w:t>-0.88%</w:t>
      </w:r>
      <w:r w:rsidRPr="007F52FA">
        <w:rPr>
          <w:color w:val="000000"/>
          <w:sz w:val="24"/>
        </w:rPr>
        <w:t>；交银裕盈纯债</w:t>
      </w:r>
      <w:r w:rsidRPr="007F52FA">
        <w:rPr>
          <w:color w:val="000000"/>
          <w:sz w:val="24"/>
        </w:rPr>
        <w:t>C</w:t>
      </w:r>
      <w:r w:rsidRPr="007F52FA">
        <w:rPr>
          <w:color w:val="000000"/>
          <w:sz w:val="24"/>
        </w:rPr>
        <w:t>份额净值为</w:t>
      </w:r>
      <w:r w:rsidRPr="007F52FA">
        <w:rPr>
          <w:color w:val="000000"/>
          <w:sz w:val="24"/>
        </w:rPr>
        <w:t>1.013</w:t>
      </w:r>
      <w:r w:rsidRPr="007F52FA">
        <w:rPr>
          <w:color w:val="000000"/>
          <w:sz w:val="24"/>
        </w:rPr>
        <w:t>元，本报告期份额净值增长率为</w:t>
      </w:r>
      <w:r w:rsidRPr="007F52FA">
        <w:rPr>
          <w:color w:val="000000"/>
          <w:sz w:val="24"/>
        </w:rPr>
        <w:t>0.70%</w:t>
      </w:r>
      <w:r w:rsidRPr="007F52FA">
        <w:rPr>
          <w:color w:val="000000"/>
          <w:sz w:val="24"/>
        </w:rPr>
        <w:t>，同期业绩比较基准增长率为</w:t>
      </w:r>
      <w:r w:rsidRPr="007F52FA">
        <w:rPr>
          <w:color w:val="000000"/>
          <w:sz w:val="24"/>
        </w:rPr>
        <w:t>-0.88%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本基金本报告期内曾连续二十个工作日以上出现基金份额持有人数量不满二百人的情形，但截至本报告期末，本基金基金份额持有人数量已高于二百人。</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950,688,500.00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950,688,500.00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44,700,132.35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3,775,857.99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13,153,039.07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1.30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1,012,317,529.41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200A5" w:rsidRPr="007F52FA" w:rsidRDefault="001200A5"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118,444,000.00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118,444,000.00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36,864,000.00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120,299,000.00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577,261,500.00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57.05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97,820,000.00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9.67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950,688,500.00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93.96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651B8">
        <w:trPr>
          <w:jc w:val="center"/>
        </w:trPr>
        <w:tc>
          <w:tcPr>
            <w:tcW w:w="1075" w:type="dxa"/>
            <w:vAlign w:val="center"/>
          </w:tcPr>
          <w:p w:rsidR="00F651B8" w:rsidRDefault="00BD753D">
            <w:pPr>
              <w:jc w:val="center"/>
            </w:pPr>
            <w:r>
              <w:rPr>
                <w:color w:val="000000"/>
                <w:sz w:val="24"/>
              </w:rPr>
              <w:t>1</w:t>
            </w:r>
          </w:p>
        </w:tc>
        <w:tc>
          <w:tcPr>
            <w:tcW w:w="1533" w:type="dxa"/>
            <w:vAlign w:val="center"/>
          </w:tcPr>
          <w:p w:rsidR="00F651B8" w:rsidRDefault="00BD753D">
            <w:pPr>
              <w:jc w:val="center"/>
            </w:pPr>
            <w:r>
              <w:rPr>
                <w:color w:val="000000"/>
                <w:sz w:val="24"/>
              </w:rPr>
              <w:t>111792617</w:t>
            </w:r>
          </w:p>
        </w:tc>
        <w:tc>
          <w:tcPr>
            <w:tcW w:w="1533" w:type="dxa"/>
            <w:vAlign w:val="center"/>
          </w:tcPr>
          <w:p w:rsidR="00F651B8" w:rsidRDefault="00BD753D">
            <w:pPr>
              <w:jc w:val="center"/>
            </w:pPr>
            <w:r>
              <w:rPr>
                <w:color w:val="000000"/>
                <w:sz w:val="24"/>
              </w:rPr>
              <w:t>17</w:t>
            </w:r>
            <w:r>
              <w:rPr>
                <w:color w:val="000000"/>
                <w:sz w:val="24"/>
              </w:rPr>
              <w:t>广州农村商业银行</w:t>
            </w:r>
            <w:r>
              <w:rPr>
                <w:color w:val="000000"/>
                <w:sz w:val="24"/>
              </w:rPr>
              <w:t>CD025</w:t>
            </w:r>
          </w:p>
        </w:tc>
        <w:tc>
          <w:tcPr>
            <w:tcW w:w="1394" w:type="dxa"/>
            <w:vAlign w:val="center"/>
          </w:tcPr>
          <w:p w:rsidR="00F651B8" w:rsidRDefault="00BD753D">
            <w:pPr>
              <w:jc w:val="right"/>
            </w:pPr>
            <w:r>
              <w:rPr>
                <w:color w:val="000000"/>
                <w:sz w:val="24"/>
              </w:rPr>
              <w:t>1,000,000</w:t>
            </w:r>
          </w:p>
        </w:tc>
        <w:tc>
          <w:tcPr>
            <w:tcW w:w="1944" w:type="dxa"/>
            <w:vAlign w:val="center"/>
          </w:tcPr>
          <w:p w:rsidR="00F651B8" w:rsidRDefault="00BD753D">
            <w:pPr>
              <w:jc w:val="right"/>
            </w:pPr>
            <w:r>
              <w:rPr>
                <w:color w:val="000000"/>
                <w:sz w:val="24"/>
              </w:rPr>
              <w:t>97,820,000.00</w:t>
            </w:r>
          </w:p>
        </w:tc>
        <w:tc>
          <w:tcPr>
            <w:tcW w:w="1389" w:type="dxa"/>
            <w:vAlign w:val="center"/>
          </w:tcPr>
          <w:p w:rsidR="00F651B8" w:rsidRDefault="00BD753D">
            <w:pPr>
              <w:jc w:val="right"/>
            </w:pPr>
            <w:r>
              <w:rPr>
                <w:color w:val="000000"/>
                <w:sz w:val="24"/>
              </w:rPr>
              <w:t>9.67</w:t>
            </w:r>
          </w:p>
        </w:tc>
      </w:tr>
      <w:tr w:rsidR="00F651B8">
        <w:trPr>
          <w:jc w:val="center"/>
        </w:trPr>
        <w:tc>
          <w:tcPr>
            <w:tcW w:w="1075" w:type="dxa"/>
            <w:vAlign w:val="center"/>
          </w:tcPr>
          <w:p w:rsidR="00F651B8" w:rsidRDefault="00BD753D">
            <w:pPr>
              <w:jc w:val="center"/>
            </w:pPr>
            <w:r>
              <w:rPr>
                <w:color w:val="000000"/>
                <w:sz w:val="24"/>
              </w:rPr>
              <w:t>2</w:t>
            </w:r>
          </w:p>
        </w:tc>
        <w:tc>
          <w:tcPr>
            <w:tcW w:w="1533" w:type="dxa"/>
            <w:vAlign w:val="center"/>
          </w:tcPr>
          <w:p w:rsidR="00F651B8" w:rsidRDefault="00BD753D">
            <w:pPr>
              <w:jc w:val="center"/>
            </w:pPr>
            <w:r>
              <w:rPr>
                <w:color w:val="000000"/>
                <w:sz w:val="24"/>
              </w:rPr>
              <w:t>101761002</w:t>
            </w:r>
          </w:p>
        </w:tc>
        <w:tc>
          <w:tcPr>
            <w:tcW w:w="1533" w:type="dxa"/>
            <w:vAlign w:val="center"/>
          </w:tcPr>
          <w:p w:rsidR="00F651B8" w:rsidRDefault="00BD753D">
            <w:pPr>
              <w:jc w:val="center"/>
            </w:pPr>
            <w:r>
              <w:rPr>
                <w:color w:val="000000"/>
                <w:sz w:val="24"/>
              </w:rPr>
              <w:t>17</w:t>
            </w:r>
            <w:r>
              <w:rPr>
                <w:color w:val="000000"/>
                <w:sz w:val="24"/>
              </w:rPr>
              <w:t>光大集团</w:t>
            </w:r>
            <w:r>
              <w:rPr>
                <w:color w:val="000000"/>
                <w:sz w:val="24"/>
              </w:rPr>
              <w:t>MTN001</w:t>
            </w:r>
          </w:p>
        </w:tc>
        <w:tc>
          <w:tcPr>
            <w:tcW w:w="1394" w:type="dxa"/>
            <w:vAlign w:val="center"/>
          </w:tcPr>
          <w:p w:rsidR="00F651B8" w:rsidRDefault="00BD753D">
            <w:pPr>
              <w:jc w:val="right"/>
            </w:pPr>
            <w:r>
              <w:rPr>
                <w:color w:val="000000"/>
                <w:sz w:val="24"/>
              </w:rPr>
              <w:t>800,000</w:t>
            </w:r>
          </w:p>
        </w:tc>
        <w:tc>
          <w:tcPr>
            <w:tcW w:w="1944" w:type="dxa"/>
            <w:vAlign w:val="center"/>
          </w:tcPr>
          <w:p w:rsidR="00F651B8" w:rsidRDefault="00BD753D">
            <w:pPr>
              <w:jc w:val="right"/>
            </w:pPr>
            <w:r>
              <w:rPr>
                <w:color w:val="000000"/>
                <w:sz w:val="24"/>
              </w:rPr>
              <w:t>80,112,000.00</w:t>
            </w:r>
          </w:p>
        </w:tc>
        <w:tc>
          <w:tcPr>
            <w:tcW w:w="1389" w:type="dxa"/>
            <w:vAlign w:val="center"/>
          </w:tcPr>
          <w:p w:rsidR="00F651B8" w:rsidRDefault="00BD753D">
            <w:pPr>
              <w:jc w:val="right"/>
            </w:pPr>
            <w:r>
              <w:rPr>
                <w:color w:val="000000"/>
                <w:sz w:val="24"/>
              </w:rPr>
              <w:t>7.92</w:t>
            </w:r>
          </w:p>
        </w:tc>
      </w:tr>
      <w:tr w:rsidR="00F651B8">
        <w:trPr>
          <w:jc w:val="center"/>
        </w:trPr>
        <w:tc>
          <w:tcPr>
            <w:tcW w:w="1075" w:type="dxa"/>
            <w:vAlign w:val="center"/>
          </w:tcPr>
          <w:p w:rsidR="00F651B8" w:rsidRDefault="00BD753D">
            <w:pPr>
              <w:jc w:val="center"/>
            </w:pPr>
            <w:r>
              <w:rPr>
                <w:color w:val="000000"/>
                <w:sz w:val="24"/>
              </w:rPr>
              <w:t>3</w:t>
            </w:r>
          </w:p>
        </w:tc>
        <w:tc>
          <w:tcPr>
            <w:tcW w:w="1533" w:type="dxa"/>
            <w:vAlign w:val="center"/>
          </w:tcPr>
          <w:p w:rsidR="00F651B8" w:rsidRDefault="00BD753D">
            <w:pPr>
              <w:jc w:val="center"/>
            </w:pPr>
            <w:r>
              <w:rPr>
                <w:color w:val="000000"/>
                <w:sz w:val="24"/>
              </w:rPr>
              <w:t>1382162</w:t>
            </w:r>
          </w:p>
        </w:tc>
        <w:tc>
          <w:tcPr>
            <w:tcW w:w="1533" w:type="dxa"/>
            <w:vAlign w:val="center"/>
          </w:tcPr>
          <w:p w:rsidR="00F651B8" w:rsidRDefault="00BD753D">
            <w:pPr>
              <w:jc w:val="center"/>
            </w:pPr>
            <w:r>
              <w:rPr>
                <w:color w:val="000000"/>
                <w:sz w:val="24"/>
              </w:rPr>
              <w:t>13</w:t>
            </w:r>
            <w:r>
              <w:rPr>
                <w:color w:val="000000"/>
                <w:sz w:val="24"/>
              </w:rPr>
              <w:t>粤航运</w:t>
            </w:r>
            <w:r>
              <w:rPr>
                <w:color w:val="000000"/>
                <w:sz w:val="24"/>
              </w:rPr>
              <w:t>MTN1</w:t>
            </w:r>
          </w:p>
        </w:tc>
        <w:tc>
          <w:tcPr>
            <w:tcW w:w="1394" w:type="dxa"/>
            <w:vAlign w:val="center"/>
          </w:tcPr>
          <w:p w:rsidR="00F651B8" w:rsidRDefault="00BD753D">
            <w:pPr>
              <w:jc w:val="right"/>
            </w:pPr>
            <w:r>
              <w:rPr>
                <w:color w:val="000000"/>
                <w:sz w:val="24"/>
              </w:rPr>
              <w:t>500,000</w:t>
            </w:r>
          </w:p>
        </w:tc>
        <w:tc>
          <w:tcPr>
            <w:tcW w:w="1944" w:type="dxa"/>
            <w:vAlign w:val="center"/>
          </w:tcPr>
          <w:p w:rsidR="00F651B8" w:rsidRDefault="00BD753D">
            <w:pPr>
              <w:jc w:val="right"/>
            </w:pPr>
            <w:r>
              <w:rPr>
                <w:color w:val="000000"/>
                <w:sz w:val="24"/>
              </w:rPr>
              <w:t>50,470,000.00</w:t>
            </w:r>
          </w:p>
        </w:tc>
        <w:tc>
          <w:tcPr>
            <w:tcW w:w="1389" w:type="dxa"/>
            <w:vAlign w:val="center"/>
          </w:tcPr>
          <w:p w:rsidR="00F651B8" w:rsidRDefault="00BD753D">
            <w:pPr>
              <w:jc w:val="right"/>
            </w:pPr>
            <w:r>
              <w:rPr>
                <w:color w:val="000000"/>
                <w:sz w:val="24"/>
              </w:rPr>
              <w:t>4.99</w:t>
            </w:r>
          </w:p>
        </w:tc>
      </w:tr>
      <w:tr w:rsidR="00F651B8">
        <w:trPr>
          <w:jc w:val="center"/>
        </w:trPr>
        <w:tc>
          <w:tcPr>
            <w:tcW w:w="1075" w:type="dxa"/>
            <w:vAlign w:val="center"/>
          </w:tcPr>
          <w:p w:rsidR="00F651B8" w:rsidRDefault="00BD753D">
            <w:pPr>
              <w:jc w:val="center"/>
            </w:pPr>
            <w:r>
              <w:rPr>
                <w:color w:val="000000"/>
                <w:sz w:val="24"/>
              </w:rPr>
              <w:t>4</w:t>
            </w:r>
          </w:p>
        </w:tc>
        <w:tc>
          <w:tcPr>
            <w:tcW w:w="1533" w:type="dxa"/>
            <w:vAlign w:val="center"/>
          </w:tcPr>
          <w:p w:rsidR="00F651B8" w:rsidRDefault="00BD753D">
            <w:pPr>
              <w:jc w:val="center"/>
            </w:pPr>
            <w:r>
              <w:rPr>
                <w:color w:val="000000"/>
                <w:sz w:val="24"/>
              </w:rPr>
              <w:t>041654057</w:t>
            </w:r>
          </w:p>
        </w:tc>
        <w:tc>
          <w:tcPr>
            <w:tcW w:w="1533" w:type="dxa"/>
            <w:vAlign w:val="center"/>
          </w:tcPr>
          <w:p w:rsidR="00F651B8" w:rsidRDefault="00BD753D">
            <w:pPr>
              <w:jc w:val="center"/>
            </w:pPr>
            <w:r>
              <w:rPr>
                <w:color w:val="000000"/>
                <w:sz w:val="24"/>
              </w:rPr>
              <w:t>16</w:t>
            </w:r>
            <w:r>
              <w:rPr>
                <w:color w:val="000000"/>
                <w:sz w:val="24"/>
              </w:rPr>
              <w:t>船重</w:t>
            </w:r>
            <w:r>
              <w:rPr>
                <w:color w:val="000000"/>
                <w:sz w:val="24"/>
              </w:rPr>
              <w:t>CP001</w:t>
            </w:r>
          </w:p>
        </w:tc>
        <w:tc>
          <w:tcPr>
            <w:tcW w:w="1394" w:type="dxa"/>
            <w:vAlign w:val="center"/>
          </w:tcPr>
          <w:p w:rsidR="00F651B8" w:rsidRDefault="00BD753D">
            <w:pPr>
              <w:jc w:val="right"/>
            </w:pPr>
            <w:r>
              <w:rPr>
                <w:color w:val="000000"/>
                <w:sz w:val="24"/>
              </w:rPr>
              <w:t>500,000</w:t>
            </w:r>
          </w:p>
        </w:tc>
        <w:tc>
          <w:tcPr>
            <w:tcW w:w="1944" w:type="dxa"/>
            <w:vAlign w:val="center"/>
          </w:tcPr>
          <w:p w:rsidR="00F651B8" w:rsidRDefault="00BD753D">
            <w:pPr>
              <w:jc w:val="right"/>
            </w:pPr>
            <w:r>
              <w:rPr>
                <w:color w:val="000000"/>
                <w:sz w:val="24"/>
              </w:rPr>
              <w:t>50,110,000.00</w:t>
            </w:r>
          </w:p>
        </w:tc>
        <w:tc>
          <w:tcPr>
            <w:tcW w:w="1389" w:type="dxa"/>
            <w:vAlign w:val="center"/>
          </w:tcPr>
          <w:p w:rsidR="00F651B8" w:rsidRDefault="00BD753D">
            <w:pPr>
              <w:jc w:val="right"/>
            </w:pPr>
            <w:r>
              <w:rPr>
                <w:color w:val="000000"/>
                <w:sz w:val="24"/>
              </w:rPr>
              <w:t>4.95</w:t>
            </w:r>
          </w:p>
        </w:tc>
      </w:tr>
      <w:tr w:rsidR="00F651B8">
        <w:trPr>
          <w:jc w:val="center"/>
        </w:trPr>
        <w:tc>
          <w:tcPr>
            <w:tcW w:w="1075" w:type="dxa"/>
            <w:vAlign w:val="center"/>
          </w:tcPr>
          <w:p w:rsidR="00F651B8" w:rsidRDefault="00BD753D">
            <w:pPr>
              <w:jc w:val="center"/>
            </w:pPr>
            <w:r>
              <w:rPr>
                <w:color w:val="000000"/>
                <w:sz w:val="24"/>
              </w:rPr>
              <w:t>5</w:t>
            </w:r>
          </w:p>
        </w:tc>
        <w:tc>
          <w:tcPr>
            <w:tcW w:w="1533" w:type="dxa"/>
            <w:vAlign w:val="center"/>
          </w:tcPr>
          <w:p w:rsidR="00F651B8" w:rsidRDefault="00BD753D">
            <w:pPr>
              <w:jc w:val="center"/>
            </w:pPr>
            <w:r>
              <w:rPr>
                <w:color w:val="000000"/>
                <w:sz w:val="24"/>
              </w:rPr>
              <w:t>150201</w:t>
            </w:r>
          </w:p>
        </w:tc>
        <w:tc>
          <w:tcPr>
            <w:tcW w:w="1533" w:type="dxa"/>
            <w:vAlign w:val="center"/>
          </w:tcPr>
          <w:p w:rsidR="00F651B8" w:rsidRDefault="00BD753D">
            <w:pPr>
              <w:jc w:val="center"/>
            </w:pPr>
            <w:r>
              <w:rPr>
                <w:color w:val="000000"/>
                <w:sz w:val="24"/>
              </w:rPr>
              <w:t>15</w:t>
            </w:r>
            <w:r>
              <w:rPr>
                <w:color w:val="000000"/>
                <w:sz w:val="24"/>
              </w:rPr>
              <w:t>国开</w:t>
            </w:r>
            <w:r>
              <w:rPr>
                <w:color w:val="000000"/>
                <w:sz w:val="24"/>
              </w:rPr>
              <w:t>01</w:t>
            </w:r>
          </w:p>
        </w:tc>
        <w:tc>
          <w:tcPr>
            <w:tcW w:w="1394" w:type="dxa"/>
            <w:vAlign w:val="center"/>
          </w:tcPr>
          <w:p w:rsidR="00F651B8" w:rsidRDefault="00BD753D">
            <w:pPr>
              <w:jc w:val="right"/>
            </w:pPr>
            <w:r>
              <w:rPr>
                <w:color w:val="000000"/>
                <w:sz w:val="24"/>
              </w:rPr>
              <w:t>500,000</w:t>
            </w:r>
          </w:p>
        </w:tc>
        <w:tc>
          <w:tcPr>
            <w:tcW w:w="1944" w:type="dxa"/>
            <w:vAlign w:val="center"/>
          </w:tcPr>
          <w:p w:rsidR="00F651B8" w:rsidRDefault="00BD753D">
            <w:pPr>
              <w:jc w:val="right"/>
            </w:pPr>
            <w:r>
              <w:rPr>
                <w:color w:val="000000"/>
                <w:sz w:val="24"/>
              </w:rPr>
              <w:t>49,995,000.00</w:t>
            </w:r>
          </w:p>
        </w:tc>
        <w:tc>
          <w:tcPr>
            <w:tcW w:w="1389" w:type="dxa"/>
            <w:vAlign w:val="center"/>
          </w:tcPr>
          <w:p w:rsidR="00F651B8" w:rsidRDefault="00BD753D">
            <w:pPr>
              <w:jc w:val="right"/>
            </w:pPr>
            <w:r>
              <w:rPr>
                <w:color w:val="000000"/>
                <w:sz w:val="24"/>
              </w:rPr>
              <w:t>4.94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lastRenderedPageBreak/>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14,827.40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13,138,211.67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13,153,039.07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997,023,039.46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13,347.19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1,885.57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1,683.30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2,194.01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1,106.48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997,022,731.02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13,924.01</w:t>
            </w:r>
          </w:p>
        </w:tc>
      </w:tr>
    </w:tbl>
    <w:p w:rsidR="00F651B8" w:rsidRDefault="00BD753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D12AFF" w:rsidRDefault="00ED0E09" w:rsidP="00BE251D">
      <w:pPr>
        <w:pStyle w:val="1"/>
        <w:spacing w:beforeLines="100" w:before="312" w:afterLines="100" w:after="312" w:line="360" w:lineRule="auto"/>
        <w:jc w:val="center"/>
        <w:rPr>
          <w:rFonts w:eastAsiaTheme="minorEastAsia"/>
          <w:color w:val="000000" w:themeColor="text1"/>
          <w:kern w:val="0"/>
          <w:sz w:val="24"/>
          <w:szCs w:val="21"/>
        </w:rPr>
      </w:pPr>
      <w:r w:rsidRPr="00D12AFF">
        <w:rPr>
          <w:rFonts w:eastAsiaTheme="minorEastAsia"/>
          <w:color w:val="000000" w:themeColor="text1"/>
          <w:kern w:val="0"/>
          <w:sz w:val="24"/>
          <w:szCs w:val="21"/>
        </w:rPr>
        <w:t xml:space="preserve">§8 </w:t>
      </w:r>
      <w:r w:rsidRPr="00D12AFF">
        <w:rPr>
          <w:rFonts w:eastAsiaTheme="minorEastAsia" w:hint="eastAsia"/>
          <w:color w:val="000000" w:themeColor="text1"/>
          <w:kern w:val="0"/>
          <w:sz w:val="24"/>
          <w:szCs w:val="21"/>
        </w:rPr>
        <w:t>影响投资者决策的其他重要信息</w:t>
      </w:r>
    </w:p>
    <w:p w:rsidR="00ED0E09" w:rsidRPr="00D12AFF" w:rsidRDefault="00ED0E09" w:rsidP="00ED0E09">
      <w:pPr>
        <w:autoSpaceDE w:val="0"/>
        <w:autoSpaceDN w:val="0"/>
        <w:adjustRightInd w:val="0"/>
        <w:spacing w:line="360" w:lineRule="auto"/>
        <w:jc w:val="left"/>
        <w:rPr>
          <w:b/>
          <w:bCs/>
          <w:color w:val="000000"/>
          <w:kern w:val="0"/>
          <w:sz w:val="24"/>
          <w:szCs w:val="21"/>
        </w:rPr>
      </w:pPr>
      <w:bookmarkStart w:id="0" w:name="_GoBack"/>
      <w:r w:rsidRPr="00D12AFF">
        <w:rPr>
          <w:b/>
          <w:bCs/>
          <w:color w:val="000000"/>
          <w:kern w:val="0"/>
          <w:sz w:val="24"/>
          <w:szCs w:val="21"/>
        </w:rPr>
        <w:t xml:space="preserve">8.1 </w:t>
      </w:r>
      <w:r w:rsidRPr="00D12AFF">
        <w:rPr>
          <w:rFonts w:hint="eastAsia"/>
          <w:b/>
          <w:bCs/>
          <w:color w:val="000000"/>
          <w:kern w:val="0"/>
          <w:sz w:val="24"/>
          <w:szCs w:val="21"/>
        </w:rPr>
        <w:t>报告期内单一投资者持有基金份额比例达到或超过</w:t>
      </w:r>
      <w:r w:rsidRPr="00D12AFF">
        <w:rPr>
          <w:b/>
          <w:bCs/>
          <w:color w:val="000000"/>
          <w:kern w:val="0"/>
          <w:sz w:val="24"/>
          <w:szCs w:val="21"/>
        </w:rPr>
        <w:t>20%</w:t>
      </w:r>
      <w:r w:rsidRPr="00D12AFF">
        <w:rPr>
          <w:rFonts w:hint="eastAsia"/>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1200A5"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autoSpaceDE w:val="0"/>
              <w:autoSpaceDN w:val="0"/>
              <w:adjustRightInd w:val="0"/>
              <w:jc w:val="center"/>
              <w:rPr>
                <w:b/>
                <w:bCs/>
                <w:color w:val="000000"/>
                <w:kern w:val="0"/>
                <w:sz w:val="24"/>
                <w:szCs w:val="21"/>
              </w:rPr>
            </w:pPr>
            <w:r w:rsidRPr="00D12AFF">
              <w:rPr>
                <w:rFonts w:hint="eastAsia"/>
                <w:color w:val="000000"/>
                <w:kern w:val="0"/>
                <w:sz w:val="24"/>
                <w:szCs w:val="21"/>
              </w:rPr>
              <w:t>投资者类别</w:t>
            </w:r>
            <w:r w:rsidRPr="00D12AFF">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autoSpaceDE w:val="0"/>
              <w:autoSpaceDN w:val="0"/>
              <w:adjustRightInd w:val="0"/>
              <w:jc w:val="center"/>
              <w:rPr>
                <w:b/>
                <w:bCs/>
                <w:color w:val="000000"/>
                <w:kern w:val="0"/>
                <w:sz w:val="24"/>
                <w:szCs w:val="21"/>
              </w:rPr>
            </w:pPr>
            <w:r w:rsidRPr="00D12AFF">
              <w:rPr>
                <w:rFonts w:hint="eastAsia"/>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autoSpaceDE w:val="0"/>
              <w:autoSpaceDN w:val="0"/>
              <w:adjustRightInd w:val="0"/>
              <w:jc w:val="center"/>
              <w:rPr>
                <w:b/>
                <w:bCs/>
                <w:color w:val="000000"/>
                <w:kern w:val="0"/>
                <w:sz w:val="24"/>
                <w:szCs w:val="21"/>
              </w:rPr>
            </w:pPr>
            <w:r w:rsidRPr="00D12AFF">
              <w:rPr>
                <w:rFonts w:hint="eastAsia"/>
                <w:color w:val="000000"/>
                <w:kern w:val="0"/>
                <w:sz w:val="24"/>
                <w:szCs w:val="21"/>
              </w:rPr>
              <w:t>报告期末持有基金情况</w:t>
            </w:r>
          </w:p>
        </w:tc>
      </w:tr>
      <w:bookmarkEnd w:id="0"/>
      <w:tr w:rsidR="00ED0E09" w:rsidRPr="001200A5"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autoSpaceDE w:val="0"/>
              <w:autoSpaceDN w:val="0"/>
              <w:adjustRightInd w:val="0"/>
              <w:jc w:val="center"/>
              <w:rPr>
                <w:b/>
                <w:bCs/>
                <w:color w:val="000000"/>
                <w:kern w:val="0"/>
                <w:sz w:val="24"/>
                <w:szCs w:val="21"/>
              </w:rPr>
            </w:pPr>
            <w:r w:rsidRPr="00D12AFF">
              <w:rPr>
                <w:rFonts w:hint="eastAsia"/>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autoSpaceDE w:val="0"/>
              <w:autoSpaceDN w:val="0"/>
              <w:adjustRightInd w:val="0"/>
              <w:jc w:val="center"/>
              <w:rPr>
                <w:b/>
                <w:bCs/>
                <w:color w:val="000000"/>
                <w:kern w:val="0"/>
                <w:sz w:val="24"/>
                <w:szCs w:val="21"/>
              </w:rPr>
            </w:pPr>
            <w:r w:rsidRPr="00D12AFF">
              <w:rPr>
                <w:rFonts w:hint="eastAsia"/>
                <w:color w:val="000000"/>
                <w:kern w:val="0"/>
                <w:sz w:val="24"/>
                <w:szCs w:val="21"/>
              </w:rPr>
              <w:t>持有基金份额比例达到或者超过</w:t>
            </w:r>
            <w:r w:rsidRPr="00D12AFF">
              <w:rPr>
                <w:color w:val="000000"/>
                <w:kern w:val="0"/>
                <w:sz w:val="24"/>
                <w:szCs w:val="21"/>
              </w:rPr>
              <w:t>20%</w:t>
            </w:r>
            <w:r w:rsidRPr="00D12AFF">
              <w:rPr>
                <w:rFonts w:hint="eastAsia"/>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widowControl/>
              <w:jc w:val="center"/>
              <w:rPr>
                <w:b/>
                <w:bCs/>
                <w:color w:val="000000"/>
                <w:kern w:val="0"/>
                <w:sz w:val="24"/>
                <w:szCs w:val="21"/>
              </w:rPr>
            </w:pPr>
            <w:r w:rsidRPr="00D12AFF">
              <w:rPr>
                <w:rFonts w:hint="eastAsia"/>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widowControl/>
              <w:jc w:val="center"/>
              <w:rPr>
                <w:b/>
                <w:bCs/>
                <w:color w:val="000000"/>
                <w:kern w:val="0"/>
                <w:sz w:val="24"/>
                <w:szCs w:val="21"/>
              </w:rPr>
            </w:pPr>
            <w:r w:rsidRPr="00D12AFF">
              <w:rPr>
                <w:rFonts w:hint="eastAsia"/>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widowControl/>
              <w:jc w:val="center"/>
              <w:rPr>
                <w:b/>
                <w:bCs/>
                <w:color w:val="000000"/>
                <w:kern w:val="0"/>
                <w:sz w:val="24"/>
                <w:szCs w:val="21"/>
              </w:rPr>
            </w:pPr>
            <w:r w:rsidRPr="00D12AFF">
              <w:rPr>
                <w:rFonts w:hint="eastAsia"/>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autoSpaceDE w:val="0"/>
              <w:autoSpaceDN w:val="0"/>
              <w:adjustRightInd w:val="0"/>
              <w:jc w:val="center"/>
              <w:rPr>
                <w:b/>
                <w:bCs/>
                <w:color w:val="000000"/>
                <w:kern w:val="0"/>
                <w:sz w:val="24"/>
                <w:szCs w:val="21"/>
              </w:rPr>
            </w:pPr>
            <w:r w:rsidRPr="00D12AFF">
              <w:rPr>
                <w:rFonts w:hint="eastAsia"/>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D12AFF" w:rsidRDefault="00ED0E09">
            <w:pPr>
              <w:autoSpaceDE w:val="0"/>
              <w:autoSpaceDN w:val="0"/>
              <w:adjustRightInd w:val="0"/>
              <w:jc w:val="center"/>
              <w:rPr>
                <w:b/>
                <w:bCs/>
                <w:color w:val="000000"/>
                <w:kern w:val="0"/>
                <w:sz w:val="24"/>
                <w:szCs w:val="21"/>
              </w:rPr>
            </w:pPr>
            <w:r w:rsidRPr="00D12AFF">
              <w:rPr>
                <w:rFonts w:hint="eastAsia"/>
                <w:color w:val="000000"/>
                <w:kern w:val="0"/>
                <w:sz w:val="24"/>
                <w:szCs w:val="21"/>
              </w:rPr>
              <w:t>份额占比</w:t>
            </w:r>
          </w:p>
        </w:tc>
      </w:tr>
      <w:tr w:rsidR="00F651B8" w:rsidRPr="001200A5">
        <w:tc>
          <w:tcPr>
            <w:tcW w:w="992" w:type="dxa"/>
            <w:vMerge w:val="restart"/>
          </w:tcPr>
          <w:p w:rsidR="00F651B8" w:rsidRPr="00D12AFF" w:rsidRDefault="00F651B8">
            <w:pPr>
              <w:rPr>
                <w:sz w:val="24"/>
              </w:rPr>
            </w:pPr>
          </w:p>
          <w:p w:rsidR="00F651B8" w:rsidRPr="00D12AFF" w:rsidRDefault="00BD753D">
            <w:pPr>
              <w:rPr>
                <w:sz w:val="24"/>
              </w:rPr>
            </w:pPr>
            <w:r w:rsidRPr="00D12AFF">
              <w:rPr>
                <w:rFonts w:hint="eastAsia"/>
                <w:bCs/>
                <w:color w:val="000000"/>
                <w:kern w:val="0"/>
                <w:sz w:val="24"/>
                <w:szCs w:val="21"/>
              </w:rPr>
              <w:t>机构</w:t>
            </w:r>
          </w:p>
        </w:tc>
        <w:tc>
          <w:tcPr>
            <w:tcW w:w="991" w:type="dxa"/>
            <w:vAlign w:val="center"/>
          </w:tcPr>
          <w:p w:rsidR="00F651B8" w:rsidRPr="00D12AFF" w:rsidRDefault="00BD753D">
            <w:pPr>
              <w:jc w:val="center"/>
              <w:rPr>
                <w:sz w:val="24"/>
              </w:rPr>
            </w:pPr>
            <w:r w:rsidRPr="00D12AFF">
              <w:rPr>
                <w:color w:val="000000"/>
                <w:kern w:val="0"/>
                <w:sz w:val="24"/>
                <w:szCs w:val="21"/>
              </w:rPr>
              <w:t>1</w:t>
            </w:r>
          </w:p>
        </w:tc>
        <w:tc>
          <w:tcPr>
            <w:tcW w:w="1843" w:type="dxa"/>
            <w:vAlign w:val="center"/>
          </w:tcPr>
          <w:p w:rsidR="00F651B8" w:rsidRPr="00D12AFF" w:rsidRDefault="00BD753D">
            <w:pPr>
              <w:jc w:val="center"/>
              <w:rPr>
                <w:sz w:val="24"/>
              </w:rPr>
            </w:pPr>
            <w:r w:rsidRPr="00D12AFF">
              <w:rPr>
                <w:color w:val="000000"/>
                <w:kern w:val="0"/>
                <w:sz w:val="24"/>
                <w:szCs w:val="21"/>
              </w:rPr>
              <w:t>2017/4/1-2017/6/30</w:t>
            </w:r>
          </w:p>
        </w:tc>
        <w:tc>
          <w:tcPr>
            <w:tcW w:w="851" w:type="dxa"/>
            <w:vAlign w:val="center"/>
          </w:tcPr>
          <w:p w:rsidR="00F651B8" w:rsidRPr="00D12AFF" w:rsidRDefault="00BD753D">
            <w:pPr>
              <w:jc w:val="center"/>
              <w:rPr>
                <w:sz w:val="24"/>
              </w:rPr>
            </w:pPr>
            <w:r w:rsidRPr="00D12AFF">
              <w:rPr>
                <w:color w:val="000000"/>
                <w:kern w:val="0"/>
                <w:sz w:val="24"/>
                <w:szCs w:val="21"/>
              </w:rPr>
              <w:t>996,820,252.99</w:t>
            </w:r>
          </w:p>
        </w:tc>
        <w:tc>
          <w:tcPr>
            <w:tcW w:w="850" w:type="dxa"/>
            <w:vAlign w:val="center"/>
          </w:tcPr>
          <w:p w:rsidR="00F651B8" w:rsidRPr="00D12AFF" w:rsidRDefault="00BD753D">
            <w:pPr>
              <w:jc w:val="center"/>
              <w:rPr>
                <w:sz w:val="24"/>
              </w:rPr>
            </w:pPr>
            <w:r w:rsidRPr="00D12AFF">
              <w:rPr>
                <w:color w:val="000000"/>
                <w:kern w:val="0"/>
                <w:sz w:val="24"/>
                <w:szCs w:val="21"/>
              </w:rPr>
              <w:t>-</w:t>
            </w:r>
          </w:p>
        </w:tc>
        <w:tc>
          <w:tcPr>
            <w:tcW w:w="1134" w:type="dxa"/>
            <w:vAlign w:val="center"/>
          </w:tcPr>
          <w:p w:rsidR="00F651B8" w:rsidRPr="00D12AFF" w:rsidRDefault="00BD753D">
            <w:pPr>
              <w:jc w:val="center"/>
              <w:rPr>
                <w:sz w:val="24"/>
              </w:rPr>
            </w:pPr>
            <w:r w:rsidRPr="00D12AFF">
              <w:rPr>
                <w:color w:val="000000"/>
                <w:kern w:val="0"/>
                <w:sz w:val="24"/>
                <w:szCs w:val="21"/>
              </w:rPr>
              <w:t>-</w:t>
            </w:r>
          </w:p>
        </w:tc>
        <w:tc>
          <w:tcPr>
            <w:tcW w:w="1419" w:type="dxa"/>
            <w:vAlign w:val="center"/>
          </w:tcPr>
          <w:p w:rsidR="00F651B8" w:rsidRPr="00D12AFF" w:rsidRDefault="00BD753D">
            <w:pPr>
              <w:jc w:val="center"/>
              <w:rPr>
                <w:sz w:val="24"/>
              </w:rPr>
            </w:pPr>
            <w:r w:rsidRPr="00D12AFF">
              <w:rPr>
                <w:color w:val="000000"/>
                <w:kern w:val="0"/>
                <w:sz w:val="24"/>
                <w:szCs w:val="21"/>
              </w:rPr>
              <w:t>996,820,252.99</w:t>
            </w:r>
          </w:p>
        </w:tc>
        <w:tc>
          <w:tcPr>
            <w:tcW w:w="1130" w:type="dxa"/>
            <w:vAlign w:val="center"/>
          </w:tcPr>
          <w:p w:rsidR="00F651B8" w:rsidRPr="00D12AFF" w:rsidRDefault="00BD753D">
            <w:pPr>
              <w:jc w:val="center"/>
              <w:rPr>
                <w:sz w:val="24"/>
              </w:rPr>
            </w:pPr>
            <w:r w:rsidRPr="00D12AFF">
              <w:rPr>
                <w:color w:val="000000"/>
                <w:kern w:val="0"/>
                <w:sz w:val="24"/>
                <w:szCs w:val="21"/>
              </w:rPr>
              <w:t>99.98%</w:t>
            </w:r>
          </w:p>
        </w:tc>
      </w:tr>
    </w:tbl>
    <w:p w:rsidR="00ED0E09" w:rsidRPr="00D12AFF" w:rsidRDefault="00ED0E09" w:rsidP="00ED0E09">
      <w:pPr>
        <w:autoSpaceDE w:val="0"/>
        <w:autoSpaceDN w:val="0"/>
        <w:adjustRightInd w:val="0"/>
        <w:spacing w:line="360" w:lineRule="auto"/>
        <w:jc w:val="left"/>
        <w:rPr>
          <w:bCs/>
          <w:color w:val="000000"/>
          <w:kern w:val="0"/>
          <w:sz w:val="24"/>
          <w:szCs w:val="21"/>
        </w:rPr>
      </w:pPr>
      <w:r w:rsidRPr="00D12AFF">
        <w:rPr>
          <w:rFonts w:hint="eastAsia"/>
          <w:bCs/>
          <w:color w:val="000000"/>
          <w:kern w:val="0"/>
          <w:sz w:val="24"/>
          <w:szCs w:val="21"/>
        </w:rPr>
        <w:t>注：本基金本报告期内出现单一投资者持有基金份额比例超过基金总份额</w:t>
      </w:r>
      <w:r w:rsidRPr="00D12AFF">
        <w:rPr>
          <w:bCs/>
          <w:color w:val="000000"/>
          <w:kern w:val="0"/>
          <w:sz w:val="24"/>
          <w:szCs w:val="21"/>
        </w:rPr>
        <w:t>20%</w:t>
      </w:r>
      <w:r w:rsidRPr="00D12AFF">
        <w:rPr>
          <w:rFonts w:hint="eastAsia"/>
          <w:bCs/>
          <w:color w:val="000000"/>
          <w:kern w:val="0"/>
          <w:sz w:val="24"/>
          <w:szCs w:val="21"/>
        </w:rPr>
        <w:t>的情况。如该类投资者集中赎回，可能会对本基金带来流动性冲击，从而影响基金的投资运作和</w:t>
      </w:r>
      <w:r w:rsidRPr="00D12AFF">
        <w:rPr>
          <w:rFonts w:hint="eastAsia"/>
          <w:bCs/>
          <w:color w:val="000000"/>
          <w:kern w:val="0"/>
          <w:sz w:val="24"/>
          <w:szCs w:val="21"/>
        </w:rPr>
        <w:lastRenderedPageBreak/>
        <w:t>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、中国证监会准予交银施罗德裕盈纯债债券型证券投资基金募集注册的文件；</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、《交银施罗德裕盈纯债债券型证券投资基金基金合同》；</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、《交银施罗德裕盈纯债债券型证券投资基金招募说明书》；</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、《交银施罗德裕盈纯债债券型证券投资基金托管协议》；</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、关于申请募集注册交银施罗德裕盈纯债债券型证券投资基金的法律意见书；</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、报告期内交银施罗德裕盈纯债债券型证券投资基金在指定报刊上各项公告的原稿。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651B8" w:rsidRDefault="00BD753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BC" w:rsidRDefault="00820BBC">
      <w:r>
        <w:separator/>
      </w:r>
    </w:p>
  </w:endnote>
  <w:endnote w:type="continuationSeparator" w:id="0">
    <w:p w:rsidR="00820BBC" w:rsidRDefault="0082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D12AFF">
      <w:rPr>
        <w:noProof/>
        <w:kern w:val="0"/>
        <w:szCs w:val="21"/>
      </w:rPr>
      <w:t>12</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D12AFF">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BC" w:rsidRDefault="00820BBC">
      <w:r>
        <w:separator/>
      </w:r>
    </w:p>
  </w:footnote>
  <w:footnote w:type="continuationSeparator" w:id="0">
    <w:p w:rsidR="00820BBC" w:rsidRDefault="00820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20BB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0A5"/>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3A88"/>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0BBC"/>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32C5"/>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53D"/>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AFF"/>
    <w:rsid w:val="00D12D04"/>
    <w:rsid w:val="00D13A01"/>
    <w:rsid w:val="00D15733"/>
    <w:rsid w:val="00D16D22"/>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1B8"/>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D9ABCCA-53B4-4EB5-9048-40EAA7EA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List Paragraph"/>
    <w:basedOn w:val="a"/>
    <w:uiPriority w:val="34"/>
    <w:qFormat/>
    <w:rsid w:val="00D16D22"/>
    <w:pPr>
      <w:widowControl/>
      <w:ind w:firstLine="420"/>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758871855">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1EAC1-247A-402F-A431-3CE1CCBF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200</TotalTime>
  <Pages>1</Pages>
  <Words>1126</Words>
  <Characters>6422</Characters>
  <Application>Microsoft Office Word</Application>
  <DocSecurity>0</DocSecurity>
  <Lines>53</Lines>
  <Paragraphs>15</Paragraphs>
  <ScaleCrop>false</ScaleCrop>
  <Company>TRT. Ltd. Co.</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374</cp:revision>
  <cp:lastPrinted>2007-07-19T00:46:00Z</cp:lastPrinted>
  <dcterms:created xsi:type="dcterms:W3CDTF">2014-01-17T06:19:00Z</dcterms:created>
  <dcterms:modified xsi:type="dcterms:W3CDTF">2017-07-18T03:22:00Z</dcterms:modified>
</cp:coreProperties>
</file>