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交银施罗德天利宝货币市场基金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二〇一七年七月二十日</w:t>
      </w:r>
    </w:p>
    <w:p w:rsidR="00902E3F" w:rsidRPr="000E4C40" w:rsidRDefault="00902E3F" w:rsidP="00B64665">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D71305" w:rsidRDefault="00CA1390">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D71305" w:rsidRDefault="00CA1390">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2017</w:t>
      </w:r>
      <w:r>
        <w:rPr>
          <w:color w:val="000000"/>
          <w:sz w:val="24"/>
        </w:rPr>
        <w:t>年</w:t>
      </w:r>
      <w:r>
        <w:rPr>
          <w:color w:val="000000"/>
          <w:sz w:val="24"/>
        </w:rPr>
        <w:t>7</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D71305" w:rsidRDefault="00CA1390">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71305" w:rsidRDefault="00CA1390">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D71305" w:rsidRDefault="00CA1390">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B64665">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交银天利宝货币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002889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10</w:t>
            </w:r>
            <w:r w:rsidRPr="000E4C40">
              <w:rPr>
                <w:color w:val="000000"/>
                <w:kern w:val="0"/>
                <w:sz w:val="24"/>
              </w:rPr>
              <w:t>月</w:t>
            </w:r>
            <w:r w:rsidRPr="000E4C40">
              <w:rPr>
                <w:color w:val="000000"/>
                <w:kern w:val="0"/>
                <w:sz w:val="24"/>
              </w:rPr>
              <w:t>19</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2,040,970,609.58</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交银天利宝货币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交银天利宝货币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002889</w:t>
            </w:r>
          </w:p>
        </w:tc>
        <w:tc>
          <w:tcPr>
            <w:tcW w:w="2923" w:type="dxa"/>
            <w:vAlign w:val="center"/>
          </w:tcPr>
          <w:p w:rsidR="00A805BC" w:rsidRPr="000E4C40" w:rsidRDefault="00A805BC" w:rsidP="00281564">
            <w:pPr>
              <w:spacing w:before="29" w:line="288" w:lineRule="auto"/>
              <w:jc w:val="left"/>
              <w:rPr>
                <w:sz w:val="24"/>
              </w:rPr>
            </w:pPr>
            <w:r w:rsidRPr="000E4C40">
              <w:rPr>
                <w:sz w:val="24"/>
              </w:rPr>
              <w:t>002890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16,002,132.82</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2,024,968,476.76</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B64665">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交银天利宝货币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交银天利宝货币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180,501.26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15,580,635.79</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180,501.26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15,580,635.79</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16,002,132.82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2,024,968,476.76</w:t>
            </w:r>
          </w:p>
        </w:tc>
      </w:tr>
    </w:tbl>
    <w:p w:rsidR="00D71305" w:rsidRDefault="00CA139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5C2A08">
      <w:pPr>
        <w:autoSpaceDE w:val="0"/>
        <w:autoSpaceDN w:val="0"/>
        <w:adjustRightInd w:val="0"/>
        <w:spacing w:before="29" w:line="288" w:lineRule="auto"/>
        <w:ind w:firstLineChars="200" w:firstLine="480"/>
        <w:jc w:val="left"/>
        <w:rPr>
          <w:color w:val="000000"/>
          <w:sz w:val="24"/>
        </w:rPr>
      </w:pP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交银天利宝货币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D71305">
        <w:trPr>
          <w:jc w:val="center"/>
        </w:trPr>
        <w:tc>
          <w:tcPr>
            <w:tcW w:w="1266" w:type="dxa"/>
            <w:vAlign w:val="center"/>
          </w:tcPr>
          <w:p w:rsidR="00D71305" w:rsidRDefault="00CA1390">
            <w:pPr>
              <w:jc w:val="left"/>
            </w:pPr>
            <w:r>
              <w:rPr>
                <w:color w:val="000000"/>
              </w:rPr>
              <w:lastRenderedPageBreak/>
              <w:t>过去三个月</w:t>
            </w:r>
          </w:p>
        </w:tc>
        <w:tc>
          <w:tcPr>
            <w:tcW w:w="1267" w:type="dxa"/>
            <w:vAlign w:val="center"/>
          </w:tcPr>
          <w:p w:rsidR="00D71305" w:rsidRDefault="00CA1390">
            <w:pPr>
              <w:jc w:val="center"/>
            </w:pPr>
            <w:r>
              <w:rPr>
                <w:color w:val="000000"/>
              </w:rPr>
              <w:t>0.9561%</w:t>
            </w:r>
          </w:p>
        </w:tc>
        <w:tc>
          <w:tcPr>
            <w:tcW w:w="1267" w:type="dxa"/>
            <w:vAlign w:val="center"/>
          </w:tcPr>
          <w:p w:rsidR="00D71305" w:rsidRDefault="00CA1390">
            <w:pPr>
              <w:jc w:val="center"/>
            </w:pPr>
            <w:r>
              <w:rPr>
                <w:color w:val="000000"/>
              </w:rPr>
              <w:t>0.0006%</w:t>
            </w:r>
          </w:p>
        </w:tc>
        <w:tc>
          <w:tcPr>
            <w:tcW w:w="1267" w:type="dxa"/>
            <w:vAlign w:val="center"/>
          </w:tcPr>
          <w:p w:rsidR="00D71305" w:rsidRDefault="00CA1390">
            <w:pPr>
              <w:jc w:val="center"/>
            </w:pPr>
            <w:r>
              <w:rPr>
                <w:color w:val="000000"/>
              </w:rPr>
              <w:t>0.0873%</w:t>
            </w:r>
          </w:p>
        </w:tc>
        <w:tc>
          <w:tcPr>
            <w:tcW w:w="1267" w:type="dxa"/>
            <w:vAlign w:val="center"/>
          </w:tcPr>
          <w:p w:rsidR="00D71305" w:rsidRDefault="00CA1390">
            <w:pPr>
              <w:jc w:val="center"/>
            </w:pPr>
            <w:r>
              <w:rPr>
                <w:color w:val="000000"/>
              </w:rPr>
              <w:t>0.0000%</w:t>
            </w:r>
          </w:p>
        </w:tc>
        <w:tc>
          <w:tcPr>
            <w:tcW w:w="1267" w:type="dxa"/>
            <w:vAlign w:val="center"/>
          </w:tcPr>
          <w:p w:rsidR="00D71305" w:rsidRDefault="00CA1390">
            <w:pPr>
              <w:jc w:val="center"/>
            </w:pPr>
            <w:r>
              <w:rPr>
                <w:color w:val="000000"/>
              </w:rPr>
              <w:t>0.8688%</w:t>
            </w:r>
          </w:p>
        </w:tc>
        <w:tc>
          <w:tcPr>
            <w:tcW w:w="1267" w:type="dxa"/>
            <w:vAlign w:val="center"/>
          </w:tcPr>
          <w:p w:rsidR="00D71305" w:rsidRDefault="00CA1390">
            <w:pPr>
              <w:jc w:val="center"/>
            </w:pPr>
            <w:r>
              <w:rPr>
                <w:color w:val="000000"/>
              </w:rPr>
              <w:t>0.0006%</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交银天利宝货币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D71305">
        <w:trPr>
          <w:jc w:val="center"/>
        </w:trPr>
        <w:tc>
          <w:tcPr>
            <w:tcW w:w="1266" w:type="dxa"/>
            <w:vAlign w:val="center"/>
          </w:tcPr>
          <w:p w:rsidR="00D71305" w:rsidRDefault="00CA1390">
            <w:pPr>
              <w:jc w:val="left"/>
            </w:pPr>
            <w:r>
              <w:rPr>
                <w:color w:val="000000"/>
              </w:rPr>
              <w:t>过去三个月</w:t>
            </w:r>
          </w:p>
        </w:tc>
        <w:tc>
          <w:tcPr>
            <w:tcW w:w="1267" w:type="dxa"/>
            <w:vAlign w:val="center"/>
          </w:tcPr>
          <w:p w:rsidR="00D71305" w:rsidRDefault="00CA1390">
            <w:pPr>
              <w:jc w:val="center"/>
            </w:pPr>
            <w:r>
              <w:rPr>
                <w:color w:val="000000"/>
              </w:rPr>
              <w:t>1.0164%</w:t>
            </w:r>
          </w:p>
        </w:tc>
        <w:tc>
          <w:tcPr>
            <w:tcW w:w="1267" w:type="dxa"/>
            <w:vAlign w:val="center"/>
          </w:tcPr>
          <w:p w:rsidR="00D71305" w:rsidRDefault="00CA1390">
            <w:pPr>
              <w:jc w:val="center"/>
            </w:pPr>
            <w:r>
              <w:rPr>
                <w:color w:val="000000"/>
              </w:rPr>
              <w:t>0.0006%</w:t>
            </w:r>
          </w:p>
        </w:tc>
        <w:tc>
          <w:tcPr>
            <w:tcW w:w="1267" w:type="dxa"/>
            <w:vAlign w:val="center"/>
          </w:tcPr>
          <w:p w:rsidR="00D71305" w:rsidRDefault="00CA1390">
            <w:pPr>
              <w:jc w:val="center"/>
            </w:pPr>
            <w:r>
              <w:rPr>
                <w:color w:val="000000"/>
              </w:rPr>
              <w:t>0.0873%</w:t>
            </w:r>
          </w:p>
        </w:tc>
        <w:tc>
          <w:tcPr>
            <w:tcW w:w="1267" w:type="dxa"/>
            <w:vAlign w:val="center"/>
          </w:tcPr>
          <w:p w:rsidR="00D71305" w:rsidRDefault="00CA1390">
            <w:pPr>
              <w:jc w:val="center"/>
            </w:pPr>
            <w:r>
              <w:rPr>
                <w:color w:val="000000"/>
              </w:rPr>
              <w:t>0.0000%</w:t>
            </w:r>
          </w:p>
        </w:tc>
        <w:tc>
          <w:tcPr>
            <w:tcW w:w="1267" w:type="dxa"/>
            <w:vAlign w:val="center"/>
          </w:tcPr>
          <w:p w:rsidR="00D71305" w:rsidRDefault="00CA1390">
            <w:pPr>
              <w:jc w:val="center"/>
            </w:pPr>
            <w:r>
              <w:rPr>
                <w:color w:val="000000"/>
              </w:rPr>
              <w:t>0.9291%</w:t>
            </w:r>
          </w:p>
        </w:tc>
        <w:tc>
          <w:tcPr>
            <w:tcW w:w="1267" w:type="dxa"/>
            <w:vAlign w:val="center"/>
          </w:tcPr>
          <w:p w:rsidR="00D71305" w:rsidRDefault="00CA1390">
            <w:pPr>
              <w:jc w:val="center"/>
            </w:pPr>
            <w:r>
              <w:rPr>
                <w:color w:val="000000"/>
              </w:rPr>
              <w:t>0.0006%</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交银施罗德天利宝货币市场基金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10</w:t>
      </w:r>
      <w:r w:rsidR="00D87D00" w:rsidRPr="000E4C40">
        <w:rPr>
          <w:color w:val="000000"/>
          <w:kern w:val="0"/>
          <w:sz w:val="24"/>
        </w:rPr>
        <w:t>月</w:t>
      </w:r>
      <w:r w:rsidR="00D87D00" w:rsidRPr="000E4C40">
        <w:rPr>
          <w:color w:val="000000"/>
          <w:kern w:val="0"/>
          <w:sz w:val="24"/>
        </w:rPr>
        <w:t>19</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交银天利宝货币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10</w:t>
      </w:r>
      <w:r w:rsidRPr="000E4C40">
        <w:rPr>
          <w:color w:val="000000"/>
          <w:sz w:val="24"/>
        </w:rPr>
        <w:t>月</w:t>
      </w:r>
      <w:r w:rsidRPr="000E4C40">
        <w:rPr>
          <w:color w:val="000000"/>
          <w:sz w:val="24"/>
        </w:rPr>
        <w:t>19</w:t>
      </w:r>
      <w:r w:rsidRPr="000E4C40">
        <w:rPr>
          <w:color w:val="000000"/>
          <w:sz w:val="24"/>
        </w:rPr>
        <w:t>日，基金合同生效日至报告期期末，本基金</w:t>
      </w:r>
      <w:r w:rsidRPr="000E4C40">
        <w:rPr>
          <w:color w:val="000000"/>
          <w:sz w:val="24"/>
        </w:rPr>
        <w:lastRenderedPageBreak/>
        <w:t>运作时间未满一年。本基金建仓期为自基金合同生效日起的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交银天利宝货币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10</w:t>
      </w:r>
      <w:r w:rsidRPr="000E4C40">
        <w:rPr>
          <w:color w:val="000000"/>
          <w:sz w:val="24"/>
        </w:rPr>
        <w:t>月</w:t>
      </w:r>
      <w:r w:rsidRPr="000E4C40">
        <w:rPr>
          <w:color w:val="000000"/>
          <w:sz w:val="24"/>
        </w:rPr>
        <w:t>19</w:t>
      </w:r>
      <w:r w:rsidRPr="000E4C40">
        <w:rPr>
          <w:color w:val="000000"/>
          <w:sz w:val="24"/>
        </w:rPr>
        <w:t>日，基金合同生效日至报告期期末，本基金运作时间未满一年。本基金建仓期为自基金合同生效日起的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B64665">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D71305">
        <w:trPr>
          <w:jc w:val="center"/>
        </w:trPr>
        <w:tc>
          <w:tcPr>
            <w:tcW w:w="945" w:type="dxa"/>
            <w:vAlign w:val="center"/>
          </w:tcPr>
          <w:p w:rsidR="00D71305" w:rsidRDefault="00CA1390">
            <w:pPr>
              <w:jc w:val="center"/>
            </w:pPr>
            <w:r>
              <w:rPr>
                <w:color w:val="000000"/>
                <w:sz w:val="24"/>
              </w:rPr>
              <w:t>黄莹洁</w:t>
            </w:r>
          </w:p>
        </w:tc>
        <w:tc>
          <w:tcPr>
            <w:tcW w:w="1589" w:type="dxa"/>
            <w:vAlign w:val="center"/>
          </w:tcPr>
          <w:p w:rsidR="00D71305" w:rsidRDefault="00CA1390">
            <w:pPr>
              <w:jc w:val="center"/>
            </w:pPr>
            <w:r>
              <w:rPr>
                <w:color w:val="000000"/>
                <w:sz w:val="24"/>
              </w:rPr>
              <w:t>交银货币、交银理财</w:t>
            </w:r>
            <w:r>
              <w:rPr>
                <w:color w:val="000000"/>
                <w:sz w:val="24"/>
              </w:rPr>
              <w:t>21</w:t>
            </w:r>
            <w:r>
              <w:rPr>
                <w:color w:val="000000"/>
                <w:sz w:val="24"/>
              </w:rPr>
              <w:t>天债券、交银现金宝货币、交银丰享收益债券、交银丰</w:t>
            </w:r>
            <w:r>
              <w:rPr>
                <w:color w:val="000000"/>
                <w:sz w:val="24"/>
              </w:rPr>
              <w:lastRenderedPageBreak/>
              <w:t>泽收益债券、交银裕通纯债债券、交银活期通货币、交银天利宝货币、交银裕隆纯债债券、交银天鑫宝货币、交银天益宝货币、交银境尚收益债券的基金经理</w:t>
            </w:r>
          </w:p>
        </w:tc>
        <w:tc>
          <w:tcPr>
            <w:tcW w:w="1478" w:type="dxa"/>
            <w:vAlign w:val="center"/>
          </w:tcPr>
          <w:p w:rsidR="00D71305" w:rsidRDefault="00CA1390">
            <w:pPr>
              <w:jc w:val="center"/>
            </w:pPr>
            <w:r>
              <w:rPr>
                <w:color w:val="000000"/>
                <w:sz w:val="24"/>
              </w:rPr>
              <w:lastRenderedPageBreak/>
              <w:t>2016-10-19</w:t>
            </w:r>
          </w:p>
        </w:tc>
        <w:tc>
          <w:tcPr>
            <w:tcW w:w="1478" w:type="dxa"/>
            <w:vAlign w:val="center"/>
          </w:tcPr>
          <w:p w:rsidR="00D71305" w:rsidRDefault="00CA1390">
            <w:pPr>
              <w:jc w:val="center"/>
            </w:pPr>
            <w:r>
              <w:rPr>
                <w:color w:val="000000"/>
                <w:sz w:val="24"/>
              </w:rPr>
              <w:t>-</w:t>
            </w:r>
          </w:p>
        </w:tc>
        <w:tc>
          <w:tcPr>
            <w:tcW w:w="986" w:type="dxa"/>
            <w:vAlign w:val="center"/>
          </w:tcPr>
          <w:p w:rsidR="00D71305" w:rsidRDefault="00CA1390">
            <w:pPr>
              <w:jc w:val="center"/>
            </w:pPr>
            <w:r>
              <w:rPr>
                <w:color w:val="000000"/>
                <w:sz w:val="24"/>
              </w:rPr>
              <w:t>9</w:t>
            </w:r>
            <w:r>
              <w:rPr>
                <w:color w:val="000000"/>
                <w:sz w:val="24"/>
              </w:rPr>
              <w:t>年</w:t>
            </w:r>
          </w:p>
        </w:tc>
        <w:tc>
          <w:tcPr>
            <w:tcW w:w="2392" w:type="dxa"/>
            <w:vAlign w:val="center"/>
          </w:tcPr>
          <w:p w:rsidR="00D71305" w:rsidRDefault="00CA1390">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w:t>
            </w:r>
            <w:r>
              <w:rPr>
                <w:color w:val="000000"/>
                <w:sz w:val="24"/>
              </w:rPr>
              <w:lastRenderedPageBreak/>
              <w:t>银施罗德基金管理有限公司，历任中央交易室交易员。</w:t>
            </w:r>
          </w:p>
        </w:tc>
      </w:tr>
      <w:tr w:rsidR="00D71305">
        <w:trPr>
          <w:jc w:val="center"/>
        </w:trPr>
        <w:tc>
          <w:tcPr>
            <w:tcW w:w="945" w:type="dxa"/>
            <w:vAlign w:val="center"/>
          </w:tcPr>
          <w:p w:rsidR="00D71305" w:rsidRDefault="00CA1390">
            <w:pPr>
              <w:jc w:val="center"/>
            </w:pPr>
            <w:r>
              <w:rPr>
                <w:color w:val="000000"/>
                <w:sz w:val="24"/>
              </w:rPr>
              <w:lastRenderedPageBreak/>
              <w:t>连端清</w:t>
            </w:r>
          </w:p>
        </w:tc>
        <w:tc>
          <w:tcPr>
            <w:tcW w:w="1589" w:type="dxa"/>
            <w:vAlign w:val="center"/>
          </w:tcPr>
          <w:p w:rsidR="00D71305" w:rsidRDefault="00CA1390">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478" w:type="dxa"/>
            <w:vAlign w:val="center"/>
          </w:tcPr>
          <w:p w:rsidR="00D71305" w:rsidRDefault="00CA1390">
            <w:pPr>
              <w:jc w:val="center"/>
            </w:pPr>
            <w:r>
              <w:rPr>
                <w:color w:val="000000"/>
                <w:sz w:val="24"/>
              </w:rPr>
              <w:t>2016-10-19</w:t>
            </w:r>
          </w:p>
        </w:tc>
        <w:tc>
          <w:tcPr>
            <w:tcW w:w="1478" w:type="dxa"/>
            <w:vAlign w:val="center"/>
          </w:tcPr>
          <w:p w:rsidR="00D71305" w:rsidRDefault="00CA1390">
            <w:pPr>
              <w:jc w:val="center"/>
            </w:pPr>
            <w:r>
              <w:rPr>
                <w:color w:val="000000"/>
                <w:sz w:val="24"/>
              </w:rPr>
              <w:t>-</w:t>
            </w:r>
          </w:p>
        </w:tc>
        <w:tc>
          <w:tcPr>
            <w:tcW w:w="986" w:type="dxa"/>
            <w:vAlign w:val="center"/>
          </w:tcPr>
          <w:p w:rsidR="00D71305" w:rsidRDefault="00CA1390">
            <w:pPr>
              <w:jc w:val="center"/>
            </w:pPr>
            <w:r>
              <w:rPr>
                <w:color w:val="000000"/>
                <w:sz w:val="24"/>
              </w:rPr>
              <w:t>4</w:t>
            </w:r>
            <w:r>
              <w:rPr>
                <w:color w:val="000000"/>
                <w:sz w:val="24"/>
              </w:rPr>
              <w:t>年</w:t>
            </w:r>
          </w:p>
        </w:tc>
        <w:tc>
          <w:tcPr>
            <w:tcW w:w="2392" w:type="dxa"/>
            <w:vAlign w:val="center"/>
          </w:tcPr>
          <w:p w:rsidR="00D71305" w:rsidRDefault="00CA1390">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B84BA9" w:rsidRPr="005C2A08" w:rsidRDefault="00B84BA9" w:rsidP="00B84BA9">
      <w:pPr>
        <w:pStyle w:val="a9"/>
        <w:autoSpaceDE w:val="0"/>
        <w:autoSpaceDN w:val="0"/>
        <w:adjustRightInd w:val="0"/>
        <w:spacing w:before="29" w:line="288" w:lineRule="auto"/>
        <w:ind w:left="360" w:firstLineChars="0" w:firstLine="0"/>
        <w:jc w:val="left"/>
        <w:rPr>
          <w:sz w:val="24"/>
        </w:rPr>
      </w:pPr>
      <w:r w:rsidRPr="005C2A08">
        <w:rPr>
          <w:rFonts w:hint="eastAsia"/>
          <w:sz w:val="24"/>
        </w:rPr>
        <w:t>注：</w:t>
      </w:r>
      <w:r w:rsidRPr="005C2A08">
        <w:rPr>
          <w:sz w:val="24"/>
        </w:rPr>
        <w:t>1</w:t>
      </w:r>
      <w:r w:rsidRPr="005C2A08">
        <w:rPr>
          <w:rFonts w:hint="eastAsia"/>
          <w:sz w:val="24"/>
        </w:rPr>
        <w:t>、本表所列基金经理（助理）任职日期和离职日期均以基金合同生效日或公司作出决定并公告</w:t>
      </w:r>
      <w:r w:rsidRPr="005C2A08">
        <w:rPr>
          <w:sz w:val="24"/>
        </w:rPr>
        <w:t>(</w:t>
      </w:r>
      <w:r w:rsidRPr="005C2A08">
        <w:rPr>
          <w:rFonts w:hint="eastAsia"/>
          <w:sz w:val="24"/>
        </w:rPr>
        <w:t>如适用</w:t>
      </w:r>
      <w:r w:rsidRPr="005C2A08">
        <w:rPr>
          <w:sz w:val="24"/>
        </w:rPr>
        <w:t>)</w:t>
      </w:r>
      <w:r w:rsidRPr="005C2A08">
        <w:rPr>
          <w:rFonts w:hint="eastAsia"/>
          <w:sz w:val="24"/>
        </w:rPr>
        <w:t>之日为准；</w:t>
      </w:r>
    </w:p>
    <w:p w:rsidR="00B84BA9" w:rsidRPr="005C2A08" w:rsidRDefault="00B84BA9" w:rsidP="00B84BA9">
      <w:pPr>
        <w:pStyle w:val="a9"/>
        <w:autoSpaceDE w:val="0"/>
        <w:autoSpaceDN w:val="0"/>
        <w:adjustRightInd w:val="0"/>
        <w:spacing w:before="29" w:line="288" w:lineRule="auto"/>
        <w:ind w:left="360" w:firstLine="480"/>
        <w:jc w:val="left"/>
        <w:rPr>
          <w:sz w:val="24"/>
        </w:rPr>
      </w:pPr>
      <w:r w:rsidRPr="005C2A08">
        <w:rPr>
          <w:sz w:val="24"/>
        </w:rPr>
        <w:t>2</w:t>
      </w:r>
      <w:r w:rsidRPr="005C2A08">
        <w:rPr>
          <w:rFonts w:hint="eastAsia"/>
          <w:sz w:val="24"/>
        </w:rPr>
        <w:t>、本表所列基金经理（助理）证券从业年限中的</w:t>
      </w:r>
      <w:r w:rsidRPr="005C2A08">
        <w:rPr>
          <w:sz w:val="24"/>
        </w:rPr>
        <w:t>“</w:t>
      </w:r>
      <w:r w:rsidRPr="005C2A08">
        <w:rPr>
          <w:rFonts w:hint="eastAsia"/>
          <w:sz w:val="24"/>
        </w:rPr>
        <w:t>证券从业</w:t>
      </w:r>
      <w:r w:rsidRPr="005C2A08">
        <w:rPr>
          <w:sz w:val="24"/>
        </w:rPr>
        <w:t>”</w:t>
      </w:r>
      <w:r w:rsidRPr="005C2A08">
        <w:rPr>
          <w:rFonts w:hint="eastAsia"/>
          <w:sz w:val="24"/>
        </w:rPr>
        <w:t>的含义遵从中国证券业协会《证券业从业人员资格管理办法》的相关规定；</w:t>
      </w:r>
      <w:r w:rsidRPr="005C2A08">
        <w:rPr>
          <w:sz w:val="24"/>
        </w:rPr>
        <w:t xml:space="preserve"> </w:t>
      </w:r>
    </w:p>
    <w:p w:rsidR="00B84BA9" w:rsidRDefault="00B84BA9" w:rsidP="005C2A08">
      <w:pPr>
        <w:pStyle w:val="a9"/>
        <w:autoSpaceDE w:val="0"/>
        <w:autoSpaceDN w:val="0"/>
        <w:adjustRightInd w:val="0"/>
        <w:spacing w:before="29" w:line="288" w:lineRule="auto"/>
        <w:ind w:left="360" w:firstLine="480"/>
        <w:jc w:val="left"/>
        <w:rPr>
          <w:sz w:val="24"/>
        </w:rPr>
      </w:pPr>
      <w:r w:rsidRPr="005C2A08">
        <w:rPr>
          <w:sz w:val="24"/>
        </w:rPr>
        <w:t>3</w:t>
      </w:r>
      <w:r w:rsidRPr="005C2A08">
        <w:rPr>
          <w:rFonts w:hint="eastAsia"/>
          <w:sz w:val="24"/>
        </w:rPr>
        <w:t>、基金经理（或基金经理小组）期后变动（如有）敬请关注基金管理人发布的</w:t>
      </w:r>
      <w:r w:rsidRPr="005C2A08">
        <w:rPr>
          <w:rFonts w:hint="eastAsia"/>
          <w:sz w:val="24"/>
        </w:rPr>
        <w:lastRenderedPageBreak/>
        <w:t>相关公告。</w:t>
      </w:r>
    </w:p>
    <w:p w:rsidR="005D7CA6" w:rsidRPr="005C2A08" w:rsidRDefault="005D7CA6" w:rsidP="00B84BA9">
      <w:pPr>
        <w:pStyle w:val="a9"/>
        <w:autoSpaceDE w:val="0"/>
        <w:autoSpaceDN w:val="0"/>
        <w:adjustRightInd w:val="0"/>
        <w:spacing w:before="29" w:line="288" w:lineRule="auto"/>
        <w:ind w:left="360" w:firstLineChars="150" w:firstLine="360"/>
        <w:jc w:val="left"/>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D71305" w:rsidRDefault="00CA139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71305" w:rsidRDefault="00CA139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71305" w:rsidRDefault="00CA139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D71305" w:rsidRDefault="00CA1390">
      <w:pPr>
        <w:spacing w:before="29" w:line="288" w:lineRule="auto"/>
        <w:ind w:firstLineChars="200" w:firstLine="480"/>
        <w:rPr>
          <w:color w:val="000000"/>
          <w:sz w:val="24"/>
        </w:rPr>
      </w:pPr>
      <w:r>
        <w:rPr>
          <w:color w:val="000000"/>
          <w:sz w:val="24"/>
        </w:rPr>
        <w:t>本报告期内，在外需改善、基建发力、房地产三四线崛起的背景下，国内经济企稳，微观行业则继续呈现业绩改善的趋势。在</w:t>
      </w:r>
      <w:r>
        <w:rPr>
          <w:color w:val="000000"/>
          <w:sz w:val="24"/>
        </w:rPr>
        <w:t>CPI</w:t>
      </w:r>
      <w:r>
        <w:rPr>
          <w:color w:val="000000"/>
          <w:sz w:val="24"/>
        </w:rPr>
        <w:t>低位徘徊、</w:t>
      </w:r>
      <w:r>
        <w:rPr>
          <w:color w:val="000000"/>
          <w:sz w:val="24"/>
        </w:rPr>
        <w:t>PPI</w:t>
      </w:r>
      <w:r>
        <w:rPr>
          <w:color w:val="000000"/>
          <w:sz w:val="24"/>
        </w:rPr>
        <w:t>处于下降通道、通胀预期回落的宏观背景下，央行货币政策中性偏紧，金融监管趋严。四、五月份流动性整体偏</w:t>
      </w:r>
      <w:r>
        <w:rPr>
          <w:color w:val="000000"/>
          <w:sz w:val="24"/>
        </w:rPr>
        <w:lastRenderedPageBreak/>
        <w:t>紧，货币市场工具利率持续走高。但六月份以来，央行加大流动性投放力度，维持二季度末资金面平稳过渡的操作意图明显，金融去杠杆节奏也有所放缓，市场的负面情绪有所缓和。六月中旬开始，流动性较为宽松，货币市场工具利率也自高点快速下行。</w:t>
      </w:r>
      <w:r>
        <w:rPr>
          <w:color w:val="000000"/>
          <w:sz w:val="24"/>
        </w:rPr>
        <w:t xml:space="preserve"> </w:t>
      </w:r>
    </w:p>
    <w:p w:rsidR="00D71305" w:rsidRDefault="00CA1390">
      <w:pPr>
        <w:spacing w:before="29" w:line="288" w:lineRule="auto"/>
        <w:ind w:firstLineChars="200" w:firstLine="480"/>
        <w:rPr>
          <w:color w:val="000000"/>
          <w:sz w:val="24"/>
        </w:rPr>
      </w:pPr>
      <w:r>
        <w:rPr>
          <w:color w:val="000000"/>
          <w:sz w:val="24"/>
        </w:rPr>
        <w:t>基金操作方面，组合规模有所增长，我们择机配置了高收益的回购和同业存单，提高了组合收益。</w:t>
      </w:r>
    </w:p>
    <w:p w:rsidR="00C4627A" w:rsidRPr="000E4C40" w:rsidRDefault="00C4627A" w:rsidP="00281564">
      <w:pPr>
        <w:spacing w:before="29" w:line="288" w:lineRule="auto"/>
        <w:ind w:firstLineChars="200" w:firstLine="480"/>
        <w:rPr>
          <w:color w:val="000000"/>
          <w:sz w:val="24"/>
        </w:rPr>
      </w:pPr>
      <w:r w:rsidRPr="000E4C40">
        <w:rPr>
          <w:color w:val="000000"/>
          <w:sz w:val="24"/>
        </w:rPr>
        <w:t>展望三季度，半年末过后，短期资金面有望维持宽松局面，但在金融去杠杆的过程中，我们预计流动性的压力始终存在。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r w:rsidRPr="000E4C40">
        <w:rPr>
          <w:color w:val="000000"/>
          <w:sz w:val="24"/>
        </w:rPr>
        <w:t xml:space="preserve"> </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本报告期内，本基金</w:t>
      </w:r>
      <w:r w:rsidRPr="000E4C40">
        <w:rPr>
          <w:color w:val="000000"/>
          <w:sz w:val="24"/>
        </w:rPr>
        <w:t>A</w:t>
      </w:r>
      <w:r w:rsidRPr="000E4C40">
        <w:rPr>
          <w:color w:val="000000"/>
          <w:sz w:val="24"/>
        </w:rPr>
        <w:t>类基金份额净值收益率为</w:t>
      </w:r>
      <w:r w:rsidRPr="000E4C40">
        <w:rPr>
          <w:color w:val="000000"/>
          <w:sz w:val="24"/>
        </w:rPr>
        <w:t>0.</w:t>
      </w:r>
      <w:r w:rsidR="00D67464">
        <w:rPr>
          <w:rFonts w:hint="eastAsia"/>
          <w:color w:val="000000"/>
          <w:sz w:val="24"/>
        </w:rPr>
        <w:t>9561</w:t>
      </w:r>
      <w:r w:rsidRPr="000E4C40">
        <w:rPr>
          <w:color w:val="000000"/>
          <w:sz w:val="24"/>
        </w:rPr>
        <w:t>%</w:t>
      </w:r>
      <w:r w:rsidRPr="000E4C40">
        <w:rPr>
          <w:color w:val="000000"/>
          <w:sz w:val="24"/>
        </w:rPr>
        <w:t>，同期业绩比较基准收益率为</w:t>
      </w:r>
      <w:r w:rsidRPr="000E4C40">
        <w:rPr>
          <w:color w:val="000000"/>
          <w:sz w:val="24"/>
        </w:rPr>
        <w:t>0.08</w:t>
      </w:r>
      <w:r w:rsidR="00D67464">
        <w:rPr>
          <w:rFonts w:hint="eastAsia"/>
          <w:color w:val="000000"/>
          <w:sz w:val="24"/>
        </w:rPr>
        <w:t>7</w:t>
      </w:r>
      <w:r w:rsidRPr="000E4C40">
        <w:rPr>
          <w:color w:val="000000"/>
          <w:sz w:val="24"/>
        </w:rPr>
        <w:t>3%</w:t>
      </w:r>
      <w:r w:rsidRPr="000E4C40">
        <w:rPr>
          <w:color w:val="000000"/>
          <w:sz w:val="24"/>
        </w:rPr>
        <w:t>；本基金</w:t>
      </w:r>
      <w:r w:rsidRPr="000E4C40">
        <w:rPr>
          <w:color w:val="000000"/>
          <w:sz w:val="24"/>
        </w:rPr>
        <w:t>E</w:t>
      </w:r>
      <w:r w:rsidRPr="000E4C40">
        <w:rPr>
          <w:color w:val="000000"/>
          <w:sz w:val="24"/>
        </w:rPr>
        <w:t>类基金份额净值收益率为</w:t>
      </w:r>
      <w:r w:rsidR="00D67464">
        <w:rPr>
          <w:rFonts w:hint="eastAsia"/>
          <w:color w:val="000000"/>
          <w:sz w:val="24"/>
        </w:rPr>
        <w:t>1.0164</w:t>
      </w:r>
      <w:r w:rsidRPr="000E4C40">
        <w:rPr>
          <w:color w:val="000000"/>
          <w:sz w:val="24"/>
        </w:rPr>
        <w:t>%</w:t>
      </w:r>
      <w:r w:rsidRPr="000E4C40">
        <w:rPr>
          <w:color w:val="000000"/>
          <w:sz w:val="24"/>
        </w:rPr>
        <w:t>，同期业绩比较基准收益率为</w:t>
      </w:r>
      <w:r w:rsidRPr="000E4C40">
        <w:rPr>
          <w:color w:val="000000"/>
          <w:sz w:val="24"/>
        </w:rPr>
        <w:t>0.08</w:t>
      </w:r>
      <w:r w:rsidR="00D67464">
        <w:rPr>
          <w:rFonts w:hint="eastAsia"/>
          <w:color w:val="000000"/>
          <w:sz w:val="24"/>
        </w:rPr>
        <w:t>7</w:t>
      </w:r>
      <w:r w:rsidRPr="000E4C40">
        <w:rPr>
          <w:color w:val="000000"/>
          <w:sz w:val="24"/>
        </w:rPr>
        <w:t>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B64665">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749,854,911.08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35.17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749,854,911.08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35.17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317,880,341.97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14.91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1,060,048,234.81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49.73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4,028,907.39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0.19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lastRenderedPageBreak/>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2,131,812,395.25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B64665">
            <w:pPr>
              <w:spacing w:before="29" w:line="288" w:lineRule="auto"/>
              <w:jc w:val="right"/>
              <w:rPr>
                <w:sz w:val="24"/>
              </w:rPr>
            </w:pPr>
            <w:r w:rsidRPr="000E4C40">
              <w:rPr>
                <w:sz w:val="24"/>
              </w:rPr>
              <w:t>7.5</w:t>
            </w:r>
            <w:r w:rsidR="00B64665">
              <w:rPr>
                <w:rFonts w:hint="eastAsia"/>
                <w:sz w:val="24"/>
              </w:rPr>
              <w:t>4</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90,000,000.00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4.41</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89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AB3710" w:rsidP="00AB3710">
            <w:pPr>
              <w:spacing w:before="29" w:line="288" w:lineRule="auto"/>
              <w:ind w:right="120"/>
              <w:jc w:val="right"/>
              <w:rPr>
                <w:rFonts w:hint="eastAsia"/>
                <w:color w:val="000000"/>
                <w:sz w:val="24"/>
              </w:rPr>
            </w:pPr>
            <w:bookmarkStart w:id="2" w:name="_GoBack"/>
            <w:bookmarkEnd w:id="2"/>
            <w:r w:rsidRPr="00AB3710">
              <w:rPr>
                <w:color w:val="000000"/>
                <w:sz w:val="24"/>
              </w:rPr>
              <w:t>90</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44</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lastRenderedPageBreak/>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AB761B" w:rsidRDefault="00AB761B" w:rsidP="00281564">
            <w:pPr>
              <w:autoSpaceDE w:val="0"/>
              <w:autoSpaceDN w:val="0"/>
              <w:adjustRightInd w:val="0"/>
              <w:spacing w:before="29" w:line="288" w:lineRule="auto"/>
              <w:ind w:left="15"/>
              <w:jc w:val="right"/>
              <w:rPr>
                <w:color w:val="000000"/>
                <w:kern w:val="0"/>
                <w:sz w:val="24"/>
              </w:rPr>
            </w:pPr>
            <w:r w:rsidRPr="00AB761B">
              <w:rPr>
                <w:color w:val="000000"/>
                <w:sz w:val="24"/>
              </w:rPr>
              <w:t>17.58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4.41</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AB761B" w:rsidRDefault="007521F9" w:rsidP="00281564">
            <w:pPr>
              <w:autoSpaceDE w:val="0"/>
              <w:autoSpaceDN w:val="0"/>
              <w:adjustRightInd w:val="0"/>
              <w:spacing w:before="29" w:line="288" w:lineRule="auto"/>
              <w:ind w:left="15"/>
              <w:jc w:val="right"/>
              <w:rPr>
                <w:color w:val="000000"/>
                <w:kern w:val="0"/>
                <w:sz w:val="24"/>
              </w:rPr>
            </w:pPr>
            <w:r w:rsidRPr="00AB761B">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AB761B" w:rsidRDefault="007521F9" w:rsidP="00281564">
            <w:pPr>
              <w:autoSpaceDE w:val="0"/>
              <w:autoSpaceDN w:val="0"/>
              <w:adjustRightInd w:val="0"/>
              <w:spacing w:before="29" w:line="288" w:lineRule="auto"/>
              <w:ind w:left="15"/>
              <w:jc w:val="right"/>
              <w:rPr>
                <w:color w:val="000000"/>
                <w:kern w:val="0"/>
                <w:sz w:val="24"/>
              </w:rPr>
            </w:pPr>
            <w:r w:rsidRPr="00AB761B">
              <w:rPr>
                <w:color w:val="000000"/>
                <w:sz w:val="24"/>
              </w:rPr>
              <w:t>5.36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AB761B" w:rsidRDefault="007521F9" w:rsidP="00281564">
            <w:pPr>
              <w:autoSpaceDE w:val="0"/>
              <w:autoSpaceDN w:val="0"/>
              <w:adjustRightInd w:val="0"/>
              <w:spacing w:before="29" w:line="288" w:lineRule="auto"/>
              <w:ind w:left="15"/>
              <w:jc w:val="right"/>
              <w:rPr>
                <w:color w:val="000000"/>
                <w:kern w:val="0"/>
                <w:sz w:val="24"/>
              </w:rPr>
            </w:pPr>
            <w:r w:rsidRPr="00AB761B">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AB761B" w:rsidRDefault="007521F9" w:rsidP="00281564">
            <w:pPr>
              <w:autoSpaceDE w:val="0"/>
              <w:autoSpaceDN w:val="0"/>
              <w:adjustRightInd w:val="0"/>
              <w:spacing w:before="29" w:line="288" w:lineRule="auto"/>
              <w:ind w:left="15"/>
              <w:jc w:val="right"/>
              <w:rPr>
                <w:color w:val="000000"/>
                <w:kern w:val="0"/>
                <w:sz w:val="24"/>
              </w:rPr>
            </w:pPr>
            <w:r w:rsidRPr="00AB761B">
              <w:rPr>
                <w:color w:val="000000"/>
                <w:sz w:val="24"/>
              </w:rPr>
              <w:t>58.60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AB761B" w:rsidRDefault="007521F9" w:rsidP="00281564">
            <w:pPr>
              <w:autoSpaceDE w:val="0"/>
              <w:autoSpaceDN w:val="0"/>
              <w:adjustRightInd w:val="0"/>
              <w:spacing w:before="29" w:line="288" w:lineRule="auto"/>
              <w:ind w:left="15"/>
              <w:jc w:val="right"/>
              <w:rPr>
                <w:color w:val="000000"/>
                <w:kern w:val="0"/>
                <w:sz w:val="24"/>
              </w:rPr>
            </w:pPr>
            <w:r w:rsidRPr="00AB761B">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AB761B" w:rsidRDefault="000E5695" w:rsidP="00281564">
            <w:pPr>
              <w:autoSpaceDE w:val="0"/>
              <w:autoSpaceDN w:val="0"/>
              <w:adjustRightInd w:val="0"/>
              <w:spacing w:before="29" w:line="288" w:lineRule="auto"/>
              <w:ind w:left="15"/>
              <w:jc w:val="right"/>
              <w:rPr>
                <w:color w:val="000000"/>
                <w:kern w:val="0"/>
                <w:sz w:val="24"/>
              </w:rPr>
            </w:pPr>
            <w:r w:rsidRPr="00AB761B">
              <w:rPr>
                <w:color w:val="000000"/>
                <w:sz w:val="24"/>
              </w:rPr>
              <w:t>1.94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AB761B" w:rsidRDefault="000E5695" w:rsidP="00281564">
            <w:pPr>
              <w:autoSpaceDE w:val="0"/>
              <w:autoSpaceDN w:val="0"/>
              <w:adjustRightInd w:val="0"/>
              <w:spacing w:before="29" w:line="288" w:lineRule="auto"/>
              <w:ind w:left="15"/>
              <w:jc w:val="right"/>
              <w:rPr>
                <w:color w:val="000000"/>
                <w:kern w:val="0"/>
                <w:sz w:val="24"/>
              </w:rPr>
            </w:pPr>
            <w:r w:rsidRPr="00AB761B">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AB761B" w:rsidRDefault="000E5695" w:rsidP="00281564">
            <w:pPr>
              <w:autoSpaceDE w:val="0"/>
              <w:autoSpaceDN w:val="0"/>
              <w:adjustRightInd w:val="0"/>
              <w:spacing w:before="29" w:line="288" w:lineRule="auto"/>
              <w:ind w:left="15"/>
              <w:jc w:val="right"/>
              <w:rPr>
                <w:color w:val="000000"/>
                <w:kern w:val="0"/>
                <w:sz w:val="24"/>
              </w:rPr>
            </w:pPr>
            <w:r w:rsidRPr="00AB761B">
              <w:rPr>
                <w:color w:val="000000"/>
                <w:sz w:val="24"/>
              </w:rPr>
              <w:t>20.82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AB761B" w:rsidRDefault="000E5695" w:rsidP="00281564">
            <w:pPr>
              <w:autoSpaceDE w:val="0"/>
              <w:autoSpaceDN w:val="0"/>
              <w:adjustRightInd w:val="0"/>
              <w:spacing w:before="29" w:line="288" w:lineRule="auto"/>
              <w:ind w:left="15"/>
              <w:jc w:val="right"/>
              <w:rPr>
                <w:color w:val="000000"/>
                <w:kern w:val="0"/>
                <w:sz w:val="24"/>
              </w:rPr>
            </w:pPr>
            <w:r w:rsidRPr="00AB761B">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AB761B" w:rsidRDefault="00AB761B" w:rsidP="00281564">
            <w:pPr>
              <w:autoSpaceDE w:val="0"/>
              <w:autoSpaceDN w:val="0"/>
              <w:adjustRightInd w:val="0"/>
              <w:spacing w:before="29" w:line="288" w:lineRule="auto"/>
              <w:ind w:left="15"/>
              <w:jc w:val="right"/>
              <w:rPr>
                <w:color w:val="000000"/>
                <w:kern w:val="0"/>
                <w:sz w:val="24"/>
              </w:rPr>
            </w:pPr>
            <w:r w:rsidRPr="00AB761B">
              <w:rPr>
                <w:color w:val="000000"/>
                <w:sz w:val="24"/>
              </w:rPr>
              <w:t>104.30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4.41</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119,419,243.77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5.85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630,435,667.31</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30.89</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lastRenderedPageBreak/>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749,854,911.08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36.74</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39"/>
        <w:gridCol w:w="1279"/>
        <w:gridCol w:w="2324"/>
        <w:gridCol w:w="1118"/>
        <w:gridCol w:w="1987"/>
        <w:gridCol w:w="1321"/>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D71305">
        <w:trPr>
          <w:jc w:val="center"/>
        </w:trPr>
        <w:tc>
          <w:tcPr>
            <w:tcW w:w="0" w:type="auto"/>
            <w:vAlign w:val="center"/>
          </w:tcPr>
          <w:p w:rsidR="00D71305" w:rsidRDefault="00CA1390">
            <w:pPr>
              <w:jc w:val="center"/>
            </w:pPr>
            <w:r>
              <w:rPr>
                <w:color w:val="000000"/>
                <w:sz w:val="24"/>
              </w:rPr>
              <w:t>1</w:t>
            </w:r>
          </w:p>
        </w:tc>
        <w:tc>
          <w:tcPr>
            <w:tcW w:w="0" w:type="auto"/>
            <w:vAlign w:val="center"/>
          </w:tcPr>
          <w:p w:rsidR="00D71305" w:rsidRDefault="00CA1390">
            <w:pPr>
              <w:jc w:val="center"/>
            </w:pPr>
            <w:r>
              <w:rPr>
                <w:color w:val="000000"/>
                <w:sz w:val="24"/>
              </w:rPr>
              <w:t>020178</w:t>
            </w:r>
          </w:p>
        </w:tc>
        <w:tc>
          <w:tcPr>
            <w:tcW w:w="0" w:type="auto"/>
            <w:vAlign w:val="center"/>
          </w:tcPr>
          <w:p w:rsidR="00D71305" w:rsidRDefault="00CA1390">
            <w:pPr>
              <w:jc w:val="center"/>
            </w:pPr>
            <w:r>
              <w:rPr>
                <w:color w:val="000000"/>
                <w:sz w:val="24"/>
              </w:rPr>
              <w:t>17</w:t>
            </w:r>
            <w:r>
              <w:rPr>
                <w:color w:val="000000"/>
                <w:sz w:val="24"/>
              </w:rPr>
              <w:t>贴债</w:t>
            </w:r>
            <w:r>
              <w:rPr>
                <w:color w:val="000000"/>
                <w:sz w:val="24"/>
              </w:rPr>
              <w:t>22</w:t>
            </w:r>
          </w:p>
        </w:tc>
        <w:tc>
          <w:tcPr>
            <w:tcW w:w="0" w:type="auto"/>
            <w:vAlign w:val="center"/>
          </w:tcPr>
          <w:p w:rsidR="00D71305" w:rsidRDefault="00CA1390">
            <w:pPr>
              <w:jc w:val="right"/>
            </w:pPr>
            <w:r>
              <w:rPr>
                <w:color w:val="000000"/>
                <w:sz w:val="24"/>
              </w:rPr>
              <w:t>600,000</w:t>
            </w:r>
          </w:p>
        </w:tc>
        <w:tc>
          <w:tcPr>
            <w:tcW w:w="0" w:type="auto"/>
            <w:vAlign w:val="center"/>
          </w:tcPr>
          <w:p w:rsidR="00D71305" w:rsidRDefault="00CA1390">
            <w:pPr>
              <w:jc w:val="right"/>
            </w:pPr>
            <w:r>
              <w:rPr>
                <w:color w:val="000000"/>
                <w:sz w:val="24"/>
              </w:rPr>
              <w:t>59,768,246.34</w:t>
            </w:r>
          </w:p>
        </w:tc>
        <w:tc>
          <w:tcPr>
            <w:tcW w:w="0" w:type="auto"/>
            <w:vAlign w:val="center"/>
          </w:tcPr>
          <w:p w:rsidR="00D71305" w:rsidRDefault="00CA1390">
            <w:pPr>
              <w:jc w:val="right"/>
            </w:pPr>
            <w:r>
              <w:rPr>
                <w:color w:val="000000"/>
                <w:sz w:val="24"/>
              </w:rPr>
              <w:t>2.93</w:t>
            </w:r>
          </w:p>
        </w:tc>
      </w:tr>
      <w:tr w:rsidR="00D71305">
        <w:trPr>
          <w:jc w:val="center"/>
        </w:trPr>
        <w:tc>
          <w:tcPr>
            <w:tcW w:w="0" w:type="auto"/>
            <w:vAlign w:val="center"/>
          </w:tcPr>
          <w:p w:rsidR="00D71305" w:rsidRDefault="00CA1390">
            <w:pPr>
              <w:jc w:val="center"/>
            </w:pPr>
            <w:r>
              <w:rPr>
                <w:color w:val="000000"/>
                <w:sz w:val="24"/>
              </w:rPr>
              <w:t>2</w:t>
            </w:r>
          </w:p>
        </w:tc>
        <w:tc>
          <w:tcPr>
            <w:tcW w:w="0" w:type="auto"/>
            <w:vAlign w:val="center"/>
          </w:tcPr>
          <w:p w:rsidR="00D71305" w:rsidRDefault="00CA1390">
            <w:pPr>
              <w:jc w:val="center"/>
            </w:pPr>
            <w:r>
              <w:rPr>
                <w:color w:val="000000"/>
                <w:sz w:val="24"/>
              </w:rPr>
              <w:t>020183</w:t>
            </w:r>
          </w:p>
        </w:tc>
        <w:tc>
          <w:tcPr>
            <w:tcW w:w="0" w:type="auto"/>
            <w:vAlign w:val="center"/>
          </w:tcPr>
          <w:p w:rsidR="00D71305" w:rsidRDefault="00CA1390">
            <w:pPr>
              <w:jc w:val="center"/>
            </w:pPr>
            <w:r>
              <w:rPr>
                <w:color w:val="000000"/>
                <w:sz w:val="24"/>
              </w:rPr>
              <w:t>17</w:t>
            </w:r>
            <w:r>
              <w:rPr>
                <w:color w:val="000000"/>
                <w:sz w:val="24"/>
              </w:rPr>
              <w:t>贴债</w:t>
            </w:r>
            <w:r>
              <w:rPr>
                <w:color w:val="000000"/>
                <w:sz w:val="24"/>
              </w:rPr>
              <w:t>27</w:t>
            </w:r>
          </w:p>
        </w:tc>
        <w:tc>
          <w:tcPr>
            <w:tcW w:w="0" w:type="auto"/>
            <w:vAlign w:val="center"/>
          </w:tcPr>
          <w:p w:rsidR="00D71305" w:rsidRDefault="00CA1390">
            <w:pPr>
              <w:jc w:val="right"/>
            </w:pPr>
            <w:r>
              <w:rPr>
                <w:color w:val="000000"/>
                <w:sz w:val="24"/>
              </w:rPr>
              <w:t>500,000</w:t>
            </w:r>
          </w:p>
        </w:tc>
        <w:tc>
          <w:tcPr>
            <w:tcW w:w="0" w:type="auto"/>
            <w:vAlign w:val="center"/>
          </w:tcPr>
          <w:p w:rsidR="00D71305" w:rsidRDefault="00CA1390">
            <w:pPr>
              <w:jc w:val="right"/>
            </w:pPr>
            <w:r>
              <w:rPr>
                <w:color w:val="000000"/>
                <w:sz w:val="24"/>
              </w:rPr>
              <w:t>49,658,205.46</w:t>
            </w:r>
          </w:p>
        </w:tc>
        <w:tc>
          <w:tcPr>
            <w:tcW w:w="0" w:type="auto"/>
            <w:vAlign w:val="center"/>
          </w:tcPr>
          <w:p w:rsidR="00D71305" w:rsidRDefault="00CA1390">
            <w:pPr>
              <w:jc w:val="right"/>
            </w:pPr>
            <w:r>
              <w:rPr>
                <w:color w:val="000000"/>
                <w:sz w:val="24"/>
              </w:rPr>
              <w:t>2.43</w:t>
            </w:r>
          </w:p>
        </w:tc>
      </w:tr>
      <w:tr w:rsidR="00D71305">
        <w:trPr>
          <w:jc w:val="center"/>
        </w:trPr>
        <w:tc>
          <w:tcPr>
            <w:tcW w:w="0" w:type="auto"/>
            <w:vAlign w:val="center"/>
          </w:tcPr>
          <w:p w:rsidR="00D71305" w:rsidRDefault="00CA1390">
            <w:pPr>
              <w:jc w:val="center"/>
            </w:pPr>
            <w:r>
              <w:rPr>
                <w:color w:val="000000"/>
                <w:sz w:val="24"/>
              </w:rPr>
              <w:t>3</w:t>
            </w:r>
          </w:p>
        </w:tc>
        <w:tc>
          <w:tcPr>
            <w:tcW w:w="0" w:type="auto"/>
            <w:vAlign w:val="center"/>
          </w:tcPr>
          <w:p w:rsidR="00D71305" w:rsidRDefault="00CA1390">
            <w:pPr>
              <w:jc w:val="center"/>
            </w:pPr>
            <w:r>
              <w:rPr>
                <w:color w:val="000000"/>
                <w:sz w:val="24"/>
              </w:rPr>
              <w:t>111792617</w:t>
            </w:r>
          </w:p>
        </w:tc>
        <w:tc>
          <w:tcPr>
            <w:tcW w:w="0" w:type="auto"/>
            <w:vAlign w:val="center"/>
          </w:tcPr>
          <w:p w:rsidR="00D71305" w:rsidRDefault="00CA1390">
            <w:pPr>
              <w:jc w:val="center"/>
            </w:pPr>
            <w:r>
              <w:rPr>
                <w:color w:val="000000"/>
                <w:sz w:val="24"/>
              </w:rPr>
              <w:t>17</w:t>
            </w:r>
            <w:r>
              <w:rPr>
                <w:color w:val="000000"/>
                <w:sz w:val="24"/>
              </w:rPr>
              <w:t>广州农村商业银行</w:t>
            </w:r>
            <w:r>
              <w:rPr>
                <w:color w:val="000000"/>
                <w:sz w:val="24"/>
              </w:rPr>
              <w:t>CD025</w:t>
            </w:r>
          </w:p>
        </w:tc>
        <w:tc>
          <w:tcPr>
            <w:tcW w:w="0" w:type="auto"/>
            <w:vAlign w:val="center"/>
          </w:tcPr>
          <w:p w:rsidR="00D71305" w:rsidRDefault="00CA1390">
            <w:pPr>
              <w:jc w:val="right"/>
            </w:pPr>
            <w:r>
              <w:rPr>
                <w:color w:val="000000"/>
                <w:sz w:val="24"/>
              </w:rPr>
              <w:t>500,000</w:t>
            </w:r>
          </w:p>
        </w:tc>
        <w:tc>
          <w:tcPr>
            <w:tcW w:w="0" w:type="auto"/>
            <w:vAlign w:val="center"/>
          </w:tcPr>
          <w:p w:rsidR="00D71305" w:rsidRDefault="00CA1390">
            <w:pPr>
              <w:jc w:val="right"/>
            </w:pPr>
            <w:r>
              <w:rPr>
                <w:color w:val="000000"/>
                <w:sz w:val="24"/>
              </w:rPr>
              <w:t>49,651,811.21</w:t>
            </w:r>
          </w:p>
        </w:tc>
        <w:tc>
          <w:tcPr>
            <w:tcW w:w="0" w:type="auto"/>
            <w:vAlign w:val="center"/>
          </w:tcPr>
          <w:p w:rsidR="00D71305" w:rsidRDefault="00CA1390">
            <w:pPr>
              <w:jc w:val="right"/>
            </w:pPr>
            <w:r>
              <w:rPr>
                <w:color w:val="000000"/>
                <w:sz w:val="24"/>
              </w:rPr>
              <w:t>2.43</w:t>
            </w:r>
          </w:p>
        </w:tc>
      </w:tr>
      <w:tr w:rsidR="00D71305">
        <w:trPr>
          <w:jc w:val="center"/>
        </w:trPr>
        <w:tc>
          <w:tcPr>
            <w:tcW w:w="0" w:type="auto"/>
            <w:vAlign w:val="center"/>
          </w:tcPr>
          <w:p w:rsidR="00D71305" w:rsidRDefault="00CA1390">
            <w:pPr>
              <w:jc w:val="center"/>
            </w:pPr>
            <w:r>
              <w:rPr>
                <w:color w:val="000000"/>
                <w:sz w:val="24"/>
              </w:rPr>
              <w:t>4</w:t>
            </w:r>
          </w:p>
        </w:tc>
        <w:tc>
          <w:tcPr>
            <w:tcW w:w="0" w:type="auto"/>
            <w:vAlign w:val="center"/>
          </w:tcPr>
          <w:p w:rsidR="00D71305" w:rsidRDefault="00CA1390">
            <w:pPr>
              <w:jc w:val="center"/>
            </w:pPr>
            <w:r>
              <w:rPr>
                <w:color w:val="000000"/>
                <w:sz w:val="24"/>
              </w:rPr>
              <w:t>111793080</w:t>
            </w:r>
          </w:p>
        </w:tc>
        <w:tc>
          <w:tcPr>
            <w:tcW w:w="0" w:type="auto"/>
            <w:vAlign w:val="center"/>
          </w:tcPr>
          <w:p w:rsidR="00D71305" w:rsidRDefault="00CA1390">
            <w:pPr>
              <w:jc w:val="center"/>
            </w:pPr>
            <w:r>
              <w:rPr>
                <w:color w:val="000000"/>
                <w:sz w:val="24"/>
              </w:rPr>
              <w:t>17</w:t>
            </w:r>
            <w:r>
              <w:rPr>
                <w:color w:val="000000"/>
                <w:sz w:val="24"/>
              </w:rPr>
              <w:t>湖北银行</w:t>
            </w:r>
            <w:r>
              <w:rPr>
                <w:color w:val="000000"/>
                <w:sz w:val="24"/>
              </w:rPr>
              <w:t>CD022</w:t>
            </w:r>
          </w:p>
        </w:tc>
        <w:tc>
          <w:tcPr>
            <w:tcW w:w="0" w:type="auto"/>
            <w:vAlign w:val="center"/>
          </w:tcPr>
          <w:p w:rsidR="00D71305" w:rsidRDefault="00CA1390">
            <w:pPr>
              <w:jc w:val="right"/>
            </w:pPr>
            <w:r>
              <w:rPr>
                <w:color w:val="000000"/>
                <w:sz w:val="24"/>
              </w:rPr>
              <w:t>500,000</w:t>
            </w:r>
          </w:p>
        </w:tc>
        <w:tc>
          <w:tcPr>
            <w:tcW w:w="0" w:type="auto"/>
            <w:vAlign w:val="center"/>
          </w:tcPr>
          <w:p w:rsidR="00D71305" w:rsidRDefault="00CA1390">
            <w:pPr>
              <w:jc w:val="right"/>
            </w:pPr>
            <w:r>
              <w:rPr>
                <w:color w:val="000000"/>
                <w:sz w:val="24"/>
              </w:rPr>
              <w:t>49,587,214.21</w:t>
            </w:r>
          </w:p>
        </w:tc>
        <w:tc>
          <w:tcPr>
            <w:tcW w:w="0" w:type="auto"/>
            <w:vAlign w:val="center"/>
          </w:tcPr>
          <w:p w:rsidR="00D71305" w:rsidRDefault="00CA1390">
            <w:pPr>
              <w:jc w:val="right"/>
            </w:pPr>
            <w:r>
              <w:rPr>
                <w:color w:val="000000"/>
                <w:sz w:val="24"/>
              </w:rPr>
              <w:t>2.43</w:t>
            </w:r>
          </w:p>
        </w:tc>
      </w:tr>
      <w:tr w:rsidR="00D71305">
        <w:trPr>
          <w:jc w:val="center"/>
        </w:trPr>
        <w:tc>
          <w:tcPr>
            <w:tcW w:w="0" w:type="auto"/>
            <w:vAlign w:val="center"/>
          </w:tcPr>
          <w:p w:rsidR="00D71305" w:rsidRDefault="00CA1390">
            <w:pPr>
              <w:jc w:val="center"/>
            </w:pPr>
            <w:r>
              <w:rPr>
                <w:color w:val="000000"/>
                <w:sz w:val="24"/>
              </w:rPr>
              <w:t>5</w:t>
            </w:r>
          </w:p>
        </w:tc>
        <w:tc>
          <w:tcPr>
            <w:tcW w:w="0" w:type="auto"/>
            <w:vAlign w:val="center"/>
          </w:tcPr>
          <w:p w:rsidR="00D71305" w:rsidRDefault="00CA1390">
            <w:pPr>
              <w:jc w:val="center"/>
            </w:pPr>
            <w:r>
              <w:rPr>
                <w:color w:val="000000"/>
                <w:sz w:val="24"/>
              </w:rPr>
              <w:t>111721089</w:t>
            </w:r>
          </w:p>
        </w:tc>
        <w:tc>
          <w:tcPr>
            <w:tcW w:w="0" w:type="auto"/>
            <w:vAlign w:val="center"/>
          </w:tcPr>
          <w:p w:rsidR="00D71305" w:rsidRDefault="00CA1390">
            <w:pPr>
              <w:jc w:val="center"/>
            </w:pPr>
            <w:r>
              <w:rPr>
                <w:color w:val="000000"/>
                <w:sz w:val="24"/>
              </w:rPr>
              <w:t>17</w:t>
            </w:r>
            <w:r>
              <w:rPr>
                <w:color w:val="000000"/>
                <w:sz w:val="24"/>
              </w:rPr>
              <w:t>渤海银行</w:t>
            </w:r>
            <w:r>
              <w:rPr>
                <w:color w:val="000000"/>
                <w:sz w:val="24"/>
              </w:rPr>
              <w:t>CD089</w:t>
            </w:r>
          </w:p>
        </w:tc>
        <w:tc>
          <w:tcPr>
            <w:tcW w:w="0" w:type="auto"/>
            <w:vAlign w:val="center"/>
          </w:tcPr>
          <w:p w:rsidR="00D71305" w:rsidRDefault="00CA1390">
            <w:pPr>
              <w:jc w:val="right"/>
            </w:pPr>
            <w:r>
              <w:rPr>
                <w:color w:val="000000"/>
                <w:sz w:val="24"/>
              </w:rPr>
              <w:t>500,000</w:t>
            </w:r>
          </w:p>
        </w:tc>
        <w:tc>
          <w:tcPr>
            <w:tcW w:w="0" w:type="auto"/>
            <w:vAlign w:val="center"/>
          </w:tcPr>
          <w:p w:rsidR="00D71305" w:rsidRDefault="00CA1390">
            <w:pPr>
              <w:jc w:val="right"/>
            </w:pPr>
            <w:r>
              <w:rPr>
                <w:color w:val="000000"/>
                <w:sz w:val="24"/>
              </w:rPr>
              <w:t>49,487,838.86</w:t>
            </w:r>
          </w:p>
        </w:tc>
        <w:tc>
          <w:tcPr>
            <w:tcW w:w="0" w:type="auto"/>
            <w:vAlign w:val="center"/>
          </w:tcPr>
          <w:p w:rsidR="00D71305" w:rsidRDefault="00CA1390">
            <w:pPr>
              <w:jc w:val="right"/>
            </w:pPr>
            <w:r>
              <w:rPr>
                <w:color w:val="000000"/>
                <w:sz w:val="24"/>
              </w:rPr>
              <w:t>2.42</w:t>
            </w:r>
          </w:p>
        </w:tc>
      </w:tr>
      <w:tr w:rsidR="00D71305">
        <w:trPr>
          <w:jc w:val="center"/>
        </w:trPr>
        <w:tc>
          <w:tcPr>
            <w:tcW w:w="0" w:type="auto"/>
            <w:vAlign w:val="center"/>
          </w:tcPr>
          <w:p w:rsidR="00D71305" w:rsidRDefault="00CA1390">
            <w:pPr>
              <w:jc w:val="center"/>
            </w:pPr>
            <w:r>
              <w:rPr>
                <w:color w:val="000000"/>
                <w:sz w:val="24"/>
              </w:rPr>
              <w:t>6</w:t>
            </w:r>
          </w:p>
        </w:tc>
        <w:tc>
          <w:tcPr>
            <w:tcW w:w="0" w:type="auto"/>
            <w:vAlign w:val="center"/>
          </w:tcPr>
          <w:p w:rsidR="00D71305" w:rsidRDefault="00CA1390">
            <w:pPr>
              <w:jc w:val="center"/>
            </w:pPr>
            <w:r>
              <w:rPr>
                <w:color w:val="000000"/>
                <w:sz w:val="24"/>
              </w:rPr>
              <w:t>111794608</w:t>
            </w:r>
          </w:p>
        </w:tc>
        <w:tc>
          <w:tcPr>
            <w:tcW w:w="0" w:type="auto"/>
            <w:vAlign w:val="center"/>
          </w:tcPr>
          <w:p w:rsidR="00D71305" w:rsidRDefault="00CA1390">
            <w:pPr>
              <w:jc w:val="center"/>
            </w:pPr>
            <w:r>
              <w:rPr>
                <w:color w:val="000000"/>
                <w:sz w:val="24"/>
              </w:rPr>
              <w:t>17</w:t>
            </w:r>
            <w:r>
              <w:rPr>
                <w:color w:val="000000"/>
                <w:sz w:val="24"/>
              </w:rPr>
              <w:t>九江银行</w:t>
            </w:r>
            <w:r>
              <w:rPr>
                <w:color w:val="000000"/>
                <w:sz w:val="24"/>
              </w:rPr>
              <w:t>CD065</w:t>
            </w:r>
          </w:p>
        </w:tc>
        <w:tc>
          <w:tcPr>
            <w:tcW w:w="0" w:type="auto"/>
            <w:vAlign w:val="center"/>
          </w:tcPr>
          <w:p w:rsidR="00D71305" w:rsidRDefault="00CA1390">
            <w:pPr>
              <w:jc w:val="right"/>
            </w:pPr>
            <w:r>
              <w:rPr>
                <w:color w:val="000000"/>
                <w:sz w:val="24"/>
              </w:rPr>
              <w:t>500,000</w:t>
            </w:r>
          </w:p>
        </w:tc>
        <w:tc>
          <w:tcPr>
            <w:tcW w:w="0" w:type="auto"/>
            <w:vAlign w:val="center"/>
          </w:tcPr>
          <w:p w:rsidR="00D71305" w:rsidRDefault="00CA1390">
            <w:pPr>
              <w:jc w:val="right"/>
            </w:pPr>
            <w:r>
              <w:rPr>
                <w:color w:val="000000"/>
                <w:sz w:val="24"/>
              </w:rPr>
              <w:t>49,452,370.63</w:t>
            </w:r>
          </w:p>
        </w:tc>
        <w:tc>
          <w:tcPr>
            <w:tcW w:w="0" w:type="auto"/>
            <w:vAlign w:val="center"/>
          </w:tcPr>
          <w:p w:rsidR="00D71305" w:rsidRDefault="00CA1390">
            <w:pPr>
              <w:jc w:val="right"/>
            </w:pPr>
            <w:r>
              <w:rPr>
                <w:color w:val="000000"/>
                <w:sz w:val="24"/>
              </w:rPr>
              <w:t>2.42</w:t>
            </w:r>
          </w:p>
        </w:tc>
      </w:tr>
      <w:tr w:rsidR="00D71305">
        <w:trPr>
          <w:jc w:val="center"/>
        </w:trPr>
        <w:tc>
          <w:tcPr>
            <w:tcW w:w="0" w:type="auto"/>
            <w:vAlign w:val="center"/>
          </w:tcPr>
          <w:p w:rsidR="00D71305" w:rsidRDefault="00CA1390">
            <w:pPr>
              <w:jc w:val="center"/>
            </w:pPr>
            <w:r>
              <w:rPr>
                <w:color w:val="000000"/>
                <w:sz w:val="24"/>
              </w:rPr>
              <w:t>7</w:t>
            </w:r>
          </w:p>
        </w:tc>
        <w:tc>
          <w:tcPr>
            <w:tcW w:w="0" w:type="auto"/>
            <w:vAlign w:val="center"/>
          </w:tcPr>
          <w:p w:rsidR="00D71305" w:rsidRDefault="00CA1390">
            <w:pPr>
              <w:jc w:val="center"/>
            </w:pPr>
            <w:r>
              <w:rPr>
                <w:color w:val="000000"/>
                <w:sz w:val="24"/>
              </w:rPr>
              <w:t>111780201</w:t>
            </w:r>
          </w:p>
        </w:tc>
        <w:tc>
          <w:tcPr>
            <w:tcW w:w="0" w:type="auto"/>
            <w:vAlign w:val="center"/>
          </w:tcPr>
          <w:p w:rsidR="00D71305" w:rsidRDefault="00CA1390">
            <w:pPr>
              <w:jc w:val="center"/>
            </w:pPr>
            <w:r>
              <w:rPr>
                <w:color w:val="000000"/>
                <w:sz w:val="24"/>
              </w:rPr>
              <w:t>17</w:t>
            </w:r>
            <w:r>
              <w:rPr>
                <w:color w:val="000000"/>
                <w:sz w:val="24"/>
              </w:rPr>
              <w:t>大连农商行</w:t>
            </w:r>
            <w:r>
              <w:rPr>
                <w:color w:val="000000"/>
                <w:sz w:val="24"/>
              </w:rPr>
              <w:t>CD020</w:t>
            </w:r>
          </w:p>
        </w:tc>
        <w:tc>
          <w:tcPr>
            <w:tcW w:w="0" w:type="auto"/>
            <w:vAlign w:val="center"/>
          </w:tcPr>
          <w:p w:rsidR="00D71305" w:rsidRDefault="00CA1390">
            <w:pPr>
              <w:jc w:val="right"/>
            </w:pPr>
            <w:r>
              <w:rPr>
                <w:color w:val="000000"/>
                <w:sz w:val="24"/>
              </w:rPr>
              <w:t>500,000</w:t>
            </w:r>
          </w:p>
        </w:tc>
        <w:tc>
          <w:tcPr>
            <w:tcW w:w="0" w:type="auto"/>
            <w:vAlign w:val="center"/>
          </w:tcPr>
          <w:p w:rsidR="00D71305" w:rsidRDefault="00CA1390">
            <w:pPr>
              <w:jc w:val="right"/>
            </w:pPr>
            <w:r>
              <w:rPr>
                <w:color w:val="000000"/>
                <w:sz w:val="24"/>
              </w:rPr>
              <w:t>49,446,238.35</w:t>
            </w:r>
          </w:p>
        </w:tc>
        <w:tc>
          <w:tcPr>
            <w:tcW w:w="0" w:type="auto"/>
            <w:vAlign w:val="center"/>
          </w:tcPr>
          <w:p w:rsidR="00D71305" w:rsidRDefault="00CA1390">
            <w:pPr>
              <w:jc w:val="right"/>
            </w:pPr>
            <w:r>
              <w:rPr>
                <w:color w:val="000000"/>
                <w:sz w:val="24"/>
              </w:rPr>
              <w:t>2.42</w:t>
            </w:r>
          </w:p>
        </w:tc>
      </w:tr>
      <w:tr w:rsidR="00D71305">
        <w:trPr>
          <w:jc w:val="center"/>
        </w:trPr>
        <w:tc>
          <w:tcPr>
            <w:tcW w:w="0" w:type="auto"/>
            <w:vAlign w:val="center"/>
          </w:tcPr>
          <w:p w:rsidR="00D71305" w:rsidRDefault="00CA1390">
            <w:pPr>
              <w:jc w:val="center"/>
            </w:pPr>
            <w:r>
              <w:rPr>
                <w:color w:val="000000"/>
                <w:sz w:val="24"/>
              </w:rPr>
              <w:t>8</w:t>
            </w:r>
          </w:p>
        </w:tc>
        <w:tc>
          <w:tcPr>
            <w:tcW w:w="0" w:type="auto"/>
            <w:vAlign w:val="center"/>
          </w:tcPr>
          <w:p w:rsidR="00D71305" w:rsidRDefault="00CA1390">
            <w:pPr>
              <w:jc w:val="center"/>
            </w:pPr>
            <w:r>
              <w:rPr>
                <w:color w:val="000000"/>
                <w:sz w:val="24"/>
              </w:rPr>
              <w:t>111780145</w:t>
            </w:r>
          </w:p>
        </w:tc>
        <w:tc>
          <w:tcPr>
            <w:tcW w:w="0" w:type="auto"/>
            <w:vAlign w:val="center"/>
          </w:tcPr>
          <w:p w:rsidR="00D71305" w:rsidRDefault="00CA1390">
            <w:pPr>
              <w:jc w:val="center"/>
            </w:pPr>
            <w:r>
              <w:rPr>
                <w:color w:val="000000"/>
                <w:sz w:val="24"/>
              </w:rPr>
              <w:t>17</w:t>
            </w:r>
            <w:r>
              <w:rPr>
                <w:color w:val="000000"/>
                <w:sz w:val="24"/>
              </w:rPr>
              <w:t>江苏太仓农村商业银行</w:t>
            </w:r>
            <w:r>
              <w:rPr>
                <w:color w:val="000000"/>
                <w:sz w:val="24"/>
              </w:rPr>
              <w:t>CD001</w:t>
            </w:r>
          </w:p>
        </w:tc>
        <w:tc>
          <w:tcPr>
            <w:tcW w:w="0" w:type="auto"/>
            <w:vAlign w:val="center"/>
          </w:tcPr>
          <w:p w:rsidR="00D71305" w:rsidRDefault="00CA1390">
            <w:pPr>
              <w:jc w:val="right"/>
            </w:pPr>
            <w:r>
              <w:rPr>
                <w:color w:val="000000"/>
                <w:sz w:val="24"/>
              </w:rPr>
              <w:t>500,000</w:t>
            </w:r>
          </w:p>
        </w:tc>
        <w:tc>
          <w:tcPr>
            <w:tcW w:w="0" w:type="auto"/>
            <w:vAlign w:val="center"/>
          </w:tcPr>
          <w:p w:rsidR="00D71305" w:rsidRDefault="00CA1390">
            <w:pPr>
              <w:jc w:val="right"/>
            </w:pPr>
            <w:r>
              <w:rPr>
                <w:color w:val="000000"/>
                <w:sz w:val="24"/>
              </w:rPr>
              <w:t>49,442,244.02</w:t>
            </w:r>
          </w:p>
        </w:tc>
        <w:tc>
          <w:tcPr>
            <w:tcW w:w="0" w:type="auto"/>
            <w:vAlign w:val="center"/>
          </w:tcPr>
          <w:p w:rsidR="00D71305" w:rsidRDefault="00CA1390">
            <w:pPr>
              <w:jc w:val="right"/>
            </w:pPr>
            <w:r>
              <w:rPr>
                <w:color w:val="000000"/>
                <w:sz w:val="24"/>
              </w:rPr>
              <w:t>2.42</w:t>
            </w:r>
          </w:p>
        </w:tc>
      </w:tr>
      <w:tr w:rsidR="00D71305">
        <w:trPr>
          <w:jc w:val="center"/>
        </w:trPr>
        <w:tc>
          <w:tcPr>
            <w:tcW w:w="0" w:type="auto"/>
            <w:vAlign w:val="center"/>
          </w:tcPr>
          <w:p w:rsidR="00D71305" w:rsidRDefault="00CA1390">
            <w:pPr>
              <w:jc w:val="center"/>
            </w:pPr>
            <w:r>
              <w:rPr>
                <w:color w:val="000000"/>
                <w:sz w:val="24"/>
              </w:rPr>
              <w:t>9</w:t>
            </w:r>
          </w:p>
        </w:tc>
        <w:tc>
          <w:tcPr>
            <w:tcW w:w="0" w:type="auto"/>
            <w:vAlign w:val="center"/>
          </w:tcPr>
          <w:p w:rsidR="00D71305" w:rsidRDefault="00CA1390">
            <w:pPr>
              <w:jc w:val="center"/>
            </w:pPr>
            <w:r>
              <w:rPr>
                <w:color w:val="000000"/>
                <w:sz w:val="24"/>
              </w:rPr>
              <w:t>111794689</w:t>
            </w:r>
          </w:p>
        </w:tc>
        <w:tc>
          <w:tcPr>
            <w:tcW w:w="0" w:type="auto"/>
            <w:vAlign w:val="center"/>
          </w:tcPr>
          <w:p w:rsidR="00D71305" w:rsidRDefault="00CA1390">
            <w:pPr>
              <w:jc w:val="center"/>
            </w:pPr>
            <w:r>
              <w:rPr>
                <w:color w:val="000000"/>
                <w:sz w:val="24"/>
              </w:rPr>
              <w:t>17</w:t>
            </w:r>
            <w:r>
              <w:rPr>
                <w:color w:val="000000"/>
                <w:sz w:val="24"/>
              </w:rPr>
              <w:t>锦州银行</w:t>
            </w:r>
            <w:r>
              <w:rPr>
                <w:color w:val="000000"/>
                <w:sz w:val="24"/>
              </w:rPr>
              <w:t>CD084</w:t>
            </w:r>
          </w:p>
        </w:tc>
        <w:tc>
          <w:tcPr>
            <w:tcW w:w="0" w:type="auto"/>
            <w:vAlign w:val="center"/>
          </w:tcPr>
          <w:p w:rsidR="00D71305" w:rsidRDefault="00CA1390">
            <w:pPr>
              <w:jc w:val="right"/>
            </w:pPr>
            <w:r>
              <w:rPr>
                <w:color w:val="000000"/>
                <w:sz w:val="24"/>
              </w:rPr>
              <w:t>500,000</w:t>
            </w:r>
          </w:p>
        </w:tc>
        <w:tc>
          <w:tcPr>
            <w:tcW w:w="0" w:type="auto"/>
            <w:vAlign w:val="center"/>
          </w:tcPr>
          <w:p w:rsidR="00D71305" w:rsidRDefault="00CA1390">
            <w:pPr>
              <w:jc w:val="right"/>
            </w:pPr>
            <w:r>
              <w:rPr>
                <w:color w:val="000000"/>
                <w:sz w:val="24"/>
              </w:rPr>
              <w:t>49,437,341.00</w:t>
            </w:r>
          </w:p>
        </w:tc>
        <w:tc>
          <w:tcPr>
            <w:tcW w:w="0" w:type="auto"/>
            <w:vAlign w:val="center"/>
          </w:tcPr>
          <w:p w:rsidR="00D71305" w:rsidRDefault="00CA1390">
            <w:pPr>
              <w:jc w:val="right"/>
            </w:pPr>
            <w:r>
              <w:rPr>
                <w:color w:val="000000"/>
                <w:sz w:val="24"/>
              </w:rPr>
              <w:t>2.42</w:t>
            </w:r>
          </w:p>
        </w:tc>
      </w:tr>
      <w:tr w:rsidR="00D71305">
        <w:trPr>
          <w:jc w:val="center"/>
        </w:trPr>
        <w:tc>
          <w:tcPr>
            <w:tcW w:w="0" w:type="auto"/>
            <w:vAlign w:val="center"/>
          </w:tcPr>
          <w:p w:rsidR="00D71305" w:rsidRDefault="00CA1390">
            <w:pPr>
              <w:jc w:val="center"/>
            </w:pPr>
            <w:r>
              <w:rPr>
                <w:color w:val="000000"/>
                <w:sz w:val="24"/>
              </w:rPr>
              <w:t>10</w:t>
            </w:r>
          </w:p>
        </w:tc>
        <w:tc>
          <w:tcPr>
            <w:tcW w:w="0" w:type="auto"/>
            <w:vAlign w:val="center"/>
          </w:tcPr>
          <w:p w:rsidR="00D71305" w:rsidRDefault="00CA1390">
            <w:pPr>
              <w:jc w:val="center"/>
            </w:pPr>
            <w:r>
              <w:rPr>
                <w:color w:val="000000"/>
                <w:sz w:val="24"/>
              </w:rPr>
              <w:t>111794678</w:t>
            </w:r>
          </w:p>
        </w:tc>
        <w:tc>
          <w:tcPr>
            <w:tcW w:w="0" w:type="auto"/>
            <w:vAlign w:val="center"/>
          </w:tcPr>
          <w:p w:rsidR="00D71305" w:rsidRDefault="00CA1390">
            <w:pPr>
              <w:jc w:val="center"/>
            </w:pPr>
            <w:r>
              <w:rPr>
                <w:color w:val="000000"/>
                <w:sz w:val="24"/>
              </w:rPr>
              <w:t>17</w:t>
            </w:r>
            <w:r>
              <w:rPr>
                <w:color w:val="000000"/>
                <w:sz w:val="24"/>
              </w:rPr>
              <w:t>东莞银行</w:t>
            </w:r>
            <w:r>
              <w:rPr>
                <w:color w:val="000000"/>
                <w:sz w:val="24"/>
              </w:rPr>
              <w:t>CD028</w:t>
            </w:r>
          </w:p>
        </w:tc>
        <w:tc>
          <w:tcPr>
            <w:tcW w:w="0" w:type="auto"/>
            <w:vAlign w:val="center"/>
          </w:tcPr>
          <w:p w:rsidR="00D71305" w:rsidRDefault="00CA1390">
            <w:pPr>
              <w:jc w:val="right"/>
            </w:pPr>
            <w:r>
              <w:rPr>
                <w:color w:val="000000"/>
                <w:sz w:val="24"/>
              </w:rPr>
              <w:t>500,000</w:t>
            </w:r>
          </w:p>
        </w:tc>
        <w:tc>
          <w:tcPr>
            <w:tcW w:w="0" w:type="auto"/>
            <w:vAlign w:val="center"/>
          </w:tcPr>
          <w:p w:rsidR="00D71305" w:rsidRDefault="00CA1390">
            <w:pPr>
              <w:jc w:val="right"/>
            </w:pPr>
            <w:r>
              <w:rPr>
                <w:color w:val="000000"/>
                <w:sz w:val="24"/>
              </w:rPr>
              <w:t>49,437,316.83</w:t>
            </w:r>
          </w:p>
        </w:tc>
        <w:tc>
          <w:tcPr>
            <w:tcW w:w="0" w:type="auto"/>
            <w:vAlign w:val="center"/>
          </w:tcPr>
          <w:p w:rsidR="00D71305" w:rsidRDefault="00CA1390">
            <w:pPr>
              <w:jc w:val="right"/>
            </w:pPr>
            <w:r>
              <w:rPr>
                <w:color w:val="000000"/>
                <w:sz w:val="24"/>
              </w:rPr>
              <w:t>2.42</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0.0273%</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-0.0246%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AB3710" w:rsidP="00281564">
            <w:pPr>
              <w:spacing w:before="29" w:line="288" w:lineRule="auto"/>
              <w:jc w:val="right"/>
              <w:rPr>
                <w:sz w:val="24"/>
              </w:rPr>
            </w:pPr>
            <w:r w:rsidRPr="00AB3710">
              <w:rPr>
                <w:color w:val="000000"/>
                <w:sz w:val="24"/>
              </w:rPr>
              <w:t>0.0123%</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lastRenderedPageBreak/>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9,025.15</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919,880.41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3,099,976.83</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25.00</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4,028,907.39</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B64665">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交银天利宝货币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交银天利宝货币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13,930,317.84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1,509,477,592.90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24,982,796.24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515,490,883.86</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22,910,981.26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16,002,132.82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2,024,968,476.76</w:t>
            </w:r>
          </w:p>
        </w:tc>
      </w:tr>
    </w:tbl>
    <w:p w:rsidR="00D71305" w:rsidRDefault="00CA139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D71305" w:rsidRDefault="00CA1390">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、如果本报告期间发生转换出、份额类别调整业务，则总赎回份额中包含该业务；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B64665">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B64665">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Pr="005C2A08" w:rsidRDefault="003D1E1A" w:rsidP="003D1E1A">
      <w:pPr>
        <w:autoSpaceDE w:val="0"/>
        <w:autoSpaceDN w:val="0"/>
        <w:adjustRightInd w:val="0"/>
        <w:spacing w:line="360" w:lineRule="auto"/>
        <w:jc w:val="left"/>
        <w:rPr>
          <w:b/>
          <w:bCs/>
          <w:color w:val="000000"/>
          <w:kern w:val="0"/>
          <w:sz w:val="24"/>
        </w:rPr>
      </w:pPr>
      <w:r w:rsidRPr="005C2A08">
        <w:rPr>
          <w:b/>
          <w:bCs/>
          <w:color w:val="000000"/>
          <w:kern w:val="0"/>
          <w:sz w:val="24"/>
        </w:rPr>
        <w:t xml:space="preserve">8.1 </w:t>
      </w:r>
      <w:r w:rsidRPr="005C2A08">
        <w:rPr>
          <w:rFonts w:hint="eastAsia"/>
          <w:b/>
          <w:bCs/>
          <w:color w:val="000000"/>
          <w:kern w:val="0"/>
          <w:sz w:val="24"/>
        </w:rPr>
        <w:t>报告期内单一投资者持有基金份额比例达到或超过</w:t>
      </w:r>
      <w:r w:rsidRPr="005C2A08">
        <w:rPr>
          <w:b/>
          <w:bCs/>
          <w:color w:val="000000"/>
          <w:kern w:val="0"/>
          <w:sz w:val="24"/>
        </w:rPr>
        <w:t>20%</w:t>
      </w:r>
      <w:r w:rsidRPr="005C2A08">
        <w:rPr>
          <w:rFonts w:hint="eastAsia"/>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RPr="005D7CA6"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Pr="005C2A08" w:rsidRDefault="003D1E1A">
            <w:pPr>
              <w:autoSpaceDE w:val="0"/>
              <w:autoSpaceDN w:val="0"/>
              <w:adjustRightInd w:val="0"/>
              <w:jc w:val="center"/>
              <w:rPr>
                <w:b/>
                <w:bCs/>
                <w:color w:val="000000"/>
                <w:kern w:val="0"/>
                <w:sz w:val="24"/>
              </w:rPr>
            </w:pPr>
            <w:r w:rsidRPr="005C2A08">
              <w:rPr>
                <w:rFonts w:hint="eastAsia"/>
                <w:color w:val="000000"/>
                <w:kern w:val="0"/>
                <w:sz w:val="24"/>
              </w:rPr>
              <w:t>投资者类别</w:t>
            </w:r>
            <w:r w:rsidRPr="005C2A08">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Pr="005C2A08" w:rsidRDefault="003D1E1A">
            <w:pPr>
              <w:autoSpaceDE w:val="0"/>
              <w:autoSpaceDN w:val="0"/>
              <w:adjustRightInd w:val="0"/>
              <w:jc w:val="center"/>
              <w:rPr>
                <w:b/>
                <w:bCs/>
                <w:color w:val="000000"/>
                <w:kern w:val="0"/>
                <w:sz w:val="24"/>
              </w:rPr>
            </w:pPr>
            <w:r w:rsidRPr="005C2A08">
              <w:rPr>
                <w:rFonts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Pr="005C2A08" w:rsidRDefault="003D1E1A">
            <w:pPr>
              <w:autoSpaceDE w:val="0"/>
              <w:autoSpaceDN w:val="0"/>
              <w:adjustRightInd w:val="0"/>
              <w:jc w:val="center"/>
              <w:rPr>
                <w:b/>
                <w:bCs/>
                <w:color w:val="000000"/>
                <w:kern w:val="0"/>
                <w:sz w:val="24"/>
              </w:rPr>
            </w:pPr>
            <w:r w:rsidRPr="005C2A08">
              <w:rPr>
                <w:rFonts w:hint="eastAsia"/>
                <w:color w:val="000000"/>
                <w:kern w:val="0"/>
                <w:sz w:val="24"/>
              </w:rPr>
              <w:t>报告期末持有基金情况</w:t>
            </w:r>
          </w:p>
        </w:tc>
      </w:tr>
      <w:tr w:rsidR="003D1E1A" w:rsidRPr="005D7CA6"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Pr="005C2A08" w:rsidRDefault="003D1E1A">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Pr="005C2A08" w:rsidRDefault="003D1E1A">
            <w:pPr>
              <w:autoSpaceDE w:val="0"/>
              <w:autoSpaceDN w:val="0"/>
              <w:adjustRightInd w:val="0"/>
              <w:jc w:val="center"/>
              <w:rPr>
                <w:b/>
                <w:bCs/>
                <w:color w:val="000000"/>
                <w:kern w:val="0"/>
                <w:sz w:val="24"/>
              </w:rPr>
            </w:pPr>
            <w:r w:rsidRPr="005C2A08">
              <w:rPr>
                <w:rFonts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Pr="005C2A08" w:rsidRDefault="003D1E1A">
            <w:pPr>
              <w:autoSpaceDE w:val="0"/>
              <w:autoSpaceDN w:val="0"/>
              <w:adjustRightInd w:val="0"/>
              <w:jc w:val="center"/>
              <w:rPr>
                <w:b/>
                <w:bCs/>
                <w:color w:val="000000"/>
                <w:kern w:val="0"/>
                <w:sz w:val="24"/>
              </w:rPr>
            </w:pPr>
            <w:r w:rsidRPr="005C2A08">
              <w:rPr>
                <w:rFonts w:hint="eastAsia"/>
                <w:color w:val="000000"/>
                <w:kern w:val="0"/>
                <w:sz w:val="24"/>
              </w:rPr>
              <w:t>持有基金份额比例达到或者超过</w:t>
            </w:r>
            <w:r w:rsidRPr="005C2A08">
              <w:rPr>
                <w:color w:val="000000"/>
                <w:kern w:val="0"/>
                <w:sz w:val="24"/>
              </w:rPr>
              <w:t>20%</w:t>
            </w:r>
            <w:r w:rsidRPr="005C2A08">
              <w:rPr>
                <w:rFonts w:hint="eastAsia"/>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Pr="005C2A08" w:rsidRDefault="003D1E1A">
            <w:pPr>
              <w:widowControl/>
              <w:jc w:val="center"/>
              <w:rPr>
                <w:b/>
                <w:bCs/>
                <w:color w:val="000000"/>
                <w:kern w:val="0"/>
                <w:sz w:val="24"/>
              </w:rPr>
            </w:pPr>
            <w:r w:rsidRPr="005C2A08">
              <w:rPr>
                <w:rFonts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Pr="005C2A08" w:rsidRDefault="003D1E1A">
            <w:pPr>
              <w:widowControl/>
              <w:jc w:val="center"/>
              <w:rPr>
                <w:b/>
                <w:bCs/>
                <w:color w:val="000000"/>
                <w:kern w:val="0"/>
                <w:sz w:val="24"/>
              </w:rPr>
            </w:pPr>
            <w:r w:rsidRPr="005C2A08">
              <w:rPr>
                <w:rFonts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Pr="005C2A08" w:rsidRDefault="003D1E1A">
            <w:pPr>
              <w:widowControl/>
              <w:jc w:val="center"/>
              <w:rPr>
                <w:b/>
                <w:bCs/>
                <w:color w:val="000000"/>
                <w:kern w:val="0"/>
                <w:sz w:val="24"/>
              </w:rPr>
            </w:pPr>
            <w:r w:rsidRPr="005C2A08">
              <w:rPr>
                <w:rFonts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Pr="005C2A08" w:rsidRDefault="003D1E1A">
            <w:pPr>
              <w:autoSpaceDE w:val="0"/>
              <w:autoSpaceDN w:val="0"/>
              <w:adjustRightInd w:val="0"/>
              <w:jc w:val="center"/>
              <w:rPr>
                <w:b/>
                <w:bCs/>
                <w:color w:val="000000"/>
                <w:kern w:val="0"/>
                <w:sz w:val="24"/>
              </w:rPr>
            </w:pPr>
            <w:r w:rsidRPr="005C2A08">
              <w:rPr>
                <w:rFonts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Pr="005C2A08" w:rsidRDefault="003D1E1A">
            <w:pPr>
              <w:autoSpaceDE w:val="0"/>
              <w:autoSpaceDN w:val="0"/>
              <w:adjustRightInd w:val="0"/>
              <w:jc w:val="center"/>
              <w:rPr>
                <w:b/>
                <w:bCs/>
                <w:color w:val="000000"/>
                <w:kern w:val="0"/>
                <w:sz w:val="24"/>
              </w:rPr>
            </w:pPr>
            <w:r w:rsidRPr="005C2A08">
              <w:rPr>
                <w:rFonts w:hint="eastAsia"/>
                <w:color w:val="000000"/>
                <w:kern w:val="0"/>
                <w:sz w:val="24"/>
              </w:rPr>
              <w:t>份额占比</w:t>
            </w:r>
          </w:p>
        </w:tc>
      </w:tr>
      <w:tr w:rsidR="00D71305" w:rsidRPr="005D7CA6">
        <w:tc>
          <w:tcPr>
            <w:tcW w:w="992" w:type="dxa"/>
          </w:tcPr>
          <w:p w:rsidR="00D71305" w:rsidRPr="005C2A08" w:rsidRDefault="00D71305">
            <w:pPr>
              <w:rPr>
                <w:sz w:val="24"/>
              </w:rPr>
            </w:pPr>
          </w:p>
          <w:p w:rsidR="00D71305" w:rsidRPr="005C2A08" w:rsidRDefault="00CA1390">
            <w:pPr>
              <w:rPr>
                <w:sz w:val="24"/>
              </w:rPr>
            </w:pPr>
            <w:r w:rsidRPr="005C2A08">
              <w:rPr>
                <w:rFonts w:hint="eastAsia"/>
                <w:bCs/>
                <w:color w:val="000000"/>
                <w:kern w:val="0"/>
                <w:sz w:val="24"/>
              </w:rPr>
              <w:t>机构</w:t>
            </w:r>
          </w:p>
        </w:tc>
        <w:tc>
          <w:tcPr>
            <w:tcW w:w="991" w:type="dxa"/>
            <w:vAlign w:val="center"/>
          </w:tcPr>
          <w:p w:rsidR="00D71305" w:rsidRPr="005C2A08" w:rsidRDefault="00CA1390">
            <w:pPr>
              <w:jc w:val="center"/>
              <w:rPr>
                <w:sz w:val="24"/>
              </w:rPr>
            </w:pPr>
            <w:r w:rsidRPr="005C2A08">
              <w:rPr>
                <w:color w:val="000000"/>
                <w:kern w:val="0"/>
                <w:sz w:val="24"/>
              </w:rPr>
              <w:t>1</w:t>
            </w:r>
          </w:p>
        </w:tc>
        <w:tc>
          <w:tcPr>
            <w:tcW w:w="1843" w:type="dxa"/>
            <w:vAlign w:val="center"/>
          </w:tcPr>
          <w:p w:rsidR="00D71305" w:rsidRPr="005C2A08" w:rsidRDefault="00CA1390">
            <w:pPr>
              <w:jc w:val="center"/>
              <w:rPr>
                <w:sz w:val="24"/>
              </w:rPr>
            </w:pPr>
            <w:r w:rsidRPr="005C2A08">
              <w:rPr>
                <w:color w:val="000000"/>
                <w:kern w:val="0"/>
                <w:sz w:val="24"/>
              </w:rPr>
              <w:t>2017/4/1-2017/6/30</w:t>
            </w:r>
          </w:p>
        </w:tc>
        <w:tc>
          <w:tcPr>
            <w:tcW w:w="851" w:type="dxa"/>
            <w:vAlign w:val="center"/>
          </w:tcPr>
          <w:p w:rsidR="00D71305" w:rsidRPr="005C2A08" w:rsidRDefault="00CA1390">
            <w:pPr>
              <w:jc w:val="center"/>
              <w:rPr>
                <w:sz w:val="24"/>
              </w:rPr>
            </w:pPr>
            <w:r w:rsidRPr="005C2A08">
              <w:rPr>
                <w:color w:val="000000"/>
                <w:kern w:val="0"/>
                <w:sz w:val="24"/>
              </w:rPr>
              <w:t>1,509,477,592.90</w:t>
            </w:r>
          </w:p>
        </w:tc>
        <w:tc>
          <w:tcPr>
            <w:tcW w:w="850" w:type="dxa"/>
            <w:vAlign w:val="center"/>
          </w:tcPr>
          <w:p w:rsidR="00D71305" w:rsidRPr="005C2A08" w:rsidRDefault="00CA1390">
            <w:pPr>
              <w:jc w:val="center"/>
              <w:rPr>
                <w:sz w:val="24"/>
              </w:rPr>
            </w:pPr>
            <w:r w:rsidRPr="005C2A08">
              <w:rPr>
                <w:color w:val="000000"/>
                <w:kern w:val="0"/>
                <w:sz w:val="24"/>
              </w:rPr>
              <w:t>15,310,421.48</w:t>
            </w:r>
          </w:p>
        </w:tc>
        <w:tc>
          <w:tcPr>
            <w:tcW w:w="1134" w:type="dxa"/>
            <w:vAlign w:val="center"/>
          </w:tcPr>
          <w:p w:rsidR="00D71305" w:rsidRPr="005C2A08" w:rsidRDefault="00CA1390">
            <w:pPr>
              <w:jc w:val="center"/>
              <w:rPr>
                <w:sz w:val="24"/>
              </w:rPr>
            </w:pPr>
            <w:r w:rsidRPr="005C2A08">
              <w:rPr>
                <w:color w:val="000000"/>
                <w:kern w:val="0"/>
                <w:sz w:val="24"/>
              </w:rPr>
              <w:t>-</w:t>
            </w:r>
          </w:p>
        </w:tc>
        <w:tc>
          <w:tcPr>
            <w:tcW w:w="1419" w:type="dxa"/>
            <w:vAlign w:val="center"/>
          </w:tcPr>
          <w:p w:rsidR="00D71305" w:rsidRPr="005C2A08" w:rsidRDefault="00CA1390">
            <w:pPr>
              <w:jc w:val="center"/>
              <w:rPr>
                <w:sz w:val="24"/>
              </w:rPr>
            </w:pPr>
            <w:r w:rsidRPr="005C2A08">
              <w:rPr>
                <w:color w:val="000000"/>
                <w:kern w:val="0"/>
                <w:sz w:val="24"/>
              </w:rPr>
              <w:t>1,524,788,014.38</w:t>
            </w:r>
          </w:p>
        </w:tc>
        <w:tc>
          <w:tcPr>
            <w:tcW w:w="1130" w:type="dxa"/>
            <w:vAlign w:val="center"/>
          </w:tcPr>
          <w:p w:rsidR="00D71305" w:rsidRPr="005C2A08" w:rsidRDefault="00CA1390">
            <w:pPr>
              <w:jc w:val="center"/>
              <w:rPr>
                <w:sz w:val="24"/>
              </w:rPr>
            </w:pPr>
            <w:r w:rsidRPr="005C2A08">
              <w:rPr>
                <w:color w:val="000000"/>
                <w:kern w:val="0"/>
                <w:sz w:val="24"/>
              </w:rPr>
              <w:t>74.71%</w:t>
            </w:r>
          </w:p>
        </w:tc>
      </w:tr>
    </w:tbl>
    <w:p w:rsidR="003D1E1A" w:rsidRPr="005C2A08" w:rsidRDefault="003D1E1A" w:rsidP="003D1E1A">
      <w:pPr>
        <w:autoSpaceDE w:val="0"/>
        <w:autoSpaceDN w:val="0"/>
        <w:adjustRightInd w:val="0"/>
        <w:spacing w:line="360" w:lineRule="auto"/>
        <w:jc w:val="left"/>
        <w:rPr>
          <w:bCs/>
          <w:color w:val="000000"/>
          <w:kern w:val="0"/>
          <w:sz w:val="24"/>
        </w:rPr>
      </w:pPr>
      <w:r w:rsidRPr="005C2A08">
        <w:rPr>
          <w:rFonts w:hint="eastAsia"/>
          <w:bCs/>
          <w:color w:val="000000"/>
          <w:kern w:val="0"/>
          <w:sz w:val="24"/>
        </w:rPr>
        <w:t>注：本基金本报告期内出现单一投资者持有基金份额比例超过基金总份额</w:t>
      </w:r>
      <w:r w:rsidRPr="005C2A08">
        <w:rPr>
          <w:bCs/>
          <w:color w:val="000000"/>
          <w:kern w:val="0"/>
          <w:sz w:val="24"/>
        </w:rPr>
        <w:t>20%</w:t>
      </w:r>
      <w:r w:rsidRPr="005C2A08">
        <w:rPr>
          <w:rFonts w:hint="eastAsia"/>
          <w:bCs/>
          <w:color w:val="000000"/>
          <w:kern w:val="0"/>
          <w:sz w:val="24"/>
        </w:rPr>
        <w:t>的情况。如该类投资者集中赎回，可能会对本基金带来流动性冲击，从而影响基金的投资运作和</w:t>
      </w:r>
      <w:r w:rsidRPr="005C2A08">
        <w:rPr>
          <w:rFonts w:hint="eastAsia"/>
          <w:bCs/>
          <w:color w:val="000000"/>
          <w:kern w:val="0"/>
          <w:sz w:val="24"/>
        </w:rPr>
        <w:lastRenderedPageBreak/>
        <w:t>收益水平。基金管理人将加强流动性管理，防范相关风险，保护持有人利益。</w:t>
      </w:r>
    </w:p>
    <w:p w:rsidR="00C03EF8" w:rsidRPr="009268A2" w:rsidRDefault="009D74FC" w:rsidP="00B64665">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D71305" w:rsidRDefault="00CA1390">
      <w:pPr>
        <w:spacing w:before="29" w:line="288" w:lineRule="auto"/>
        <w:ind w:firstLineChars="200" w:firstLine="480"/>
        <w:rPr>
          <w:color w:val="000000"/>
          <w:sz w:val="24"/>
        </w:rPr>
      </w:pPr>
      <w:r>
        <w:rPr>
          <w:color w:val="000000"/>
          <w:sz w:val="24"/>
        </w:rPr>
        <w:t>1</w:t>
      </w:r>
      <w:r>
        <w:rPr>
          <w:color w:val="000000"/>
          <w:sz w:val="24"/>
        </w:rPr>
        <w:t>、中国证监会准予交银施罗德天利宝货币市场基金募集注册的文件；</w:t>
      </w:r>
      <w:r>
        <w:rPr>
          <w:color w:val="000000"/>
          <w:sz w:val="24"/>
        </w:rPr>
        <w:t xml:space="preserve"> </w:t>
      </w:r>
    </w:p>
    <w:p w:rsidR="00D71305" w:rsidRDefault="00CA1390">
      <w:pPr>
        <w:spacing w:before="29" w:line="288" w:lineRule="auto"/>
        <w:ind w:firstLineChars="200" w:firstLine="480"/>
        <w:rPr>
          <w:color w:val="000000"/>
          <w:sz w:val="24"/>
        </w:rPr>
      </w:pPr>
      <w:r>
        <w:rPr>
          <w:color w:val="000000"/>
          <w:sz w:val="24"/>
        </w:rPr>
        <w:t>2</w:t>
      </w:r>
      <w:r>
        <w:rPr>
          <w:color w:val="000000"/>
          <w:sz w:val="24"/>
        </w:rPr>
        <w:t>、《交银施罗德天利宝货币市场基金基金合同》；</w:t>
      </w:r>
      <w:r>
        <w:rPr>
          <w:color w:val="000000"/>
          <w:sz w:val="24"/>
        </w:rPr>
        <w:t xml:space="preserve"> </w:t>
      </w:r>
    </w:p>
    <w:p w:rsidR="00D71305" w:rsidRDefault="00CA1390">
      <w:pPr>
        <w:spacing w:before="29" w:line="288" w:lineRule="auto"/>
        <w:ind w:firstLineChars="200" w:firstLine="480"/>
        <w:rPr>
          <w:color w:val="000000"/>
          <w:sz w:val="24"/>
        </w:rPr>
      </w:pPr>
      <w:r>
        <w:rPr>
          <w:color w:val="000000"/>
          <w:sz w:val="24"/>
        </w:rPr>
        <w:t>3</w:t>
      </w:r>
      <w:r>
        <w:rPr>
          <w:color w:val="000000"/>
          <w:sz w:val="24"/>
        </w:rPr>
        <w:t>、《交银施罗德天利宝货币市场基金招募说明书》；</w:t>
      </w:r>
      <w:r>
        <w:rPr>
          <w:color w:val="000000"/>
          <w:sz w:val="24"/>
        </w:rPr>
        <w:t xml:space="preserve"> </w:t>
      </w:r>
    </w:p>
    <w:p w:rsidR="00D71305" w:rsidRDefault="00CA1390">
      <w:pPr>
        <w:spacing w:before="29" w:line="288" w:lineRule="auto"/>
        <w:ind w:firstLineChars="200" w:firstLine="480"/>
        <w:rPr>
          <w:color w:val="000000"/>
          <w:sz w:val="24"/>
        </w:rPr>
      </w:pPr>
      <w:r>
        <w:rPr>
          <w:color w:val="000000"/>
          <w:sz w:val="24"/>
        </w:rPr>
        <w:t>4</w:t>
      </w:r>
      <w:r>
        <w:rPr>
          <w:color w:val="000000"/>
          <w:sz w:val="24"/>
        </w:rPr>
        <w:t>、《交银施罗德天利宝货币市场基金托管协议》；</w:t>
      </w:r>
      <w:r>
        <w:rPr>
          <w:color w:val="000000"/>
          <w:sz w:val="24"/>
        </w:rPr>
        <w:t xml:space="preserve"> </w:t>
      </w:r>
    </w:p>
    <w:p w:rsidR="00D71305" w:rsidRDefault="00CA1390">
      <w:pPr>
        <w:spacing w:before="29" w:line="288" w:lineRule="auto"/>
        <w:ind w:firstLineChars="200" w:firstLine="480"/>
        <w:rPr>
          <w:color w:val="000000"/>
          <w:sz w:val="24"/>
        </w:rPr>
      </w:pPr>
      <w:r>
        <w:rPr>
          <w:color w:val="000000"/>
          <w:sz w:val="24"/>
        </w:rPr>
        <w:t>5</w:t>
      </w:r>
      <w:r>
        <w:rPr>
          <w:color w:val="000000"/>
          <w:sz w:val="24"/>
        </w:rPr>
        <w:t>、关于申请募集注册交银施罗德天利宝货币市场基金的法律意见书；</w:t>
      </w:r>
      <w:r>
        <w:rPr>
          <w:color w:val="000000"/>
          <w:sz w:val="24"/>
        </w:rPr>
        <w:t xml:space="preserve"> </w:t>
      </w:r>
    </w:p>
    <w:p w:rsidR="00D71305" w:rsidRDefault="00CA1390">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D71305" w:rsidRDefault="00CA1390">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、报告期内交银施罗德天利宝货币市场基金在指定报刊上各项公告的原稿。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D71305" w:rsidRDefault="00CA139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883" w:rsidRDefault="00E27883">
      <w:r>
        <w:separator/>
      </w:r>
    </w:p>
  </w:endnote>
  <w:endnote w:type="continuationSeparator" w:id="0">
    <w:p w:rsidR="00E27883" w:rsidRDefault="00E2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396FC8">
      <w:rPr>
        <w:kern w:val="0"/>
        <w:szCs w:val="21"/>
      </w:rPr>
      <w:fldChar w:fldCharType="begin"/>
    </w:r>
    <w:r>
      <w:rPr>
        <w:kern w:val="0"/>
        <w:szCs w:val="21"/>
      </w:rPr>
      <w:instrText xml:space="preserve"> PAGE </w:instrText>
    </w:r>
    <w:r w:rsidR="00396FC8">
      <w:rPr>
        <w:kern w:val="0"/>
        <w:szCs w:val="21"/>
      </w:rPr>
      <w:fldChar w:fldCharType="separate"/>
    </w:r>
    <w:r w:rsidR="00AB3710">
      <w:rPr>
        <w:noProof/>
        <w:kern w:val="0"/>
        <w:szCs w:val="21"/>
      </w:rPr>
      <w:t>9</w:t>
    </w:r>
    <w:r w:rsidR="00396FC8">
      <w:rPr>
        <w:kern w:val="0"/>
        <w:szCs w:val="21"/>
      </w:rPr>
      <w:fldChar w:fldCharType="end"/>
    </w:r>
    <w:r>
      <w:rPr>
        <w:rFonts w:hint="eastAsia"/>
        <w:kern w:val="0"/>
        <w:szCs w:val="21"/>
      </w:rPr>
      <w:t>页共</w:t>
    </w:r>
    <w:r w:rsidR="00396FC8">
      <w:rPr>
        <w:rFonts w:hint="eastAsia"/>
        <w:kern w:val="0"/>
        <w:szCs w:val="21"/>
      </w:rPr>
      <w:fldChar w:fldCharType="begin"/>
    </w:r>
    <w:r>
      <w:rPr>
        <w:kern w:val="0"/>
        <w:szCs w:val="21"/>
      </w:rPr>
      <w:instrText xml:space="preserve"> NUMPAGES </w:instrText>
    </w:r>
    <w:r w:rsidR="00396FC8">
      <w:rPr>
        <w:rFonts w:hint="eastAsia"/>
        <w:kern w:val="0"/>
        <w:szCs w:val="21"/>
      </w:rPr>
      <w:fldChar w:fldCharType="separate"/>
    </w:r>
    <w:r w:rsidR="00AB3710">
      <w:rPr>
        <w:noProof/>
        <w:kern w:val="0"/>
        <w:szCs w:val="21"/>
      </w:rPr>
      <w:t>14</w:t>
    </w:r>
    <w:r w:rsidR="00396FC8">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883" w:rsidRDefault="00E27883">
      <w:r>
        <w:separator/>
      </w:r>
    </w:p>
  </w:footnote>
  <w:footnote w:type="continuationSeparator" w:id="0">
    <w:p w:rsidR="00E27883" w:rsidRDefault="00E27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96FC8"/>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86639"/>
    <w:rsid w:val="00592D0A"/>
    <w:rsid w:val="00592F2C"/>
    <w:rsid w:val="00594DCA"/>
    <w:rsid w:val="00595285"/>
    <w:rsid w:val="005954A4"/>
    <w:rsid w:val="00597A8E"/>
    <w:rsid w:val="005A2388"/>
    <w:rsid w:val="005A60B7"/>
    <w:rsid w:val="005B0F46"/>
    <w:rsid w:val="005B527B"/>
    <w:rsid w:val="005C2A08"/>
    <w:rsid w:val="005D0779"/>
    <w:rsid w:val="005D596C"/>
    <w:rsid w:val="005D6807"/>
    <w:rsid w:val="005D7CA6"/>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698"/>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5618"/>
    <w:rsid w:val="00A87550"/>
    <w:rsid w:val="00A948C3"/>
    <w:rsid w:val="00A95FA9"/>
    <w:rsid w:val="00A96BCD"/>
    <w:rsid w:val="00AA1DFA"/>
    <w:rsid w:val="00AA5B03"/>
    <w:rsid w:val="00AA68D4"/>
    <w:rsid w:val="00AB3710"/>
    <w:rsid w:val="00AB373C"/>
    <w:rsid w:val="00AB5159"/>
    <w:rsid w:val="00AB761B"/>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665"/>
    <w:rsid w:val="00B64D62"/>
    <w:rsid w:val="00B81F61"/>
    <w:rsid w:val="00B83944"/>
    <w:rsid w:val="00B84BA9"/>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390"/>
    <w:rsid w:val="00CA1C04"/>
    <w:rsid w:val="00CA3808"/>
    <w:rsid w:val="00CA65DD"/>
    <w:rsid w:val="00CA6ABF"/>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2A02"/>
    <w:rsid w:val="00D33791"/>
    <w:rsid w:val="00D33BA8"/>
    <w:rsid w:val="00D364EB"/>
    <w:rsid w:val="00D40363"/>
    <w:rsid w:val="00D451BC"/>
    <w:rsid w:val="00D51E96"/>
    <w:rsid w:val="00D5661A"/>
    <w:rsid w:val="00D568BB"/>
    <w:rsid w:val="00D63B9E"/>
    <w:rsid w:val="00D6565D"/>
    <w:rsid w:val="00D65D90"/>
    <w:rsid w:val="00D66016"/>
    <w:rsid w:val="00D67464"/>
    <w:rsid w:val="00D71305"/>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27883"/>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8F81C101-CD3F-4A84-A302-507E11C5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510756883">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38BF8D5-2315-420A-A323-C5D8C0FD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14</Pages>
  <Words>1198</Words>
  <Characters>6831</Characters>
  <Application>Microsoft Office Word</Application>
  <DocSecurity>0</DocSecurity>
  <Lines>56</Lines>
  <Paragraphs>16</Paragraphs>
  <ScaleCrop>false</ScaleCrop>
  <Company>jysld</Company>
  <LinksUpToDate>false</LinksUpToDate>
  <CharactersWithSpaces>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323</cp:revision>
  <cp:lastPrinted>2009-01-22T10:11:00Z</cp:lastPrinted>
  <dcterms:created xsi:type="dcterms:W3CDTF">2012-11-21T05:49:00Z</dcterms:created>
  <dcterms:modified xsi:type="dcterms:W3CDTF">2017-07-18T09:20:00Z</dcterms:modified>
</cp:coreProperties>
</file>