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交银施罗德经济新动力混合型证券投资基金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二〇一七年七月二十日</w:t>
      </w:r>
    </w:p>
    <w:p w:rsidR="004061AC" w:rsidRPr="00414345" w:rsidRDefault="004061AC" w:rsidP="00EE49F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1B02F9" w:rsidRDefault="00F15E56">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1B02F9" w:rsidRDefault="00F15E56">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1B02F9" w:rsidRDefault="00F15E56">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1B02F9" w:rsidRDefault="00F15E56">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1B02F9" w:rsidRDefault="00F15E56">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交银经济新动力混合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519778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519778</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10</w:t>
            </w:r>
            <w:r w:rsidRPr="00414345">
              <w:rPr>
                <w:color w:val="000000"/>
                <w:kern w:val="0"/>
                <w:sz w:val="24"/>
                <w:szCs w:val="24"/>
              </w:rPr>
              <w:t>月</w:t>
            </w:r>
            <w:r w:rsidRPr="00414345">
              <w:rPr>
                <w:color w:val="000000"/>
                <w:kern w:val="0"/>
                <w:sz w:val="24"/>
                <w:szCs w:val="24"/>
              </w:rPr>
              <w:t>20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801,450,648.61</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本基金通过深度优选在经济新常态下受益于发展新动力的优质企业，分享因中国经济改革、创新和升级发展所带来的投资新机会，力争为基金份额持有人获得超越业绩比较基准的收益。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所指的经济新动力是指改革动力、创新动力、升级动力，以及相关传统产业中的反转动力。本基金股票投资重点关注与经济新动力息息相关的优质企</w:t>
            </w:r>
            <w:r w:rsidRPr="00414345">
              <w:rPr>
                <w:color w:val="000000"/>
                <w:kern w:val="0"/>
                <w:sz w:val="24"/>
                <w:szCs w:val="24"/>
              </w:rPr>
              <w:lastRenderedPageBreak/>
              <w:t>业，分享当前因中国经济改革、创新和升级发展所带来的投资新机会。</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×60%+</w:t>
            </w:r>
            <w:r w:rsidRPr="00414345">
              <w:rPr>
                <w:color w:val="000000"/>
                <w:kern w:val="0"/>
                <w:sz w:val="24"/>
                <w:szCs w:val="24"/>
              </w:rPr>
              <w:t>中证综合债券指数收益率</w:t>
            </w:r>
            <w:r w:rsidRPr="00414345">
              <w:rPr>
                <w:color w:val="000000"/>
                <w:kern w:val="0"/>
                <w:sz w:val="24"/>
                <w:szCs w:val="24"/>
              </w:rPr>
              <w:t>×40%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F15E56" w:rsidRPr="00414345" w:rsidTr="00F15E56">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F15E56" w:rsidRPr="00414345" w:rsidTr="00F15E5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-21,188,602.63</w:t>
            </w:r>
          </w:p>
        </w:tc>
      </w:tr>
      <w:tr w:rsidR="00F15E56" w:rsidRPr="00414345" w:rsidTr="00F15E5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-54,913,629.40</w:t>
            </w:r>
          </w:p>
        </w:tc>
      </w:tr>
      <w:tr w:rsidR="00F15E56" w:rsidRPr="00414345" w:rsidTr="00F15E5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-0.0638</w:t>
            </w:r>
          </w:p>
        </w:tc>
      </w:tr>
      <w:tr w:rsidR="00F15E56" w:rsidRPr="00414345" w:rsidTr="00F15E5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791,938,539.89</w:t>
            </w:r>
          </w:p>
        </w:tc>
      </w:tr>
      <w:tr w:rsidR="00F15E56" w:rsidRPr="00414345" w:rsidTr="00F15E56">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0.9881</w:t>
            </w:r>
          </w:p>
        </w:tc>
      </w:tr>
    </w:tbl>
    <w:p w:rsidR="001B02F9" w:rsidRDefault="00F15E5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1B02F9" w:rsidRDefault="00F15E56">
      <w:pPr>
        <w:autoSpaceDE w:val="0"/>
        <w:autoSpaceDN w:val="0"/>
        <w:adjustRightInd w:val="0"/>
        <w:spacing w:before="29" w:line="288" w:lineRule="auto"/>
        <w:jc w:val="left"/>
        <w:rPr>
          <w:color w:val="000000"/>
          <w:sz w:val="24"/>
          <w:szCs w:val="24"/>
        </w:rPr>
      </w:pPr>
      <w:r>
        <w:rPr>
          <w:color w:val="000000"/>
          <w:sz w:val="24"/>
          <w:szCs w:val="24"/>
        </w:rPr>
        <w:t xml:space="preserve">    2</w:t>
      </w:r>
      <w:r>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1B02F9">
        <w:trPr>
          <w:jc w:val="center"/>
        </w:trPr>
        <w:tc>
          <w:tcPr>
            <w:tcW w:w="1701" w:type="dxa"/>
            <w:vAlign w:val="center"/>
          </w:tcPr>
          <w:p w:rsidR="001B02F9" w:rsidRDefault="00F15E56">
            <w:pPr>
              <w:jc w:val="left"/>
            </w:pPr>
            <w:r>
              <w:rPr>
                <w:color w:val="000000"/>
                <w:sz w:val="24"/>
                <w:szCs w:val="24"/>
              </w:rPr>
              <w:t>过去三个月</w:t>
            </w:r>
          </w:p>
        </w:tc>
        <w:tc>
          <w:tcPr>
            <w:tcW w:w="1045" w:type="dxa"/>
            <w:vAlign w:val="center"/>
          </w:tcPr>
          <w:p w:rsidR="001B02F9" w:rsidRDefault="00F15E56">
            <w:pPr>
              <w:jc w:val="center"/>
            </w:pPr>
            <w:r>
              <w:rPr>
                <w:color w:val="000000"/>
                <w:sz w:val="24"/>
                <w:szCs w:val="24"/>
              </w:rPr>
              <w:t>-6.01%</w:t>
            </w:r>
          </w:p>
        </w:tc>
        <w:tc>
          <w:tcPr>
            <w:tcW w:w="1344" w:type="dxa"/>
            <w:vAlign w:val="center"/>
          </w:tcPr>
          <w:p w:rsidR="001B02F9" w:rsidRDefault="00F15E56">
            <w:pPr>
              <w:jc w:val="center"/>
            </w:pPr>
            <w:r>
              <w:rPr>
                <w:color w:val="000000"/>
                <w:sz w:val="24"/>
                <w:szCs w:val="24"/>
              </w:rPr>
              <w:t>0.92%</w:t>
            </w:r>
          </w:p>
        </w:tc>
        <w:tc>
          <w:tcPr>
            <w:tcW w:w="1194" w:type="dxa"/>
            <w:vAlign w:val="center"/>
          </w:tcPr>
          <w:p w:rsidR="001B02F9" w:rsidRDefault="00F15E56">
            <w:pPr>
              <w:jc w:val="center"/>
            </w:pPr>
            <w:r>
              <w:rPr>
                <w:color w:val="000000"/>
                <w:sz w:val="24"/>
                <w:szCs w:val="24"/>
              </w:rPr>
              <w:t>3.75%</w:t>
            </w:r>
          </w:p>
        </w:tc>
        <w:tc>
          <w:tcPr>
            <w:tcW w:w="1492" w:type="dxa"/>
            <w:vAlign w:val="center"/>
          </w:tcPr>
          <w:p w:rsidR="001B02F9" w:rsidRDefault="00F15E56">
            <w:pPr>
              <w:jc w:val="center"/>
            </w:pPr>
            <w:r>
              <w:rPr>
                <w:color w:val="000000"/>
                <w:sz w:val="24"/>
                <w:szCs w:val="24"/>
              </w:rPr>
              <w:t>0.38%</w:t>
            </w:r>
          </w:p>
        </w:tc>
        <w:tc>
          <w:tcPr>
            <w:tcW w:w="1194" w:type="dxa"/>
            <w:vAlign w:val="center"/>
          </w:tcPr>
          <w:p w:rsidR="001B02F9" w:rsidRDefault="00F15E56">
            <w:pPr>
              <w:jc w:val="center"/>
            </w:pPr>
            <w:r>
              <w:rPr>
                <w:color w:val="000000"/>
                <w:sz w:val="24"/>
                <w:szCs w:val="24"/>
              </w:rPr>
              <w:t>-9.76%</w:t>
            </w:r>
          </w:p>
        </w:tc>
        <w:tc>
          <w:tcPr>
            <w:tcW w:w="898" w:type="dxa"/>
            <w:vAlign w:val="center"/>
          </w:tcPr>
          <w:p w:rsidR="001B02F9" w:rsidRDefault="00F15E56">
            <w:pPr>
              <w:jc w:val="center"/>
            </w:pPr>
            <w:r>
              <w:rPr>
                <w:color w:val="000000"/>
                <w:sz w:val="24"/>
                <w:szCs w:val="24"/>
              </w:rPr>
              <w:t>0.54%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交银施罗德经济新动力混合型证券投资基金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A06BF6" w:rsidRPr="006B7EE7" w:rsidRDefault="00CF3ABC" w:rsidP="006B7EE7">
      <w:pPr>
        <w:autoSpaceDE w:val="0"/>
        <w:autoSpaceDN w:val="0"/>
        <w:adjustRightInd w:val="0"/>
        <w:spacing w:before="29" w:line="288" w:lineRule="auto"/>
        <w:jc w:val="left"/>
        <w:rPr>
          <w:color w:val="000000"/>
          <w:sz w:val="24"/>
          <w:szCs w:val="24"/>
        </w:rPr>
      </w:pPr>
      <w:r>
        <w:rPr>
          <w:rFonts w:hint="eastAsia"/>
          <w:color w:val="000000"/>
          <w:sz w:val="24"/>
          <w:szCs w:val="24"/>
        </w:rPr>
        <w:t>注</w:t>
      </w:r>
      <w:r>
        <w:rPr>
          <w:color w:val="000000"/>
          <w:sz w:val="24"/>
          <w:szCs w:val="24"/>
        </w:rPr>
        <w:t>：</w:t>
      </w:r>
      <w:bookmarkStart w:id="0" w:name="_GoBack"/>
      <w:bookmarkEnd w:id="0"/>
      <w:r w:rsidR="00A06BF6" w:rsidRPr="006B7EE7">
        <w:rPr>
          <w:rFonts w:hint="eastAsia"/>
          <w:color w:val="000000"/>
          <w:sz w:val="24"/>
          <w:szCs w:val="24"/>
        </w:rPr>
        <w:t>本基金基金合同生效日为</w:t>
      </w:r>
      <w:r w:rsidR="00A06BF6" w:rsidRPr="006B7EE7">
        <w:rPr>
          <w:color w:val="000000"/>
          <w:sz w:val="24"/>
          <w:szCs w:val="24"/>
        </w:rPr>
        <w:t>2016</w:t>
      </w:r>
      <w:r w:rsidR="00A06BF6" w:rsidRPr="006B7EE7">
        <w:rPr>
          <w:rFonts w:hint="eastAsia"/>
          <w:color w:val="000000"/>
          <w:sz w:val="24"/>
          <w:szCs w:val="24"/>
        </w:rPr>
        <w:t>年</w:t>
      </w:r>
      <w:r w:rsidR="00A06BF6" w:rsidRPr="006B7EE7">
        <w:rPr>
          <w:color w:val="000000"/>
          <w:sz w:val="24"/>
          <w:szCs w:val="24"/>
        </w:rPr>
        <w:t>10</w:t>
      </w:r>
      <w:r w:rsidR="00A06BF6" w:rsidRPr="006B7EE7">
        <w:rPr>
          <w:rFonts w:hint="eastAsia"/>
          <w:color w:val="000000"/>
          <w:sz w:val="24"/>
          <w:szCs w:val="24"/>
        </w:rPr>
        <w:t>月</w:t>
      </w:r>
      <w:r w:rsidR="00A06BF6" w:rsidRPr="006B7EE7">
        <w:rPr>
          <w:color w:val="000000"/>
          <w:sz w:val="24"/>
          <w:szCs w:val="24"/>
        </w:rPr>
        <w:t>20</w:t>
      </w:r>
      <w:r w:rsidR="00A06BF6" w:rsidRPr="006B7EE7">
        <w:rPr>
          <w:rFonts w:hint="eastAsia"/>
          <w:color w:val="000000"/>
          <w:sz w:val="24"/>
          <w:szCs w:val="24"/>
        </w:rPr>
        <w:t>日，基金合同生效日至报告期期末，本基金运作时间未满一年。本基金建仓期为自基金合同生效日起的</w:t>
      </w:r>
      <w:r w:rsidR="00A06BF6" w:rsidRPr="006B7EE7">
        <w:rPr>
          <w:color w:val="000000"/>
          <w:sz w:val="24"/>
          <w:szCs w:val="24"/>
        </w:rPr>
        <w:t>6</w:t>
      </w:r>
      <w:r w:rsidR="00A06BF6" w:rsidRPr="006B7EE7">
        <w:rPr>
          <w:rFonts w:hint="eastAsia"/>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1B02F9">
        <w:trPr>
          <w:jc w:val="center"/>
        </w:trPr>
        <w:tc>
          <w:tcPr>
            <w:tcW w:w="846" w:type="dxa"/>
            <w:vAlign w:val="center"/>
          </w:tcPr>
          <w:p w:rsidR="001B02F9" w:rsidRDefault="00F15E56">
            <w:pPr>
              <w:jc w:val="center"/>
            </w:pPr>
            <w:r>
              <w:rPr>
                <w:color w:val="000000"/>
                <w:sz w:val="24"/>
                <w:szCs w:val="24"/>
              </w:rPr>
              <w:t>任相栋</w:t>
            </w:r>
          </w:p>
        </w:tc>
        <w:tc>
          <w:tcPr>
            <w:tcW w:w="845" w:type="dxa"/>
            <w:vAlign w:val="center"/>
          </w:tcPr>
          <w:p w:rsidR="001B02F9" w:rsidRDefault="00F15E56">
            <w:pPr>
              <w:jc w:val="center"/>
            </w:pPr>
            <w:r>
              <w:rPr>
                <w:color w:val="000000"/>
                <w:sz w:val="24"/>
                <w:szCs w:val="24"/>
              </w:rPr>
              <w:t>交银先进制造混合、交银经济新动力混合的基金经理</w:t>
            </w:r>
          </w:p>
        </w:tc>
        <w:tc>
          <w:tcPr>
            <w:tcW w:w="1549" w:type="dxa"/>
            <w:vAlign w:val="center"/>
          </w:tcPr>
          <w:p w:rsidR="001B02F9" w:rsidRDefault="00F15E56">
            <w:pPr>
              <w:jc w:val="center"/>
            </w:pPr>
            <w:r>
              <w:rPr>
                <w:color w:val="000000"/>
                <w:sz w:val="24"/>
                <w:szCs w:val="24"/>
              </w:rPr>
              <w:t>2016-10-20</w:t>
            </w:r>
          </w:p>
        </w:tc>
        <w:tc>
          <w:tcPr>
            <w:tcW w:w="1548" w:type="dxa"/>
            <w:vAlign w:val="center"/>
          </w:tcPr>
          <w:p w:rsidR="001B02F9" w:rsidRDefault="00F15E56">
            <w:pPr>
              <w:jc w:val="center"/>
            </w:pPr>
            <w:r>
              <w:rPr>
                <w:color w:val="000000"/>
                <w:sz w:val="24"/>
                <w:szCs w:val="24"/>
              </w:rPr>
              <w:t>-</w:t>
            </w:r>
          </w:p>
        </w:tc>
        <w:tc>
          <w:tcPr>
            <w:tcW w:w="1407" w:type="dxa"/>
            <w:vAlign w:val="center"/>
          </w:tcPr>
          <w:p w:rsidR="001B02F9" w:rsidRDefault="00F15E56">
            <w:pPr>
              <w:jc w:val="center"/>
            </w:pPr>
            <w:r>
              <w:rPr>
                <w:color w:val="000000"/>
                <w:sz w:val="24"/>
                <w:szCs w:val="24"/>
              </w:rPr>
              <w:t>7</w:t>
            </w:r>
            <w:r>
              <w:rPr>
                <w:color w:val="000000"/>
                <w:sz w:val="24"/>
                <w:szCs w:val="24"/>
              </w:rPr>
              <w:t>年</w:t>
            </w:r>
          </w:p>
        </w:tc>
        <w:tc>
          <w:tcPr>
            <w:tcW w:w="2673" w:type="dxa"/>
            <w:vAlign w:val="center"/>
          </w:tcPr>
          <w:p w:rsidR="001B02F9" w:rsidRDefault="00F15E56">
            <w:r>
              <w:rPr>
                <w:color w:val="000000"/>
                <w:sz w:val="24"/>
                <w:szCs w:val="24"/>
              </w:rPr>
              <w:t>任相栋先生，上海交通大学金融学硕士。</w:t>
            </w:r>
            <w:r>
              <w:rPr>
                <w:color w:val="000000"/>
                <w:sz w:val="24"/>
                <w:szCs w:val="24"/>
              </w:rPr>
              <w:t>2010</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1B02F9" w:rsidRDefault="00F15E56">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1B02F9" w:rsidRDefault="00F15E56">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1B02F9" w:rsidRDefault="00F15E56">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1B02F9" w:rsidRDefault="00F15E56">
      <w:pPr>
        <w:spacing w:before="29" w:line="288" w:lineRule="auto"/>
        <w:ind w:firstLineChars="200" w:firstLine="480"/>
        <w:rPr>
          <w:color w:val="000000"/>
          <w:sz w:val="24"/>
          <w:szCs w:val="24"/>
        </w:rPr>
      </w:pPr>
      <w:r>
        <w:rPr>
          <w:color w:val="000000"/>
          <w:sz w:val="24"/>
          <w:szCs w:val="24"/>
        </w:rPr>
        <w:t>2017</w:t>
      </w:r>
      <w:r>
        <w:rPr>
          <w:color w:val="000000"/>
          <w:sz w:val="24"/>
          <w:szCs w:val="24"/>
        </w:rPr>
        <w:t>年二季度指数结构分化严重，上证综指表现明显优于创业板，其中</w:t>
      </w:r>
      <w:r>
        <w:rPr>
          <w:color w:val="000000"/>
          <w:sz w:val="24"/>
          <w:szCs w:val="24"/>
        </w:rPr>
        <w:t>“</w:t>
      </w:r>
      <w:r>
        <w:rPr>
          <w:color w:val="000000"/>
          <w:sz w:val="24"/>
          <w:szCs w:val="24"/>
        </w:rPr>
        <w:t>漂亮</w:t>
      </w:r>
      <w:r>
        <w:rPr>
          <w:color w:val="000000"/>
          <w:sz w:val="24"/>
          <w:szCs w:val="24"/>
        </w:rPr>
        <w:t>50”</w:t>
      </w:r>
      <w:r>
        <w:rPr>
          <w:color w:val="000000"/>
          <w:sz w:val="24"/>
          <w:szCs w:val="24"/>
        </w:rPr>
        <w:t>表现抢眼，市场风格进一步演化至大市值风格，即大市值股票明显跑赢中小市值股票。投资者结构的变化叠加风险偏好下降，使得投资者普遍抛弃偏成长类个股，拥抱低波动稳定成长类个股，市场的趋势性力量强大。</w:t>
      </w:r>
    </w:p>
    <w:p w:rsidR="001B02F9" w:rsidRDefault="00F15E56">
      <w:pPr>
        <w:spacing w:before="29" w:line="288" w:lineRule="auto"/>
        <w:ind w:firstLineChars="200" w:firstLine="480"/>
        <w:rPr>
          <w:color w:val="000000"/>
          <w:sz w:val="24"/>
          <w:szCs w:val="24"/>
        </w:rPr>
      </w:pPr>
      <w:r>
        <w:rPr>
          <w:color w:val="000000"/>
          <w:sz w:val="24"/>
          <w:szCs w:val="24"/>
        </w:rPr>
        <w:t>本基金二季度坚持成长股投资，由于二季度的流动性环境和风险偏好与预期略有差异，基金业绩受到一定影响，我们将勉力并继续寻找业绩反弹机会。</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展望未来，在全球主要经济体货币政策转鹰和国内去杠杆的大环境下，预计流动性环境会有阶段性但难有根本性的好转，这对通过选股获得正收益的投资方式提出了更高的要求。我们认为上半年的</w:t>
      </w:r>
      <w:r w:rsidRPr="00414345">
        <w:rPr>
          <w:color w:val="000000"/>
          <w:sz w:val="24"/>
          <w:szCs w:val="24"/>
        </w:rPr>
        <w:t>“</w:t>
      </w:r>
      <w:r w:rsidRPr="00414345">
        <w:rPr>
          <w:color w:val="000000"/>
          <w:sz w:val="24"/>
          <w:szCs w:val="24"/>
        </w:rPr>
        <w:t>漂亮</w:t>
      </w:r>
      <w:r w:rsidRPr="00414345">
        <w:rPr>
          <w:color w:val="000000"/>
          <w:sz w:val="24"/>
          <w:szCs w:val="24"/>
        </w:rPr>
        <w:t>50”</w:t>
      </w:r>
      <w:r w:rsidRPr="00414345">
        <w:rPr>
          <w:color w:val="000000"/>
          <w:sz w:val="24"/>
          <w:szCs w:val="24"/>
        </w:rPr>
        <w:t>行情具有阶段性特征，我们下半年的策略以兼顾流动性环境和市场风险偏好为主，通过在价值股和成长股中自下而上选股，努力为投资者创造稳健回报。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0.9881</w:t>
      </w:r>
      <w:r w:rsidRPr="00414345">
        <w:rPr>
          <w:color w:val="000000"/>
          <w:sz w:val="24"/>
          <w:szCs w:val="24"/>
        </w:rPr>
        <w:t>元，本报告期份额净值增长率为</w:t>
      </w:r>
      <w:r w:rsidRPr="00414345">
        <w:rPr>
          <w:color w:val="000000"/>
          <w:sz w:val="24"/>
          <w:szCs w:val="24"/>
        </w:rPr>
        <w:t>-6.01%</w:t>
      </w:r>
      <w:r w:rsidRPr="00414345">
        <w:rPr>
          <w:color w:val="000000"/>
          <w:sz w:val="24"/>
          <w:szCs w:val="24"/>
        </w:rPr>
        <w:t>，同期业绩比较基准增长率为</w:t>
      </w:r>
      <w:r w:rsidRPr="00414345">
        <w:rPr>
          <w:color w:val="000000"/>
          <w:sz w:val="24"/>
          <w:szCs w:val="24"/>
        </w:rPr>
        <w:t>3.75%</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4306"/>
        <w:gridCol w:w="2007"/>
        <w:gridCol w:w="1837"/>
      </w:tblGrid>
      <w:tr w:rsidR="00C91E1B" w:rsidRPr="00414345" w:rsidTr="000E0902">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430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00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0E0902">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430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00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676,316,187.29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84.75</w:t>
            </w:r>
          </w:p>
        </w:tc>
      </w:tr>
      <w:tr w:rsidR="00C91E1B" w:rsidRPr="00414345" w:rsidTr="000E0902">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430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00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676,316,187.29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84.75</w:t>
            </w:r>
          </w:p>
        </w:tc>
      </w:tr>
      <w:tr w:rsidR="00C91E1B" w:rsidRPr="00414345" w:rsidTr="000E0902">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430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00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0E0902">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430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00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0E0902">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430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00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0E0902">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430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00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0E0902">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430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00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0E0902">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430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00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0E0902">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430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00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0E0902">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430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00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120,870,293.35</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15.15</w:t>
            </w:r>
          </w:p>
        </w:tc>
      </w:tr>
      <w:tr w:rsidR="007D100C" w:rsidRPr="00414345" w:rsidTr="000E0902">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430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00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873,756.43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0.11</w:t>
            </w:r>
          </w:p>
        </w:tc>
      </w:tr>
      <w:tr w:rsidR="007D100C" w:rsidRPr="00414345" w:rsidTr="000E0902">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430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00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798,060,237.07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4321"/>
        <w:gridCol w:w="2064"/>
        <w:gridCol w:w="1638"/>
      </w:tblGrid>
      <w:tr w:rsidR="00531F10" w:rsidRPr="00414345" w:rsidTr="00F15E56">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4321"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064"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F15E5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4321"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064"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F15E56">
            <w:pPr>
              <w:adjustRightInd w:val="0"/>
              <w:snapToGrid w:val="0"/>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F15E56">
            <w:pPr>
              <w:adjustRightInd w:val="0"/>
              <w:snapToGrid w:val="0"/>
              <w:spacing w:before="29" w:line="288" w:lineRule="auto"/>
              <w:jc w:val="right"/>
              <w:rPr>
                <w:sz w:val="24"/>
                <w:szCs w:val="24"/>
              </w:rPr>
            </w:pPr>
            <w:r w:rsidRPr="00414345">
              <w:rPr>
                <w:sz w:val="24"/>
                <w:szCs w:val="24"/>
              </w:rPr>
              <w:t>-</w:t>
            </w:r>
          </w:p>
        </w:tc>
      </w:tr>
      <w:tr w:rsidR="00531F10" w:rsidRPr="00414345" w:rsidTr="00F15E5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4321"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064"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F15E56">
            <w:pPr>
              <w:adjustRightInd w:val="0"/>
              <w:snapToGrid w:val="0"/>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F15E56">
            <w:pPr>
              <w:adjustRightInd w:val="0"/>
              <w:snapToGrid w:val="0"/>
              <w:spacing w:before="29" w:line="288" w:lineRule="auto"/>
              <w:jc w:val="right"/>
              <w:rPr>
                <w:sz w:val="24"/>
                <w:szCs w:val="24"/>
              </w:rPr>
            </w:pPr>
            <w:r w:rsidRPr="00414345">
              <w:rPr>
                <w:sz w:val="24"/>
                <w:szCs w:val="24"/>
              </w:rPr>
              <w:t>-</w:t>
            </w:r>
          </w:p>
        </w:tc>
      </w:tr>
      <w:tr w:rsidR="00F15E56" w:rsidRPr="00414345" w:rsidTr="00F15E5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15E56" w:rsidRPr="00414345" w:rsidRDefault="00F15E56" w:rsidP="00F15E56">
            <w:pPr>
              <w:adjustRightInd w:val="0"/>
              <w:snapToGrid w:val="0"/>
              <w:spacing w:before="29" w:line="288" w:lineRule="auto"/>
              <w:jc w:val="center"/>
              <w:rPr>
                <w:sz w:val="24"/>
                <w:szCs w:val="24"/>
              </w:rPr>
            </w:pPr>
            <w:r w:rsidRPr="00414345">
              <w:rPr>
                <w:sz w:val="24"/>
                <w:szCs w:val="24"/>
              </w:rPr>
              <w:t>C</w:t>
            </w:r>
          </w:p>
        </w:tc>
        <w:tc>
          <w:tcPr>
            <w:tcW w:w="4321"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F15E56" w:rsidRPr="00414345" w:rsidRDefault="00F15E56" w:rsidP="00F15E56">
            <w:pPr>
              <w:adjustRightInd w:val="0"/>
              <w:snapToGrid w:val="0"/>
              <w:spacing w:before="29" w:line="288" w:lineRule="auto"/>
              <w:jc w:val="left"/>
              <w:rPr>
                <w:sz w:val="24"/>
                <w:szCs w:val="24"/>
              </w:rPr>
            </w:pPr>
            <w:r w:rsidRPr="00414345">
              <w:rPr>
                <w:sz w:val="24"/>
                <w:szCs w:val="24"/>
              </w:rPr>
              <w:t>制造业</w:t>
            </w:r>
          </w:p>
        </w:tc>
        <w:tc>
          <w:tcPr>
            <w:tcW w:w="2064" w:type="dxa"/>
            <w:tcBorders>
              <w:top w:val="single" w:sz="4" w:space="0" w:color="000000"/>
              <w:left w:val="single" w:sz="4" w:space="0" w:color="auto"/>
              <w:bottom w:val="single" w:sz="4" w:space="0" w:color="000000"/>
              <w:right w:val="single" w:sz="4" w:space="0" w:color="000000"/>
            </w:tcBorders>
            <w:tcMar>
              <w:left w:w="108" w:type="dxa"/>
              <w:right w:w="108" w:type="dxa"/>
            </w:tcMar>
            <w:vAlign w:val="bottom"/>
          </w:tcPr>
          <w:p w:rsidR="00F15E56" w:rsidRPr="00F15E56" w:rsidRDefault="00F15E56" w:rsidP="00F15E56">
            <w:pPr>
              <w:adjustRightInd w:val="0"/>
              <w:snapToGrid w:val="0"/>
              <w:spacing w:before="29" w:line="288" w:lineRule="auto"/>
              <w:jc w:val="right"/>
              <w:rPr>
                <w:sz w:val="24"/>
                <w:szCs w:val="24"/>
              </w:rPr>
            </w:pPr>
            <w:r w:rsidRPr="00F15E56">
              <w:rPr>
                <w:rFonts w:hint="eastAsia"/>
                <w:sz w:val="24"/>
                <w:szCs w:val="24"/>
              </w:rPr>
              <w:t xml:space="preserve">  382,533,236.26 </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bottom"/>
          </w:tcPr>
          <w:p w:rsidR="00F15E56" w:rsidRPr="00F15E56" w:rsidRDefault="00F15E56" w:rsidP="00F15E56">
            <w:pPr>
              <w:adjustRightInd w:val="0"/>
              <w:snapToGrid w:val="0"/>
              <w:spacing w:before="29" w:line="288" w:lineRule="auto"/>
              <w:jc w:val="right"/>
              <w:rPr>
                <w:sz w:val="24"/>
                <w:szCs w:val="24"/>
              </w:rPr>
            </w:pPr>
            <w:r w:rsidRPr="00F15E56">
              <w:rPr>
                <w:rFonts w:hint="eastAsia"/>
                <w:sz w:val="24"/>
                <w:szCs w:val="24"/>
              </w:rPr>
              <w:t xml:space="preserve">        48.30 </w:t>
            </w:r>
          </w:p>
        </w:tc>
      </w:tr>
      <w:tr w:rsidR="00F15E56" w:rsidRPr="00414345" w:rsidTr="00F15E5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15E56" w:rsidRPr="00414345" w:rsidRDefault="00F15E56" w:rsidP="00F15E56">
            <w:pPr>
              <w:adjustRightInd w:val="0"/>
              <w:snapToGrid w:val="0"/>
              <w:spacing w:before="29" w:line="288" w:lineRule="auto"/>
              <w:jc w:val="center"/>
              <w:rPr>
                <w:sz w:val="24"/>
                <w:szCs w:val="24"/>
              </w:rPr>
            </w:pPr>
            <w:r w:rsidRPr="00414345">
              <w:rPr>
                <w:sz w:val="24"/>
                <w:szCs w:val="24"/>
              </w:rPr>
              <w:t>D</w:t>
            </w:r>
          </w:p>
        </w:tc>
        <w:tc>
          <w:tcPr>
            <w:tcW w:w="4321"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F15E56" w:rsidRPr="00414345" w:rsidRDefault="00F15E56" w:rsidP="00F15E56">
            <w:pPr>
              <w:adjustRightInd w:val="0"/>
              <w:snapToGrid w:val="0"/>
              <w:spacing w:before="29" w:line="288" w:lineRule="auto"/>
              <w:jc w:val="left"/>
              <w:rPr>
                <w:sz w:val="24"/>
                <w:szCs w:val="24"/>
              </w:rPr>
            </w:pPr>
            <w:r w:rsidRPr="00414345">
              <w:rPr>
                <w:sz w:val="24"/>
                <w:szCs w:val="24"/>
              </w:rPr>
              <w:t>电力、热力、燃气及水生产和供应业</w:t>
            </w:r>
          </w:p>
        </w:tc>
        <w:tc>
          <w:tcPr>
            <w:tcW w:w="2064" w:type="dxa"/>
            <w:tcBorders>
              <w:top w:val="single" w:sz="4" w:space="0" w:color="000000"/>
              <w:left w:val="single" w:sz="4" w:space="0" w:color="auto"/>
              <w:bottom w:val="single" w:sz="4" w:space="0" w:color="000000"/>
              <w:right w:val="single" w:sz="4" w:space="0" w:color="000000"/>
            </w:tcBorders>
            <w:tcMar>
              <w:left w:w="108" w:type="dxa"/>
              <w:right w:w="108" w:type="dxa"/>
            </w:tcMar>
            <w:vAlign w:val="bottom"/>
          </w:tcPr>
          <w:p w:rsidR="00F15E56" w:rsidRPr="00F15E56" w:rsidRDefault="00F15E56" w:rsidP="00F15E56">
            <w:pPr>
              <w:adjustRightInd w:val="0"/>
              <w:snapToGrid w:val="0"/>
              <w:spacing w:before="29" w:line="288" w:lineRule="auto"/>
              <w:jc w:val="right"/>
              <w:rPr>
                <w:sz w:val="24"/>
                <w:szCs w:val="24"/>
              </w:rPr>
            </w:pPr>
            <w:r w:rsidRPr="00F15E56">
              <w:rPr>
                <w:rFonts w:hint="eastAsia"/>
                <w:sz w:val="24"/>
                <w:szCs w:val="24"/>
              </w:rPr>
              <w:t xml:space="preserve"> 17,805,219.18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bottom"/>
          </w:tcPr>
          <w:p w:rsidR="00F15E56" w:rsidRPr="00F15E56" w:rsidRDefault="00F15E56" w:rsidP="00F15E56">
            <w:pPr>
              <w:adjustRightInd w:val="0"/>
              <w:snapToGrid w:val="0"/>
              <w:spacing w:before="29" w:line="288" w:lineRule="auto"/>
              <w:jc w:val="right"/>
              <w:rPr>
                <w:sz w:val="24"/>
                <w:szCs w:val="24"/>
              </w:rPr>
            </w:pPr>
            <w:r w:rsidRPr="00F15E56">
              <w:rPr>
                <w:rFonts w:hint="eastAsia"/>
                <w:sz w:val="24"/>
                <w:szCs w:val="24"/>
              </w:rPr>
              <w:t xml:space="preserve">        2.25 </w:t>
            </w:r>
          </w:p>
        </w:tc>
      </w:tr>
      <w:tr w:rsidR="00F15E56" w:rsidRPr="00414345" w:rsidTr="00F15E5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15E56" w:rsidRPr="00414345" w:rsidRDefault="00F15E56" w:rsidP="00F15E56">
            <w:pPr>
              <w:adjustRightInd w:val="0"/>
              <w:snapToGrid w:val="0"/>
              <w:spacing w:before="29" w:line="288" w:lineRule="auto"/>
              <w:jc w:val="center"/>
              <w:rPr>
                <w:sz w:val="24"/>
                <w:szCs w:val="24"/>
              </w:rPr>
            </w:pPr>
            <w:r w:rsidRPr="00414345">
              <w:rPr>
                <w:sz w:val="24"/>
                <w:szCs w:val="24"/>
              </w:rPr>
              <w:t>E</w:t>
            </w:r>
          </w:p>
        </w:tc>
        <w:tc>
          <w:tcPr>
            <w:tcW w:w="4321"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F15E56" w:rsidRPr="00414345" w:rsidRDefault="00F15E56" w:rsidP="00F15E56">
            <w:pPr>
              <w:adjustRightInd w:val="0"/>
              <w:snapToGrid w:val="0"/>
              <w:spacing w:before="29" w:line="288" w:lineRule="auto"/>
              <w:jc w:val="left"/>
              <w:rPr>
                <w:sz w:val="24"/>
                <w:szCs w:val="24"/>
              </w:rPr>
            </w:pPr>
            <w:r w:rsidRPr="00414345">
              <w:rPr>
                <w:sz w:val="24"/>
                <w:szCs w:val="24"/>
              </w:rPr>
              <w:t>建筑业</w:t>
            </w:r>
          </w:p>
        </w:tc>
        <w:tc>
          <w:tcPr>
            <w:tcW w:w="2064" w:type="dxa"/>
            <w:tcBorders>
              <w:top w:val="single" w:sz="4" w:space="0" w:color="000000"/>
              <w:left w:val="single" w:sz="4" w:space="0" w:color="auto"/>
              <w:bottom w:val="single" w:sz="4" w:space="0" w:color="000000"/>
              <w:right w:val="single" w:sz="4" w:space="0" w:color="000000"/>
            </w:tcBorders>
            <w:tcMar>
              <w:left w:w="108" w:type="dxa"/>
              <w:right w:w="108" w:type="dxa"/>
            </w:tcMar>
            <w:vAlign w:val="bottom"/>
          </w:tcPr>
          <w:p w:rsidR="00F15E56" w:rsidRPr="00F15E56" w:rsidRDefault="00F15E56" w:rsidP="00F15E56">
            <w:pPr>
              <w:adjustRightInd w:val="0"/>
              <w:snapToGrid w:val="0"/>
              <w:spacing w:before="29" w:line="288" w:lineRule="auto"/>
              <w:jc w:val="right"/>
              <w:rPr>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bottom"/>
          </w:tcPr>
          <w:p w:rsidR="00F15E56" w:rsidRPr="00F15E56" w:rsidRDefault="00F15E56" w:rsidP="00F15E56">
            <w:pPr>
              <w:adjustRightInd w:val="0"/>
              <w:snapToGrid w:val="0"/>
              <w:spacing w:before="29" w:line="288" w:lineRule="auto"/>
              <w:jc w:val="right"/>
              <w:rPr>
                <w:sz w:val="24"/>
                <w:szCs w:val="24"/>
              </w:rPr>
            </w:pPr>
            <w:r w:rsidRPr="00F15E56">
              <w:rPr>
                <w:rFonts w:hint="eastAsia"/>
                <w:sz w:val="24"/>
                <w:szCs w:val="24"/>
              </w:rPr>
              <w:t xml:space="preserve">          -   </w:t>
            </w:r>
          </w:p>
        </w:tc>
      </w:tr>
      <w:tr w:rsidR="00F15E56" w:rsidRPr="00414345" w:rsidTr="00F15E5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15E56" w:rsidRPr="00414345" w:rsidRDefault="00F15E56" w:rsidP="00F15E56">
            <w:pPr>
              <w:adjustRightInd w:val="0"/>
              <w:snapToGrid w:val="0"/>
              <w:spacing w:before="29" w:line="288" w:lineRule="auto"/>
              <w:jc w:val="center"/>
              <w:rPr>
                <w:sz w:val="24"/>
                <w:szCs w:val="24"/>
              </w:rPr>
            </w:pPr>
            <w:r w:rsidRPr="00414345">
              <w:rPr>
                <w:sz w:val="24"/>
                <w:szCs w:val="24"/>
              </w:rPr>
              <w:t>F</w:t>
            </w:r>
          </w:p>
        </w:tc>
        <w:tc>
          <w:tcPr>
            <w:tcW w:w="4321"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F15E56" w:rsidRPr="00414345" w:rsidRDefault="00F15E56" w:rsidP="00F15E56">
            <w:pPr>
              <w:adjustRightInd w:val="0"/>
              <w:snapToGrid w:val="0"/>
              <w:spacing w:before="29" w:line="288" w:lineRule="auto"/>
              <w:jc w:val="left"/>
              <w:rPr>
                <w:sz w:val="24"/>
                <w:szCs w:val="24"/>
              </w:rPr>
            </w:pPr>
            <w:r w:rsidRPr="00414345">
              <w:rPr>
                <w:sz w:val="24"/>
                <w:szCs w:val="24"/>
              </w:rPr>
              <w:t>批发和零售业</w:t>
            </w:r>
          </w:p>
        </w:tc>
        <w:tc>
          <w:tcPr>
            <w:tcW w:w="2064" w:type="dxa"/>
            <w:tcBorders>
              <w:top w:val="single" w:sz="4" w:space="0" w:color="000000"/>
              <w:left w:val="single" w:sz="4" w:space="0" w:color="auto"/>
              <w:bottom w:val="single" w:sz="4" w:space="0" w:color="000000"/>
              <w:right w:val="single" w:sz="4" w:space="0" w:color="000000"/>
            </w:tcBorders>
            <w:tcMar>
              <w:left w:w="108" w:type="dxa"/>
              <w:right w:w="108" w:type="dxa"/>
            </w:tcMar>
            <w:vAlign w:val="bottom"/>
          </w:tcPr>
          <w:p w:rsidR="00F15E56" w:rsidRPr="00F15E56" w:rsidRDefault="00F15E56" w:rsidP="00F15E56">
            <w:pPr>
              <w:adjustRightInd w:val="0"/>
              <w:snapToGrid w:val="0"/>
              <w:spacing w:before="29" w:line="288" w:lineRule="auto"/>
              <w:jc w:val="right"/>
              <w:rPr>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bottom"/>
          </w:tcPr>
          <w:p w:rsidR="00F15E56" w:rsidRPr="00F15E56" w:rsidRDefault="00F15E56" w:rsidP="00F15E56">
            <w:pPr>
              <w:adjustRightInd w:val="0"/>
              <w:snapToGrid w:val="0"/>
              <w:spacing w:before="29" w:line="288" w:lineRule="auto"/>
              <w:jc w:val="right"/>
              <w:rPr>
                <w:sz w:val="24"/>
                <w:szCs w:val="24"/>
              </w:rPr>
            </w:pPr>
            <w:r w:rsidRPr="00F15E56">
              <w:rPr>
                <w:rFonts w:hint="eastAsia"/>
                <w:sz w:val="24"/>
                <w:szCs w:val="24"/>
              </w:rPr>
              <w:t xml:space="preserve">          -   </w:t>
            </w:r>
          </w:p>
        </w:tc>
      </w:tr>
      <w:tr w:rsidR="00F15E56" w:rsidRPr="00414345" w:rsidTr="00F15E5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15E56" w:rsidRPr="00414345" w:rsidRDefault="00F15E56" w:rsidP="00F15E56">
            <w:pPr>
              <w:adjustRightInd w:val="0"/>
              <w:snapToGrid w:val="0"/>
              <w:spacing w:before="29" w:line="288" w:lineRule="auto"/>
              <w:jc w:val="center"/>
              <w:rPr>
                <w:sz w:val="24"/>
                <w:szCs w:val="24"/>
              </w:rPr>
            </w:pPr>
            <w:r w:rsidRPr="00414345">
              <w:rPr>
                <w:sz w:val="24"/>
                <w:szCs w:val="24"/>
              </w:rPr>
              <w:t>G</w:t>
            </w:r>
          </w:p>
        </w:tc>
        <w:tc>
          <w:tcPr>
            <w:tcW w:w="4321"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F15E56" w:rsidRPr="00414345" w:rsidRDefault="00F15E56" w:rsidP="00F15E56">
            <w:pPr>
              <w:adjustRightInd w:val="0"/>
              <w:snapToGrid w:val="0"/>
              <w:spacing w:before="29" w:line="288" w:lineRule="auto"/>
              <w:jc w:val="left"/>
              <w:rPr>
                <w:sz w:val="24"/>
                <w:szCs w:val="24"/>
              </w:rPr>
            </w:pPr>
            <w:r w:rsidRPr="00414345">
              <w:rPr>
                <w:sz w:val="24"/>
                <w:szCs w:val="24"/>
              </w:rPr>
              <w:t>交通运输、仓储和邮政业</w:t>
            </w:r>
          </w:p>
        </w:tc>
        <w:tc>
          <w:tcPr>
            <w:tcW w:w="2064" w:type="dxa"/>
            <w:tcBorders>
              <w:top w:val="single" w:sz="4" w:space="0" w:color="000000"/>
              <w:left w:val="single" w:sz="4" w:space="0" w:color="auto"/>
              <w:bottom w:val="single" w:sz="4" w:space="0" w:color="000000"/>
              <w:right w:val="single" w:sz="4" w:space="0" w:color="000000"/>
            </w:tcBorders>
            <w:tcMar>
              <w:left w:w="108" w:type="dxa"/>
              <w:right w:w="108" w:type="dxa"/>
            </w:tcMar>
            <w:vAlign w:val="bottom"/>
          </w:tcPr>
          <w:p w:rsidR="00F15E56" w:rsidRPr="00F15E56" w:rsidRDefault="00F15E56" w:rsidP="00F15E56">
            <w:pPr>
              <w:adjustRightInd w:val="0"/>
              <w:snapToGrid w:val="0"/>
              <w:spacing w:before="29" w:line="288" w:lineRule="auto"/>
              <w:jc w:val="right"/>
              <w:rPr>
                <w:sz w:val="24"/>
                <w:szCs w:val="24"/>
              </w:rPr>
            </w:pPr>
            <w:r w:rsidRPr="00F15E56">
              <w:rPr>
                <w:rFonts w:hint="eastAsia"/>
                <w:sz w:val="24"/>
                <w:szCs w:val="24"/>
              </w:rPr>
              <w:t xml:space="preserve">   11,792,248.00 </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bottom"/>
          </w:tcPr>
          <w:p w:rsidR="00F15E56" w:rsidRPr="00F15E56" w:rsidRDefault="00F15E56" w:rsidP="00F15E56">
            <w:pPr>
              <w:adjustRightInd w:val="0"/>
              <w:snapToGrid w:val="0"/>
              <w:spacing w:before="29" w:line="288" w:lineRule="auto"/>
              <w:jc w:val="right"/>
              <w:rPr>
                <w:sz w:val="24"/>
                <w:szCs w:val="24"/>
              </w:rPr>
            </w:pPr>
            <w:r w:rsidRPr="00F15E56">
              <w:rPr>
                <w:rFonts w:hint="eastAsia"/>
                <w:sz w:val="24"/>
                <w:szCs w:val="24"/>
              </w:rPr>
              <w:t xml:space="preserve">        1.49 </w:t>
            </w:r>
          </w:p>
        </w:tc>
      </w:tr>
      <w:tr w:rsidR="00F15E56" w:rsidRPr="00414345" w:rsidTr="00F15E5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15E56" w:rsidRPr="00414345" w:rsidRDefault="00F15E56" w:rsidP="00F15E56">
            <w:pPr>
              <w:adjustRightInd w:val="0"/>
              <w:snapToGrid w:val="0"/>
              <w:spacing w:before="29" w:line="288" w:lineRule="auto"/>
              <w:jc w:val="center"/>
              <w:rPr>
                <w:sz w:val="24"/>
                <w:szCs w:val="24"/>
              </w:rPr>
            </w:pPr>
            <w:r w:rsidRPr="00414345">
              <w:rPr>
                <w:sz w:val="24"/>
                <w:szCs w:val="24"/>
              </w:rPr>
              <w:t>H</w:t>
            </w:r>
          </w:p>
        </w:tc>
        <w:tc>
          <w:tcPr>
            <w:tcW w:w="4321"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F15E56" w:rsidRPr="00414345" w:rsidRDefault="00F15E56" w:rsidP="00F15E56">
            <w:pPr>
              <w:adjustRightInd w:val="0"/>
              <w:snapToGrid w:val="0"/>
              <w:spacing w:before="29" w:line="288" w:lineRule="auto"/>
              <w:jc w:val="left"/>
              <w:rPr>
                <w:sz w:val="24"/>
                <w:szCs w:val="24"/>
              </w:rPr>
            </w:pPr>
            <w:r w:rsidRPr="00414345">
              <w:rPr>
                <w:sz w:val="24"/>
                <w:szCs w:val="24"/>
              </w:rPr>
              <w:t>住宿和餐饮业</w:t>
            </w:r>
          </w:p>
        </w:tc>
        <w:tc>
          <w:tcPr>
            <w:tcW w:w="2064" w:type="dxa"/>
            <w:tcBorders>
              <w:top w:val="single" w:sz="4" w:space="0" w:color="000000"/>
              <w:left w:val="single" w:sz="4" w:space="0" w:color="auto"/>
              <w:bottom w:val="single" w:sz="4" w:space="0" w:color="000000"/>
              <w:right w:val="single" w:sz="4" w:space="0" w:color="000000"/>
            </w:tcBorders>
            <w:tcMar>
              <w:left w:w="108" w:type="dxa"/>
              <w:right w:w="108" w:type="dxa"/>
            </w:tcMar>
            <w:vAlign w:val="bottom"/>
          </w:tcPr>
          <w:p w:rsidR="00F15E56" w:rsidRPr="00F15E56" w:rsidRDefault="00F15E56" w:rsidP="00F15E56">
            <w:pPr>
              <w:adjustRightInd w:val="0"/>
              <w:snapToGrid w:val="0"/>
              <w:spacing w:before="29" w:line="288" w:lineRule="auto"/>
              <w:jc w:val="right"/>
              <w:rPr>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bottom"/>
          </w:tcPr>
          <w:p w:rsidR="00F15E56" w:rsidRPr="00F15E56" w:rsidRDefault="00F15E56" w:rsidP="00F15E56">
            <w:pPr>
              <w:adjustRightInd w:val="0"/>
              <w:snapToGrid w:val="0"/>
              <w:spacing w:before="29" w:line="288" w:lineRule="auto"/>
              <w:jc w:val="right"/>
              <w:rPr>
                <w:sz w:val="24"/>
                <w:szCs w:val="24"/>
              </w:rPr>
            </w:pPr>
            <w:r w:rsidRPr="00F15E56">
              <w:rPr>
                <w:rFonts w:hint="eastAsia"/>
                <w:sz w:val="24"/>
                <w:szCs w:val="24"/>
              </w:rPr>
              <w:t xml:space="preserve">          -   </w:t>
            </w:r>
          </w:p>
        </w:tc>
      </w:tr>
      <w:tr w:rsidR="00F15E56" w:rsidRPr="00414345" w:rsidTr="00F15E5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15E56" w:rsidRPr="00414345" w:rsidRDefault="00F15E56" w:rsidP="00F15E56">
            <w:pPr>
              <w:adjustRightInd w:val="0"/>
              <w:snapToGrid w:val="0"/>
              <w:spacing w:before="29" w:line="288" w:lineRule="auto"/>
              <w:jc w:val="center"/>
              <w:rPr>
                <w:sz w:val="24"/>
                <w:szCs w:val="24"/>
              </w:rPr>
            </w:pPr>
            <w:r w:rsidRPr="00414345">
              <w:rPr>
                <w:sz w:val="24"/>
                <w:szCs w:val="24"/>
              </w:rPr>
              <w:t>I</w:t>
            </w:r>
          </w:p>
        </w:tc>
        <w:tc>
          <w:tcPr>
            <w:tcW w:w="4321"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F15E56" w:rsidRPr="00414345" w:rsidRDefault="00F15E56" w:rsidP="00F15E56">
            <w:pPr>
              <w:adjustRightInd w:val="0"/>
              <w:snapToGrid w:val="0"/>
              <w:spacing w:before="29" w:line="288" w:lineRule="auto"/>
              <w:rPr>
                <w:sz w:val="24"/>
                <w:szCs w:val="24"/>
              </w:rPr>
            </w:pPr>
            <w:r w:rsidRPr="00414345">
              <w:rPr>
                <w:sz w:val="24"/>
                <w:szCs w:val="24"/>
              </w:rPr>
              <w:t>信息传输、软件和信息技术服务业</w:t>
            </w:r>
          </w:p>
        </w:tc>
        <w:tc>
          <w:tcPr>
            <w:tcW w:w="2064" w:type="dxa"/>
            <w:tcBorders>
              <w:top w:val="single" w:sz="4" w:space="0" w:color="000000"/>
              <w:left w:val="single" w:sz="4" w:space="0" w:color="auto"/>
              <w:bottom w:val="single" w:sz="4" w:space="0" w:color="000000"/>
              <w:right w:val="single" w:sz="4" w:space="0" w:color="000000"/>
            </w:tcBorders>
            <w:tcMar>
              <w:left w:w="108" w:type="dxa"/>
              <w:right w:w="108" w:type="dxa"/>
            </w:tcMar>
            <w:vAlign w:val="bottom"/>
          </w:tcPr>
          <w:p w:rsidR="00F15E56" w:rsidRPr="00F15E56" w:rsidRDefault="00F15E56" w:rsidP="00F15E56">
            <w:pPr>
              <w:adjustRightInd w:val="0"/>
              <w:snapToGrid w:val="0"/>
              <w:spacing w:before="29" w:line="288" w:lineRule="auto"/>
              <w:jc w:val="right"/>
              <w:rPr>
                <w:sz w:val="24"/>
                <w:szCs w:val="24"/>
              </w:rPr>
            </w:pPr>
            <w:r w:rsidRPr="00F15E56">
              <w:rPr>
                <w:rFonts w:hint="eastAsia"/>
                <w:sz w:val="24"/>
                <w:szCs w:val="24"/>
              </w:rPr>
              <w:t xml:space="preserve">        7,639.62 </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bottom"/>
          </w:tcPr>
          <w:p w:rsidR="00F15E56" w:rsidRPr="00F15E56" w:rsidRDefault="00F15E56" w:rsidP="00F15E56">
            <w:pPr>
              <w:adjustRightInd w:val="0"/>
              <w:snapToGrid w:val="0"/>
              <w:spacing w:before="29" w:line="288" w:lineRule="auto"/>
              <w:jc w:val="right"/>
              <w:rPr>
                <w:sz w:val="24"/>
                <w:szCs w:val="24"/>
              </w:rPr>
            </w:pPr>
            <w:r w:rsidRPr="00F15E56">
              <w:rPr>
                <w:rFonts w:hint="eastAsia"/>
                <w:sz w:val="24"/>
                <w:szCs w:val="24"/>
              </w:rPr>
              <w:t xml:space="preserve">        0.00 </w:t>
            </w:r>
          </w:p>
        </w:tc>
      </w:tr>
      <w:tr w:rsidR="00F15E56" w:rsidRPr="00414345" w:rsidTr="00F15E5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15E56" w:rsidRPr="00414345" w:rsidRDefault="00F15E56" w:rsidP="00F15E56">
            <w:pPr>
              <w:adjustRightInd w:val="0"/>
              <w:snapToGrid w:val="0"/>
              <w:spacing w:before="29" w:line="288" w:lineRule="auto"/>
              <w:jc w:val="center"/>
              <w:rPr>
                <w:color w:val="000000"/>
                <w:sz w:val="24"/>
                <w:szCs w:val="24"/>
              </w:rPr>
            </w:pPr>
            <w:r w:rsidRPr="00414345">
              <w:rPr>
                <w:color w:val="000000"/>
                <w:sz w:val="24"/>
                <w:szCs w:val="24"/>
              </w:rPr>
              <w:t>J</w:t>
            </w:r>
          </w:p>
        </w:tc>
        <w:tc>
          <w:tcPr>
            <w:tcW w:w="4321"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F15E56" w:rsidRPr="00414345" w:rsidRDefault="00F15E56" w:rsidP="00F15E56">
            <w:pPr>
              <w:adjustRightInd w:val="0"/>
              <w:snapToGrid w:val="0"/>
              <w:spacing w:before="29" w:line="288" w:lineRule="auto"/>
              <w:jc w:val="left"/>
              <w:rPr>
                <w:color w:val="000000"/>
                <w:sz w:val="24"/>
                <w:szCs w:val="24"/>
              </w:rPr>
            </w:pPr>
            <w:r w:rsidRPr="00414345">
              <w:rPr>
                <w:color w:val="000000"/>
                <w:sz w:val="24"/>
                <w:szCs w:val="24"/>
              </w:rPr>
              <w:t>金融业</w:t>
            </w:r>
          </w:p>
        </w:tc>
        <w:tc>
          <w:tcPr>
            <w:tcW w:w="2064" w:type="dxa"/>
            <w:tcBorders>
              <w:top w:val="single" w:sz="4" w:space="0" w:color="000000"/>
              <w:left w:val="single" w:sz="4" w:space="0" w:color="auto"/>
              <w:bottom w:val="single" w:sz="4" w:space="0" w:color="000000"/>
              <w:right w:val="single" w:sz="4" w:space="0" w:color="000000"/>
            </w:tcBorders>
            <w:tcMar>
              <w:left w:w="108" w:type="dxa"/>
              <w:right w:w="108" w:type="dxa"/>
            </w:tcMar>
            <w:vAlign w:val="bottom"/>
          </w:tcPr>
          <w:p w:rsidR="00F15E56" w:rsidRPr="00F15E56" w:rsidRDefault="00F15E56" w:rsidP="00F15E56">
            <w:pPr>
              <w:adjustRightInd w:val="0"/>
              <w:snapToGrid w:val="0"/>
              <w:spacing w:before="29" w:line="288" w:lineRule="auto"/>
              <w:jc w:val="right"/>
              <w:rPr>
                <w:sz w:val="24"/>
                <w:szCs w:val="24"/>
              </w:rPr>
            </w:pPr>
            <w:r w:rsidRPr="00F15E56">
              <w:rPr>
                <w:rFonts w:hint="eastAsia"/>
                <w:sz w:val="24"/>
                <w:szCs w:val="24"/>
              </w:rPr>
              <w:t xml:space="preserve">  212,587,972.26 </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bottom"/>
          </w:tcPr>
          <w:p w:rsidR="00F15E56" w:rsidRPr="00F15E56" w:rsidRDefault="00F15E56" w:rsidP="00F15E56">
            <w:pPr>
              <w:adjustRightInd w:val="0"/>
              <w:snapToGrid w:val="0"/>
              <w:spacing w:before="29" w:line="288" w:lineRule="auto"/>
              <w:jc w:val="right"/>
              <w:rPr>
                <w:sz w:val="24"/>
                <w:szCs w:val="24"/>
              </w:rPr>
            </w:pPr>
            <w:r w:rsidRPr="00F15E56">
              <w:rPr>
                <w:rFonts w:hint="eastAsia"/>
                <w:sz w:val="24"/>
                <w:szCs w:val="24"/>
              </w:rPr>
              <w:t xml:space="preserve">       26.84 </w:t>
            </w:r>
          </w:p>
        </w:tc>
      </w:tr>
      <w:tr w:rsidR="00F15E56" w:rsidRPr="00414345" w:rsidTr="00F15E5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15E56" w:rsidRPr="00414345" w:rsidRDefault="00F15E56" w:rsidP="00F15E56">
            <w:pPr>
              <w:adjustRightInd w:val="0"/>
              <w:snapToGrid w:val="0"/>
              <w:spacing w:before="29" w:line="288" w:lineRule="auto"/>
              <w:jc w:val="center"/>
              <w:rPr>
                <w:color w:val="000000"/>
                <w:sz w:val="24"/>
                <w:szCs w:val="24"/>
              </w:rPr>
            </w:pPr>
            <w:r w:rsidRPr="00414345">
              <w:rPr>
                <w:color w:val="000000"/>
                <w:sz w:val="24"/>
                <w:szCs w:val="24"/>
              </w:rPr>
              <w:t>K</w:t>
            </w:r>
          </w:p>
        </w:tc>
        <w:tc>
          <w:tcPr>
            <w:tcW w:w="4321"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F15E56" w:rsidRPr="00414345" w:rsidRDefault="00F15E56" w:rsidP="00F15E56">
            <w:pPr>
              <w:adjustRightInd w:val="0"/>
              <w:snapToGrid w:val="0"/>
              <w:spacing w:before="29" w:line="288" w:lineRule="auto"/>
              <w:jc w:val="left"/>
              <w:rPr>
                <w:color w:val="000000"/>
                <w:sz w:val="24"/>
                <w:szCs w:val="24"/>
              </w:rPr>
            </w:pPr>
            <w:r w:rsidRPr="00414345">
              <w:rPr>
                <w:color w:val="000000"/>
                <w:sz w:val="24"/>
                <w:szCs w:val="24"/>
              </w:rPr>
              <w:t>房地产业</w:t>
            </w:r>
          </w:p>
        </w:tc>
        <w:tc>
          <w:tcPr>
            <w:tcW w:w="2064" w:type="dxa"/>
            <w:tcBorders>
              <w:top w:val="single" w:sz="4" w:space="0" w:color="000000"/>
              <w:left w:val="single" w:sz="4" w:space="0" w:color="auto"/>
              <w:bottom w:val="single" w:sz="4" w:space="0" w:color="000000"/>
              <w:right w:val="single" w:sz="4" w:space="0" w:color="000000"/>
            </w:tcBorders>
            <w:tcMar>
              <w:left w:w="108" w:type="dxa"/>
              <w:right w:w="108" w:type="dxa"/>
            </w:tcMar>
            <w:vAlign w:val="bottom"/>
          </w:tcPr>
          <w:p w:rsidR="00F15E56" w:rsidRPr="00F15E56" w:rsidRDefault="00F15E56" w:rsidP="00F15E56">
            <w:pPr>
              <w:adjustRightInd w:val="0"/>
              <w:snapToGrid w:val="0"/>
              <w:spacing w:before="29" w:line="288" w:lineRule="auto"/>
              <w:jc w:val="right"/>
              <w:rPr>
                <w:sz w:val="24"/>
                <w:szCs w:val="24"/>
              </w:rPr>
            </w:pPr>
            <w:r w:rsidRPr="00F15E56">
              <w:rPr>
                <w:rFonts w:hint="eastAsia"/>
                <w:sz w:val="24"/>
                <w:szCs w:val="24"/>
              </w:rPr>
              <w:t xml:space="preserve">   12,036,360.00 </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bottom"/>
          </w:tcPr>
          <w:p w:rsidR="00F15E56" w:rsidRPr="00F15E56" w:rsidRDefault="00F15E56" w:rsidP="00F15E56">
            <w:pPr>
              <w:adjustRightInd w:val="0"/>
              <w:snapToGrid w:val="0"/>
              <w:spacing w:before="29" w:line="288" w:lineRule="auto"/>
              <w:jc w:val="right"/>
              <w:rPr>
                <w:sz w:val="24"/>
                <w:szCs w:val="24"/>
              </w:rPr>
            </w:pPr>
            <w:r w:rsidRPr="00F15E56">
              <w:rPr>
                <w:rFonts w:hint="eastAsia"/>
                <w:sz w:val="24"/>
                <w:szCs w:val="24"/>
              </w:rPr>
              <w:t xml:space="preserve">        1.52 </w:t>
            </w:r>
          </w:p>
        </w:tc>
      </w:tr>
      <w:tr w:rsidR="00F15E56" w:rsidRPr="00414345" w:rsidTr="00F15E5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15E56" w:rsidRPr="00414345" w:rsidRDefault="00F15E56" w:rsidP="00F15E56">
            <w:pPr>
              <w:adjustRightInd w:val="0"/>
              <w:snapToGrid w:val="0"/>
              <w:spacing w:before="29" w:line="288" w:lineRule="auto"/>
              <w:jc w:val="center"/>
              <w:rPr>
                <w:color w:val="000000"/>
                <w:sz w:val="24"/>
                <w:szCs w:val="24"/>
              </w:rPr>
            </w:pPr>
            <w:r w:rsidRPr="00414345">
              <w:rPr>
                <w:color w:val="000000"/>
                <w:sz w:val="24"/>
                <w:szCs w:val="24"/>
              </w:rPr>
              <w:t>L</w:t>
            </w:r>
          </w:p>
        </w:tc>
        <w:tc>
          <w:tcPr>
            <w:tcW w:w="4321"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F15E56" w:rsidRPr="00414345" w:rsidRDefault="00F15E56" w:rsidP="00F15E56">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064" w:type="dxa"/>
            <w:tcBorders>
              <w:top w:val="single" w:sz="4" w:space="0" w:color="000000"/>
              <w:left w:val="single" w:sz="4" w:space="0" w:color="auto"/>
              <w:bottom w:val="single" w:sz="4" w:space="0" w:color="000000"/>
              <w:right w:val="single" w:sz="4" w:space="0" w:color="000000"/>
            </w:tcBorders>
            <w:tcMar>
              <w:left w:w="108" w:type="dxa"/>
              <w:right w:w="108" w:type="dxa"/>
            </w:tcMar>
            <w:vAlign w:val="bottom"/>
          </w:tcPr>
          <w:p w:rsidR="00F15E56" w:rsidRPr="00F15E56" w:rsidRDefault="00F15E56" w:rsidP="00F15E56">
            <w:pPr>
              <w:adjustRightInd w:val="0"/>
              <w:snapToGrid w:val="0"/>
              <w:spacing w:before="29" w:line="288" w:lineRule="auto"/>
              <w:jc w:val="right"/>
              <w:rPr>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bottom"/>
          </w:tcPr>
          <w:p w:rsidR="00F15E56" w:rsidRPr="00F15E56" w:rsidRDefault="00F15E56" w:rsidP="00F15E56">
            <w:pPr>
              <w:adjustRightInd w:val="0"/>
              <w:snapToGrid w:val="0"/>
              <w:spacing w:before="29" w:line="288" w:lineRule="auto"/>
              <w:jc w:val="right"/>
              <w:rPr>
                <w:sz w:val="24"/>
                <w:szCs w:val="24"/>
              </w:rPr>
            </w:pPr>
            <w:r w:rsidRPr="00F15E56">
              <w:rPr>
                <w:rFonts w:hint="eastAsia"/>
                <w:sz w:val="24"/>
                <w:szCs w:val="24"/>
              </w:rPr>
              <w:t xml:space="preserve">          -   </w:t>
            </w:r>
          </w:p>
        </w:tc>
      </w:tr>
      <w:tr w:rsidR="00F15E56" w:rsidRPr="00414345" w:rsidTr="00F15E5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15E56" w:rsidRPr="00414345" w:rsidRDefault="00F15E56" w:rsidP="00F15E56">
            <w:pPr>
              <w:adjustRightInd w:val="0"/>
              <w:snapToGrid w:val="0"/>
              <w:spacing w:before="29" w:line="288" w:lineRule="auto"/>
              <w:jc w:val="center"/>
              <w:rPr>
                <w:color w:val="000000"/>
                <w:sz w:val="24"/>
                <w:szCs w:val="24"/>
              </w:rPr>
            </w:pPr>
            <w:r w:rsidRPr="00414345">
              <w:rPr>
                <w:color w:val="000000"/>
                <w:sz w:val="24"/>
                <w:szCs w:val="24"/>
              </w:rPr>
              <w:t>M</w:t>
            </w:r>
          </w:p>
        </w:tc>
        <w:tc>
          <w:tcPr>
            <w:tcW w:w="4321"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F15E56" w:rsidRPr="00414345" w:rsidRDefault="00F15E56" w:rsidP="00F15E56">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064" w:type="dxa"/>
            <w:tcBorders>
              <w:top w:val="single" w:sz="4" w:space="0" w:color="000000"/>
              <w:left w:val="single" w:sz="4" w:space="0" w:color="auto"/>
              <w:bottom w:val="single" w:sz="4" w:space="0" w:color="000000"/>
              <w:right w:val="single" w:sz="4" w:space="0" w:color="000000"/>
            </w:tcBorders>
            <w:tcMar>
              <w:left w:w="108" w:type="dxa"/>
              <w:right w:w="108" w:type="dxa"/>
            </w:tcMar>
            <w:vAlign w:val="bottom"/>
          </w:tcPr>
          <w:p w:rsidR="00F15E56" w:rsidRPr="00F15E56" w:rsidRDefault="00F15E56" w:rsidP="00F15E56">
            <w:pPr>
              <w:adjustRightInd w:val="0"/>
              <w:snapToGrid w:val="0"/>
              <w:spacing w:before="29" w:line="288" w:lineRule="auto"/>
              <w:jc w:val="right"/>
              <w:rPr>
                <w:sz w:val="24"/>
                <w:szCs w:val="24"/>
              </w:rPr>
            </w:pPr>
            <w:r w:rsidRPr="00F15E56">
              <w:rPr>
                <w:rFonts w:hint="eastAsia"/>
                <w:sz w:val="24"/>
                <w:szCs w:val="24"/>
              </w:rPr>
              <w:t xml:space="preserve">   20,366,929.17 </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bottom"/>
          </w:tcPr>
          <w:p w:rsidR="00F15E56" w:rsidRPr="00F15E56" w:rsidRDefault="00F15E56" w:rsidP="00F15E56">
            <w:pPr>
              <w:adjustRightInd w:val="0"/>
              <w:snapToGrid w:val="0"/>
              <w:spacing w:before="29" w:line="288" w:lineRule="auto"/>
              <w:jc w:val="right"/>
              <w:rPr>
                <w:sz w:val="24"/>
                <w:szCs w:val="24"/>
              </w:rPr>
            </w:pPr>
            <w:r w:rsidRPr="00F15E56">
              <w:rPr>
                <w:rFonts w:hint="eastAsia"/>
                <w:sz w:val="24"/>
                <w:szCs w:val="24"/>
              </w:rPr>
              <w:t xml:space="preserve">        2.57 </w:t>
            </w:r>
          </w:p>
        </w:tc>
      </w:tr>
      <w:tr w:rsidR="00F15E56" w:rsidRPr="00414345" w:rsidTr="00F15E5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15E56" w:rsidRPr="00414345" w:rsidRDefault="00F15E56" w:rsidP="00F15E56">
            <w:pPr>
              <w:adjustRightInd w:val="0"/>
              <w:snapToGrid w:val="0"/>
              <w:spacing w:before="29" w:line="288" w:lineRule="auto"/>
              <w:jc w:val="center"/>
              <w:rPr>
                <w:color w:val="000000"/>
                <w:sz w:val="24"/>
                <w:szCs w:val="24"/>
              </w:rPr>
            </w:pPr>
            <w:r w:rsidRPr="00414345">
              <w:rPr>
                <w:color w:val="000000"/>
                <w:sz w:val="24"/>
                <w:szCs w:val="24"/>
              </w:rPr>
              <w:t>N</w:t>
            </w:r>
          </w:p>
        </w:tc>
        <w:tc>
          <w:tcPr>
            <w:tcW w:w="4321"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F15E56" w:rsidRPr="00414345" w:rsidRDefault="00F15E56" w:rsidP="00F15E56">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064" w:type="dxa"/>
            <w:tcBorders>
              <w:top w:val="single" w:sz="4" w:space="0" w:color="000000"/>
              <w:left w:val="single" w:sz="4" w:space="0" w:color="auto"/>
              <w:bottom w:val="single" w:sz="4" w:space="0" w:color="000000"/>
              <w:right w:val="single" w:sz="4" w:space="0" w:color="000000"/>
            </w:tcBorders>
            <w:tcMar>
              <w:left w:w="108" w:type="dxa"/>
              <w:right w:w="108" w:type="dxa"/>
            </w:tcMar>
            <w:vAlign w:val="bottom"/>
          </w:tcPr>
          <w:p w:rsidR="00F15E56" w:rsidRPr="00F15E56" w:rsidRDefault="00F15E56" w:rsidP="00F15E56">
            <w:pPr>
              <w:adjustRightInd w:val="0"/>
              <w:snapToGrid w:val="0"/>
              <w:spacing w:before="29" w:line="288" w:lineRule="auto"/>
              <w:jc w:val="right"/>
              <w:rPr>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bottom"/>
          </w:tcPr>
          <w:p w:rsidR="00F15E56" w:rsidRPr="00F15E56" w:rsidRDefault="00F15E56" w:rsidP="00F15E56">
            <w:pPr>
              <w:adjustRightInd w:val="0"/>
              <w:snapToGrid w:val="0"/>
              <w:spacing w:before="29" w:line="288" w:lineRule="auto"/>
              <w:jc w:val="right"/>
              <w:rPr>
                <w:sz w:val="24"/>
                <w:szCs w:val="24"/>
              </w:rPr>
            </w:pPr>
            <w:r w:rsidRPr="00F15E56">
              <w:rPr>
                <w:rFonts w:hint="eastAsia"/>
                <w:sz w:val="24"/>
                <w:szCs w:val="24"/>
              </w:rPr>
              <w:t xml:space="preserve">          -   </w:t>
            </w:r>
          </w:p>
        </w:tc>
      </w:tr>
      <w:tr w:rsidR="00F15E56" w:rsidRPr="00414345" w:rsidTr="00F15E5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15E56" w:rsidRPr="00414345" w:rsidRDefault="00F15E56" w:rsidP="00F15E56">
            <w:pPr>
              <w:adjustRightInd w:val="0"/>
              <w:snapToGrid w:val="0"/>
              <w:spacing w:before="29" w:line="288" w:lineRule="auto"/>
              <w:jc w:val="center"/>
              <w:rPr>
                <w:color w:val="000000"/>
                <w:sz w:val="24"/>
                <w:szCs w:val="24"/>
              </w:rPr>
            </w:pPr>
            <w:r w:rsidRPr="00414345">
              <w:rPr>
                <w:color w:val="000000"/>
                <w:sz w:val="24"/>
                <w:szCs w:val="24"/>
              </w:rPr>
              <w:t>O</w:t>
            </w:r>
          </w:p>
        </w:tc>
        <w:tc>
          <w:tcPr>
            <w:tcW w:w="4321"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F15E56" w:rsidRPr="00414345" w:rsidRDefault="00F15E56" w:rsidP="00F15E56">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064" w:type="dxa"/>
            <w:tcBorders>
              <w:top w:val="single" w:sz="4" w:space="0" w:color="000000"/>
              <w:left w:val="single" w:sz="4" w:space="0" w:color="auto"/>
              <w:bottom w:val="single" w:sz="4" w:space="0" w:color="000000"/>
              <w:right w:val="single" w:sz="4" w:space="0" w:color="000000"/>
            </w:tcBorders>
            <w:tcMar>
              <w:left w:w="108" w:type="dxa"/>
              <w:right w:w="108" w:type="dxa"/>
            </w:tcMar>
            <w:vAlign w:val="bottom"/>
          </w:tcPr>
          <w:p w:rsidR="00F15E56" w:rsidRPr="00F15E56" w:rsidRDefault="00F15E56" w:rsidP="00F15E56">
            <w:pPr>
              <w:adjustRightInd w:val="0"/>
              <w:snapToGrid w:val="0"/>
              <w:spacing w:before="29" w:line="288" w:lineRule="auto"/>
              <w:jc w:val="right"/>
              <w:rPr>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bottom"/>
          </w:tcPr>
          <w:p w:rsidR="00F15E56" w:rsidRPr="00F15E56" w:rsidRDefault="00F15E56" w:rsidP="00F15E56">
            <w:pPr>
              <w:adjustRightInd w:val="0"/>
              <w:snapToGrid w:val="0"/>
              <w:spacing w:before="29" w:line="288" w:lineRule="auto"/>
              <w:jc w:val="right"/>
              <w:rPr>
                <w:sz w:val="24"/>
                <w:szCs w:val="24"/>
              </w:rPr>
            </w:pPr>
            <w:r w:rsidRPr="00F15E56">
              <w:rPr>
                <w:rFonts w:hint="eastAsia"/>
                <w:sz w:val="24"/>
                <w:szCs w:val="24"/>
              </w:rPr>
              <w:t xml:space="preserve">          -   </w:t>
            </w:r>
          </w:p>
        </w:tc>
      </w:tr>
      <w:tr w:rsidR="00F15E56" w:rsidRPr="00414345" w:rsidTr="00F15E5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15E56" w:rsidRPr="00414345" w:rsidRDefault="00F15E56" w:rsidP="00F15E56">
            <w:pPr>
              <w:adjustRightInd w:val="0"/>
              <w:snapToGrid w:val="0"/>
              <w:spacing w:before="29" w:line="288" w:lineRule="auto"/>
              <w:jc w:val="center"/>
              <w:rPr>
                <w:color w:val="000000"/>
                <w:sz w:val="24"/>
                <w:szCs w:val="24"/>
              </w:rPr>
            </w:pPr>
            <w:r w:rsidRPr="00414345">
              <w:rPr>
                <w:color w:val="000000"/>
                <w:sz w:val="24"/>
                <w:szCs w:val="24"/>
              </w:rPr>
              <w:t>P</w:t>
            </w:r>
          </w:p>
        </w:tc>
        <w:tc>
          <w:tcPr>
            <w:tcW w:w="4321"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F15E56" w:rsidRPr="00414345" w:rsidRDefault="00F15E56" w:rsidP="00F15E56">
            <w:pPr>
              <w:adjustRightInd w:val="0"/>
              <w:snapToGrid w:val="0"/>
              <w:spacing w:before="29" w:line="288" w:lineRule="auto"/>
              <w:jc w:val="left"/>
              <w:rPr>
                <w:color w:val="000000"/>
                <w:sz w:val="24"/>
                <w:szCs w:val="24"/>
              </w:rPr>
            </w:pPr>
            <w:r w:rsidRPr="00414345">
              <w:rPr>
                <w:color w:val="000000"/>
                <w:sz w:val="24"/>
                <w:szCs w:val="24"/>
              </w:rPr>
              <w:t>教育</w:t>
            </w:r>
          </w:p>
        </w:tc>
        <w:tc>
          <w:tcPr>
            <w:tcW w:w="2064" w:type="dxa"/>
            <w:tcBorders>
              <w:top w:val="single" w:sz="4" w:space="0" w:color="000000"/>
              <w:left w:val="single" w:sz="4" w:space="0" w:color="auto"/>
              <w:bottom w:val="single" w:sz="4" w:space="0" w:color="000000"/>
              <w:right w:val="single" w:sz="4" w:space="0" w:color="000000"/>
            </w:tcBorders>
            <w:tcMar>
              <w:left w:w="108" w:type="dxa"/>
              <w:right w:w="108" w:type="dxa"/>
            </w:tcMar>
            <w:vAlign w:val="bottom"/>
          </w:tcPr>
          <w:p w:rsidR="00F15E56" w:rsidRPr="00F15E56" w:rsidRDefault="00F15E56" w:rsidP="00F15E56">
            <w:pPr>
              <w:adjustRightInd w:val="0"/>
              <w:snapToGrid w:val="0"/>
              <w:spacing w:before="29" w:line="288" w:lineRule="auto"/>
              <w:jc w:val="right"/>
              <w:rPr>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bottom"/>
          </w:tcPr>
          <w:p w:rsidR="00F15E56" w:rsidRPr="00F15E56" w:rsidRDefault="00F15E56" w:rsidP="00F15E56">
            <w:pPr>
              <w:adjustRightInd w:val="0"/>
              <w:snapToGrid w:val="0"/>
              <w:spacing w:before="29" w:line="288" w:lineRule="auto"/>
              <w:jc w:val="right"/>
              <w:rPr>
                <w:sz w:val="24"/>
                <w:szCs w:val="24"/>
              </w:rPr>
            </w:pPr>
            <w:r w:rsidRPr="00F15E56">
              <w:rPr>
                <w:rFonts w:hint="eastAsia"/>
                <w:sz w:val="24"/>
                <w:szCs w:val="24"/>
              </w:rPr>
              <w:t xml:space="preserve">          -   </w:t>
            </w:r>
          </w:p>
        </w:tc>
      </w:tr>
      <w:tr w:rsidR="00F15E56" w:rsidRPr="00414345" w:rsidTr="00F15E5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15E56" w:rsidRPr="00414345" w:rsidRDefault="00F15E56" w:rsidP="00F15E56">
            <w:pPr>
              <w:adjustRightInd w:val="0"/>
              <w:snapToGrid w:val="0"/>
              <w:spacing w:before="29" w:line="288" w:lineRule="auto"/>
              <w:jc w:val="center"/>
              <w:rPr>
                <w:color w:val="000000"/>
                <w:sz w:val="24"/>
                <w:szCs w:val="24"/>
              </w:rPr>
            </w:pPr>
            <w:r w:rsidRPr="00414345">
              <w:rPr>
                <w:color w:val="000000"/>
                <w:sz w:val="24"/>
                <w:szCs w:val="24"/>
              </w:rPr>
              <w:t>Q</w:t>
            </w:r>
          </w:p>
        </w:tc>
        <w:tc>
          <w:tcPr>
            <w:tcW w:w="4321"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F15E56" w:rsidRPr="00414345" w:rsidRDefault="00F15E56" w:rsidP="00F15E56">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064" w:type="dxa"/>
            <w:tcBorders>
              <w:top w:val="single" w:sz="4" w:space="0" w:color="000000"/>
              <w:left w:val="single" w:sz="4" w:space="0" w:color="auto"/>
              <w:bottom w:val="single" w:sz="4" w:space="0" w:color="000000"/>
              <w:right w:val="single" w:sz="4" w:space="0" w:color="000000"/>
            </w:tcBorders>
            <w:tcMar>
              <w:left w:w="108" w:type="dxa"/>
              <w:right w:w="108" w:type="dxa"/>
            </w:tcMar>
            <w:vAlign w:val="bottom"/>
          </w:tcPr>
          <w:p w:rsidR="00F15E56" w:rsidRPr="00F15E56" w:rsidRDefault="00F15E56" w:rsidP="00F15E56">
            <w:pPr>
              <w:adjustRightInd w:val="0"/>
              <w:snapToGrid w:val="0"/>
              <w:spacing w:before="29" w:line="288" w:lineRule="auto"/>
              <w:jc w:val="right"/>
              <w:rPr>
                <w:sz w:val="24"/>
                <w:szCs w:val="24"/>
              </w:rPr>
            </w:pPr>
            <w:r w:rsidRPr="00F15E56">
              <w:rPr>
                <w:rFonts w:hint="eastAsia"/>
                <w:sz w:val="24"/>
                <w:szCs w:val="24"/>
              </w:rPr>
              <w:t xml:space="preserve">   19,186,582.80 </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bottom"/>
          </w:tcPr>
          <w:p w:rsidR="00F15E56" w:rsidRPr="00F15E56" w:rsidRDefault="00F15E56" w:rsidP="00F15E56">
            <w:pPr>
              <w:adjustRightInd w:val="0"/>
              <w:snapToGrid w:val="0"/>
              <w:spacing w:before="29" w:line="288" w:lineRule="auto"/>
              <w:jc w:val="right"/>
              <w:rPr>
                <w:sz w:val="24"/>
                <w:szCs w:val="24"/>
              </w:rPr>
            </w:pPr>
            <w:r w:rsidRPr="00F15E56">
              <w:rPr>
                <w:rFonts w:hint="eastAsia"/>
                <w:sz w:val="24"/>
                <w:szCs w:val="24"/>
              </w:rPr>
              <w:t xml:space="preserve">        2.42 </w:t>
            </w:r>
          </w:p>
        </w:tc>
      </w:tr>
      <w:tr w:rsidR="00F15E56" w:rsidRPr="00414345" w:rsidTr="00F15E5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15E56" w:rsidRPr="00414345" w:rsidRDefault="00F15E56" w:rsidP="00F15E56">
            <w:pPr>
              <w:adjustRightInd w:val="0"/>
              <w:snapToGrid w:val="0"/>
              <w:spacing w:before="29" w:line="288" w:lineRule="auto"/>
              <w:jc w:val="center"/>
              <w:rPr>
                <w:color w:val="000000"/>
                <w:sz w:val="24"/>
                <w:szCs w:val="24"/>
              </w:rPr>
            </w:pPr>
            <w:r w:rsidRPr="00414345">
              <w:rPr>
                <w:color w:val="000000"/>
                <w:sz w:val="24"/>
                <w:szCs w:val="24"/>
              </w:rPr>
              <w:t>R</w:t>
            </w:r>
          </w:p>
        </w:tc>
        <w:tc>
          <w:tcPr>
            <w:tcW w:w="4321"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F15E56" w:rsidRPr="00414345" w:rsidRDefault="00F15E56" w:rsidP="00F15E56">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064" w:type="dxa"/>
            <w:tcBorders>
              <w:top w:val="single" w:sz="4" w:space="0" w:color="000000"/>
              <w:left w:val="single" w:sz="4" w:space="0" w:color="auto"/>
              <w:bottom w:val="single" w:sz="4" w:space="0" w:color="000000"/>
              <w:right w:val="single" w:sz="4" w:space="0" w:color="000000"/>
            </w:tcBorders>
            <w:tcMar>
              <w:left w:w="108" w:type="dxa"/>
              <w:right w:w="108" w:type="dxa"/>
            </w:tcMar>
            <w:vAlign w:val="bottom"/>
          </w:tcPr>
          <w:p w:rsidR="00F15E56" w:rsidRPr="00F15E56" w:rsidRDefault="00F15E56" w:rsidP="00F15E56">
            <w:pPr>
              <w:adjustRightInd w:val="0"/>
              <w:snapToGrid w:val="0"/>
              <w:spacing w:before="29" w:line="288" w:lineRule="auto"/>
              <w:jc w:val="right"/>
              <w:rPr>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bottom"/>
          </w:tcPr>
          <w:p w:rsidR="00F15E56" w:rsidRPr="00F15E56" w:rsidRDefault="00F15E56" w:rsidP="00F15E56">
            <w:pPr>
              <w:adjustRightInd w:val="0"/>
              <w:snapToGrid w:val="0"/>
              <w:spacing w:before="29" w:line="288" w:lineRule="auto"/>
              <w:jc w:val="right"/>
              <w:rPr>
                <w:sz w:val="24"/>
                <w:szCs w:val="24"/>
              </w:rPr>
            </w:pPr>
            <w:r w:rsidRPr="00F15E56">
              <w:rPr>
                <w:rFonts w:hint="eastAsia"/>
                <w:sz w:val="24"/>
                <w:szCs w:val="24"/>
              </w:rPr>
              <w:t xml:space="preserve">          -   </w:t>
            </w:r>
          </w:p>
        </w:tc>
      </w:tr>
      <w:tr w:rsidR="00F15E56" w:rsidRPr="00414345" w:rsidTr="00F15E5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15E56" w:rsidRPr="00414345" w:rsidRDefault="00F15E56" w:rsidP="00F15E56">
            <w:pPr>
              <w:adjustRightInd w:val="0"/>
              <w:snapToGrid w:val="0"/>
              <w:spacing w:before="29" w:line="288" w:lineRule="auto"/>
              <w:jc w:val="center"/>
              <w:rPr>
                <w:color w:val="000000"/>
                <w:sz w:val="24"/>
                <w:szCs w:val="24"/>
              </w:rPr>
            </w:pPr>
            <w:r w:rsidRPr="00414345">
              <w:rPr>
                <w:color w:val="000000"/>
                <w:sz w:val="24"/>
                <w:szCs w:val="24"/>
              </w:rPr>
              <w:t>S</w:t>
            </w:r>
          </w:p>
        </w:tc>
        <w:tc>
          <w:tcPr>
            <w:tcW w:w="4321"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F15E56" w:rsidRPr="00414345" w:rsidRDefault="00F15E56" w:rsidP="00F15E56">
            <w:pPr>
              <w:adjustRightInd w:val="0"/>
              <w:snapToGrid w:val="0"/>
              <w:spacing w:before="29" w:line="288" w:lineRule="auto"/>
              <w:jc w:val="left"/>
              <w:rPr>
                <w:color w:val="000000"/>
                <w:sz w:val="24"/>
                <w:szCs w:val="24"/>
              </w:rPr>
            </w:pPr>
            <w:r w:rsidRPr="00414345">
              <w:rPr>
                <w:color w:val="000000"/>
                <w:sz w:val="24"/>
                <w:szCs w:val="24"/>
              </w:rPr>
              <w:t>综合</w:t>
            </w:r>
          </w:p>
        </w:tc>
        <w:tc>
          <w:tcPr>
            <w:tcW w:w="2064" w:type="dxa"/>
            <w:tcBorders>
              <w:top w:val="single" w:sz="4" w:space="0" w:color="000000"/>
              <w:left w:val="single" w:sz="4" w:space="0" w:color="auto"/>
              <w:bottom w:val="single" w:sz="4" w:space="0" w:color="000000"/>
              <w:right w:val="single" w:sz="4" w:space="0" w:color="000000"/>
            </w:tcBorders>
            <w:tcMar>
              <w:left w:w="108" w:type="dxa"/>
              <w:right w:w="108" w:type="dxa"/>
            </w:tcMar>
            <w:vAlign w:val="bottom"/>
          </w:tcPr>
          <w:p w:rsidR="00F15E56" w:rsidRPr="00F15E56" w:rsidRDefault="00F15E56" w:rsidP="00F15E56">
            <w:pPr>
              <w:adjustRightInd w:val="0"/>
              <w:snapToGrid w:val="0"/>
              <w:spacing w:before="29" w:line="288" w:lineRule="auto"/>
              <w:jc w:val="right"/>
              <w:rPr>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bottom"/>
          </w:tcPr>
          <w:p w:rsidR="00F15E56" w:rsidRPr="00F15E56" w:rsidRDefault="00F15E56" w:rsidP="00F15E56">
            <w:pPr>
              <w:adjustRightInd w:val="0"/>
              <w:snapToGrid w:val="0"/>
              <w:spacing w:before="29" w:line="288" w:lineRule="auto"/>
              <w:jc w:val="right"/>
              <w:rPr>
                <w:sz w:val="24"/>
                <w:szCs w:val="24"/>
              </w:rPr>
            </w:pPr>
            <w:r w:rsidRPr="00F15E56">
              <w:rPr>
                <w:rFonts w:hint="eastAsia"/>
                <w:sz w:val="24"/>
                <w:szCs w:val="24"/>
              </w:rPr>
              <w:t xml:space="preserve">          -   </w:t>
            </w:r>
          </w:p>
        </w:tc>
      </w:tr>
      <w:tr w:rsidR="00F15E56" w:rsidRPr="00414345" w:rsidTr="00F15E5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F15E56" w:rsidRPr="00414345" w:rsidRDefault="00F15E56" w:rsidP="00F15E56">
            <w:pPr>
              <w:adjustRightInd w:val="0"/>
              <w:snapToGrid w:val="0"/>
              <w:spacing w:before="29" w:line="288" w:lineRule="auto"/>
              <w:jc w:val="center"/>
              <w:rPr>
                <w:color w:val="000000"/>
                <w:sz w:val="24"/>
                <w:szCs w:val="24"/>
              </w:rPr>
            </w:pPr>
          </w:p>
        </w:tc>
        <w:tc>
          <w:tcPr>
            <w:tcW w:w="4321"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F15E56" w:rsidRPr="00414345" w:rsidRDefault="00F15E56" w:rsidP="00F15E56">
            <w:pPr>
              <w:adjustRightInd w:val="0"/>
              <w:snapToGrid w:val="0"/>
              <w:spacing w:before="29" w:line="288" w:lineRule="auto"/>
              <w:jc w:val="left"/>
              <w:rPr>
                <w:color w:val="000000"/>
                <w:sz w:val="24"/>
                <w:szCs w:val="24"/>
              </w:rPr>
            </w:pPr>
            <w:r w:rsidRPr="00414345">
              <w:rPr>
                <w:color w:val="000000"/>
                <w:sz w:val="24"/>
                <w:szCs w:val="24"/>
              </w:rPr>
              <w:t>合计</w:t>
            </w:r>
          </w:p>
        </w:tc>
        <w:tc>
          <w:tcPr>
            <w:tcW w:w="2064" w:type="dxa"/>
            <w:tcBorders>
              <w:top w:val="single" w:sz="4" w:space="0" w:color="000000"/>
              <w:left w:val="single" w:sz="4" w:space="0" w:color="auto"/>
              <w:bottom w:val="single" w:sz="4" w:space="0" w:color="000000"/>
              <w:right w:val="single" w:sz="4" w:space="0" w:color="000000"/>
            </w:tcBorders>
            <w:tcMar>
              <w:left w:w="108" w:type="dxa"/>
              <w:right w:w="108" w:type="dxa"/>
            </w:tcMar>
            <w:vAlign w:val="bottom"/>
          </w:tcPr>
          <w:p w:rsidR="00F15E56" w:rsidRPr="00F15E56" w:rsidRDefault="00F15E56" w:rsidP="00F15E56">
            <w:pPr>
              <w:adjustRightInd w:val="0"/>
              <w:snapToGrid w:val="0"/>
              <w:spacing w:before="29" w:line="288" w:lineRule="auto"/>
              <w:jc w:val="right"/>
              <w:rPr>
                <w:sz w:val="24"/>
                <w:szCs w:val="24"/>
              </w:rPr>
            </w:pPr>
            <w:r w:rsidRPr="00F15E56">
              <w:rPr>
                <w:rFonts w:hint="eastAsia"/>
                <w:sz w:val="24"/>
                <w:szCs w:val="24"/>
              </w:rPr>
              <w:t xml:space="preserve">  676,316,187.29 </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bottom"/>
          </w:tcPr>
          <w:p w:rsidR="00F15E56" w:rsidRPr="00F15E56" w:rsidRDefault="00F15E56" w:rsidP="00F15E56">
            <w:pPr>
              <w:adjustRightInd w:val="0"/>
              <w:snapToGrid w:val="0"/>
              <w:spacing w:before="29" w:line="288" w:lineRule="auto"/>
              <w:jc w:val="right"/>
              <w:rPr>
                <w:sz w:val="24"/>
                <w:szCs w:val="24"/>
              </w:rPr>
            </w:pPr>
            <w:r w:rsidRPr="00F15E56">
              <w:rPr>
                <w:rFonts w:hint="eastAsia"/>
                <w:sz w:val="24"/>
                <w:szCs w:val="24"/>
              </w:rPr>
              <w:t xml:space="preserve">       85.40 </w:t>
            </w:r>
          </w:p>
        </w:tc>
      </w:tr>
    </w:tbl>
    <w:p w:rsidR="00021186" w:rsidRDefault="00021186"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1B02F9">
        <w:trPr>
          <w:jc w:val="center"/>
        </w:trPr>
        <w:tc>
          <w:tcPr>
            <w:tcW w:w="855" w:type="dxa"/>
            <w:vAlign w:val="center"/>
          </w:tcPr>
          <w:p w:rsidR="001B02F9" w:rsidRDefault="00F15E56">
            <w:pPr>
              <w:jc w:val="center"/>
            </w:pPr>
            <w:r>
              <w:rPr>
                <w:color w:val="000000"/>
                <w:sz w:val="24"/>
                <w:szCs w:val="24"/>
              </w:rPr>
              <w:t>1</w:t>
            </w:r>
          </w:p>
        </w:tc>
        <w:tc>
          <w:tcPr>
            <w:tcW w:w="1334" w:type="dxa"/>
            <w:vAlign w:val="center"/>
          </w:tcPr>
          <w:p w:rsidR="001B02F9" w:rsidRDefault="00F15E56">
            <w:pPr>
              <w:jc w:val="center"/>
            </w:pPr>
            <w:r>
              <w:rPr>
                <w:color w:val="000000"/>
                <w:sz w:val="24"/>
                <w:szCs w:val="24"/>
              </w:rPr>
              <w:t>300129</w:t>
            </w:r>
          </w:p>
        </w:tc>
        <w:tc>
          <w:tcPr>
            <w:tcW w:w="1777" w:type="dxa"/>
            <w:vAlign w:val="center"/>
          </w:tcPr>
          <w:p w:rsidR="001B02F9" w:rsidRDefault="00F15E56">
            <w:pPr>
              <w:jc w:val="center"/>
            </w:pPr>
            <w:r>
              <w:rPr>
                <w:color w:val="000000"/>
                <w:sz w:val="24"/>
                <w:szCs w:val="24"/>
              </w:rPr>
              <w:t>泰胜风能</w:t>
            </w:r>
          </w:p>
        </w:tc>
        <w:tc>
          <w:tcPr>
            <w:tcW w:w="1334" w:type="dxa"/>
            <w:vAlign w:val="center"/>
          </w:tcPr>
          <w:p w:rsidR="001B02F9" w:rsidRDefault="00F15E56">
            <w:pPr>
              <w:jc w:val="right"/>
            </w:pPr>
            <w:r>
              <w:rPr>
                <w:color w:val="000000"/>
                <w:sz w:val="24"/>
                <w:szCs w:val="24"/>
              </w:rPr>
              <w:t>9,410,582</w:t>
            </w:r>
          </w:p>
        </w:tc>
        <w:tc>
          <w:tcPr>
            <w:tcW w:w="1924" w:type="dxa"/>
            <w:vAlign w:val="center"/>
          </w:tcPr>
          <w:p w:rsidR="001B02F9" w:rsidRDefault="00F15E56">
            <w:pPr>
              <w:jc w:val="right"/>
            </w:pPr>
            <w:r>
              <w:rPr>
                <w:color w:val="000000"/>
                <w:sz w:val="24"/>
                <w:szCs w:val="24"/>
              </w:rPr>
              <w:t>66,721,026.38</w:t>
            </w:r>
          </w:p>
        </w:tc>
        <w:tc>
          <w:tcPr>
            <w:tcW w:w="1644" w:type="dxa"/>
            <w:vAlign w:val="center"/>
          </w:tcPr>
          <w:p w:rsidR="001B02F9" w:rsidRDefault="00F15E56">
            <w:pPr>
              <w:jc w:val="right"/>
            </w:pPr>
            <w:r>
              <w:rPr>
                <w:color w:val="000000"/>
                <w:sz w:val="24"/>
                <w:szCs w:val="24"/>
              </w:rPr>
              <w:t>8.43</w:t>
            </w:r>
          </w:p>
        </w:tc>
      </w:tr>
      <w:tr w:rsidR="001B02F9">
        <w:trPr>
          <w:jc w:val="center"/>
        </w:trPr>
        <w:tc>
          <w:tcPr>
            <w:tcW w:w="855" w:type="dxa"/>
            <w:vAlign w:val="center"/>
          </w:tcPr>
          <w:p w:rsidR="001B02F9" w:rsidRDefault="00F15E56">
            <w:pPr>
              <w:jc w:val="center"/>
            </w:pPr>
            <w:r>
              <w:rPr>
                <w:color w:val="000000"/>
                <w:sz w:val="24"/>
                <w:szCs w:val="24"/>
              </w:rPr>
              <w:t>2</w:t>
            </w:r>
          </w:p>
        </w:tc>
        <w:tc>
          <w:tcPr>
            <w:tcW w:w="1334" w:type="dxa"/>
            <w:vAlign w:val="center"/>
          </w:tcPr>
          <w:p w:rsidR="001B02F9" w:rsidRDefault="00F15E56">
            <w:pPr>
              <w:jc w:val="center"/>
            </w:pPr>
            <w:r>
              <w:rPr>
                <w:color w:val="000000"/>
                <w:sz w:val="24"/>
                <w:szCs w:val="24"/>
              </w:rPr>
              <w:t>600967</w:t>
            </w:r>
          </w:p>
        </w:tc>
        <w:tc>
          <w:tcPr>
            <w:tcW w:w="1777" w:type="dxa"/>
            <w:vAlign w:val="center"/>
          </w:tcPr>
          <w:p w:rsidR="001B02F9" w:rsidRDefault="00F15E56">
            <w:pPr>
              <w:jc w:val="center"/>
            </w:pPr>
            <w:r>
              <w:rPr>
                <w:color w:val="000000"/>
                <w:sz w:val="24"/>
                <w:szCs w:val="24"/>
              </w:rPr>
              <w:t>内蒙一机</w:t>
            </w:r>
          </w:p>
        </w:tc>
        <w:tc>
          <w:tcPr>
            <w:tcW w:w="1334" w:type="dxa"/>
            <w:vAlign w:val="center"/>
          </w:tcPr>
          <w:p w:rsidR="001B02F9" w:rsidRDefault="00F15E56">
            <w:pPr>
              <w:jc w:val="right"/>
            </w:pPr>
            <w:r>
              <w:rPr>
                <w:color w:val="000000"/>
                <w:sz w:val="24"/>
                <w:szCs w:val="24"/>
              </w:rPr>
              <w:t>4,259,369</w:t>
            </w:r>
          </w:p>
        </w:tc>
        <w:tc>
          <w:tcPr>
            <w:tcW w:w="1924" w:type="dxa"/>
            <w:vAlign w:val="center"/>
          </w:tcPr>
          <w:p w:rsidR="001B02F9" w:rsidRDefault="00F15E56">
            <w:pPr>
              <w:jc w:val="right"/>
            </w:pPr>
            <w:r>
              <w:rPr>
                <w:color w:val="000000"/>
                <w:sz w:val="24"/>
                <w:szCs w:val="24"/>
              </w:rPr>
              <w:t>58,055,199.47</w:t>
            </w:r>
          </w:p>
        </w:tc>
        <w:tc>
          <w:tcPr>
            <w:tcW w:w="1644" w:type="dxa"/>
            <w:vAlign w:val="center"/>
          </w:tcPr>
          <w:p w:rsidR="001B02F9" w:rsidRDefault="00F15E56">
            <w:pPr>
              <w:jc w:val="right"/>
            </w:pPr>
            <w:r>
              <w:rPr>
                <w:color w:val="000000"/>
                <w:sz w:val="24"/>
                <w:szCs w:val="24"/>
              </w:rPr>
              <w:t>7.33</w:t>
            </w:r>
          </w:p>
        </w:tc>
      </w:tr>
      <w:tr w:rsidR="001B02F9">
        <w:trPr>
          <w:jc w:val="center"/>
        </w:trPr>
        <w:tc>
          <w:tcPr>
            <w:tcW w:w="855" w:type="dxa"/>
            <w:vAlign w:val="center"/>
          </w:tcPr>
          <w:p w:rsidR="001B02F9" w:rsidRDefault="00F15E56">
            <w:pPr>
              <w:jc w:val="center"/>
            </w:pPr>
            <w:r>
              <w:rPr>
                <w:color w:val="000000"/>
                <w:sz w:val="24"/>
                <w:szCs w:val="24"/>
              </w:rPr>
              <w:t>3</w:t>
            </w:r>
          </w:p>
        </w:tc>
        <w:tc>
          <w:tcPr>
            <w:tcW w:w="1334" w:type="dxa"/>
            <w:vAlign w:val="center"/>
          </w:tcPr>
          <w:p w:rsidR="001B02F9" w:rsidRDefault="00F15E56">
            <w:pPr>
              <w:jc w:val="center"/>
            </w:pPr>
            <w:r>
              <w:rPr>
                <w:color w:val="000000"/>
                <w:sz w:val="24"/>
                <w:szCs w:val="24"/>
              </w:rPr>
              <w:t>002045</w:t>
            </w:r>
          </w:p>
        </w:tc>
        <w:tc>
          <w:tcPr>
            <w:tcW w:w="1777" w:type="dxa"/>
            <w:vAlign w:val="center"/>
          </w:tcPr>
          <w:p w:rsidR="001B02F9" w:rsidRDefault="00F15E56">
            <w:pPr>
              <w:jc w:val="center"/>
            </w:pPr>
            <w:r>
              <w:rPr>
                <w:color w:val="000000"/>
                <w:sz w:val="24"/>
                <w:szCs w:val="24"/>
              </w:rPr>
              <w:t>国光电器</w:t>
            </w:r>
          </w:p>
        </w:tc>
        <w:tc>
          <w:tcPr>
            <w:tcW w:w="1334" w:type="dxa"/>
            <w:vAlign w:val="center"/>
          </w:tcPr>
          <w:p w:rsidR="001B02F9" w:rsidRDefault="00F15E56">
            <w:pPr>
              <w:jc w:val="right"/>
            </w:pPr>
            <w:r>
              <w:rPr>
                <w:color w:val="000000"/>
                <w:sz w:val="24"/>
                <w:szCs w:val="24"/>
              </w:rPr>
              <w:t>2,669,801</w:t>
            </w:r>
          </w:p>
        </w:tc>
        <w:tc>
          <w:tcPr>
            <w:tcW w:w="1924" w:type="dxa"/>
            <w:vAlign w:val="center"/>
          </w:tcPr>
          <w:p w:rsidR="001B02F9" w:rsidRDefault="00F15E56">
            <w:pPr>
              <w:jc w:val="right"/>
            </w:pPr>
            <w:r>
              <w:rPr>
                <w:color w:val="000000"/>
                <w:sz w:val="24"/>
                <w:szCs w:val="24"/>
              </w:rPr>
              <w:t>42,423,137.89</w:t>
            </w:r>
          </w:p>
        </w:tc>
        <w:tc>
          <w:tcPr>
            <w:tcW w:w="1644" w:type="dxa"/>
            <w:vAlign w:val="center"/>
          </w:tcPr>
          <w:p w:rsidR="001B02F9" w:rsidRDefault="00F15E56">
            <w:pPr>
              <w:jc w:val="right"/>
            </w:pPr>
            <w:r>
              <w:rPr>
                <w:color w:val="000000"/>
                <w:sz w:val="24"/>
                <w:szCs w:val="24"/>
              </w:rPr>
              <w:t>5.36</w:t>
            </w:r>
          </w:p>
        </w:tc>
      </w:tr>
      <w:tr w:rsidR="001B02F9">
        <w:trPr>
          <w:jc w:val="center"/>
        </w:trPr>
        <w:tc>
          <w:tcPr>
            <w:tcW w:w="855" w:type="dxa"/>
            <w:vAlign w:val="center"/>
          </w:tcPr>
          <w:p w:rsidR="001B02F9" w:rsidRDefault="00F15E56">
            <w:pPr>
              <w:jc w:val="center"/>
            </w:pPr>
            <w:r>
              <w:rPr>
                <w:color w:val="000000"/>
                <w:sz w:val="24"/>
                <w:szCs w:val="24"/>
              </w:rPr>
              <w:t>4</w:t>
            </w:r>
          </w:p>
        </w:tc>
        <w:tc>
          <w:tcPr>
            <w:tcW w:w="1334" w:type="dxa"/>
            <w:vAlign w:val="center"/>
          </w:tcPr>
          <w:p w:rsidR="001B02F9" w:rsidRDefault="00F15E56">
            <w:pPr>
              <w:jc w:val="center"/>
            </w:pPr>
            <w:r>
              <w:rPr>
                <w:color w:val="000000"/>
                <w:sz w:val="24"/>
                <w:szCs w:val="24"/>
              </w:rPr>
              <w:t>300308</w:t>
            </w:r>
          </w:p>
        </w:tc>
        <w:tc>
          <w:tcPr>
            <w:tcW w:w="1777" w:type="dxa"/>
            <w:vAlign w:val="center"/>
          </w:tcPr>
          <w:p w:rsidR="001B02F9" w:rsidRDefault="00F15E56">
            <w:pPr>
              <w:jc w:val="center"/>
            </w:pPr>
            <w:r>
              <w:rPr>
                <w:color w:val="000000"/>
                <w:sz w:val="24"/>
                <w:szCs w:val="24"/>
              </w:rPr>
              <w:t>中际装备</w:t>
            </w:r>
          </w:p>
        </w:tc>
        <w:tc>
          <w:tcPr>
            <w:tcW w:w="1334" w:type="dxa"/>
            <w:vAlign w:val="center"/>
          </w:tcPr>
          <w:p w:rsidR="001B02F9" w:rsidRDefault="00F15E56">
            <w:pPr>
              <w:jc w:val="right"/>
            </w:pPr>
            <w:r>
              <w:rPr>
                <w:color w:val="000000"/>
                <w:sz w:val="24"/>
                <w:szCs w:val="24"/>
              </w:rPr>
              <w:t>924,251</w:t>
            </w:r>
          </w:p>
        </w:tc>
        <w:tc>
          <w:tcPr>
            <w:tcW w:w="1924" w:type="dxa"/>
            <w:vAlign w:val="center"/>
          </w:tcPr>
          <w:p w:rsidR="001B02F9" w:rsidRDefault="00F15E56">
            <w:pPr>
              <w:jc w:val="right"/>
            </w:pPr>
            <w:r>
              <w:rPr>
                <w:color w:val="000000"/>
                <w:sz w:val="24"/>
                <w:szCs w:val="24"/>
              </w:rPr>
              <w:t>38,014,443.63</w:t>
            </w:r>
          </w:p>
        </w:tc>
        <w:tc>
          <w:tcPr>
            <w:tcW w:w="1644" w:type="dxa"/>
            <w:vAlign w:val="center"/>
          </w:tcPr>
          <w:p w:rsidR="001B02F9" w:rsidRDefault="00F15E56">
            <w:pPr>
              <w:jc w:val="right"/>
            </w:pPr>
            <w:r>
              <w:rPr>
                <w:color w:val="000000"/>
                <w:sz w:val="24"/>
                <w:szCs w:val="24"/>
              </w:rPr>
              <w:t>4.80</w:t>
            </w:r>
          </w:p>
        </w:tc>
      </w:tr>
      <w:tr w:rsidR="001B02F9">
        <w:trPr>
          <w:jc w:val="center"/>
        </w:trPr>
        <w:tc>
          <w:tcPr>
            <w:tcW w:w="855" w:type="dxa"/>
            <w:vAlign w:val="center"/>
          </w:tcPr>
          <w:p w:rsidR="001B02F9" w:rsidRDefault="00F15E56">
            <w:pPr>
              <w:jc w:val="center"/>
            </w:pPr>
            <w:r>
              <w:rPr>
                <w:color w:val="000000"/>
                <w:sz w:val="24"/>
                <w:szCs w:val="24"/>
              </w:rPr>
              <w:t>5</w:t>
            </w:r>
          </w:p>
        </w:tc>
        <w:tc>
          <w:tcPr>
            <w:tcW w:w="1334" w:type="dxa"/>
            <w:vAlign w:val="center"/>
          </w:tcPr>
          <w:p w:rsidR="001B02F9" w:rsidRDefault="00F15E56">
            <w:pPr>
              <w:jc w:val="center"/>
            </w:pPr>
            <w:r>
              <w:rPr>
                <w:color w:val="000000"/>
                <w:sz w:val="24"/>
                <w:szCs w:val="24"/>
              </w:rPr>
              <w:t>600500</w:t>
            </w:r>
          </w:p>
        </w:tc>
        <w:tc>
          <w:tcPr>
            <w:tcW w:w="1777" w:type="dxa"/>
            <w:vAlign w:val="center"/>
          </w:tcPr>
          <w:p w:rsidR="001B02F9" w:rsidRDefault="00F15E56">
            <w:pPr>
              <w:jc w:val="center"/>
            </w:pPr>
            <w:r>
              <w:rPr>
                <w:color w:val="000000"/>
                <w:sz w:val="24"/>
                <w:szCs w:val="24"/>
              </w:rPr>
              <w:t>中化国际</w:t>
            </w:r>
          </w:p>
        </w:tc>
        <w:tc>
          <w:tcPr>
            <w:tcW w:w="1334" w:type="dxa"/>
            <w:vAlign w:val="center"/>
          </w:tcPr>
          <w:p w:rsidR="001B02F9" w:rsidRDefault="00F15E56">
            <w:pPr>
              <w:jc w:val="right"/>
            </w:pPr>
            <w:r>
              <w:rPr>
                <w:color w:val="000000"/>
                <w:sz w:val="24"/>
                <w:szCs w:val="24"/>
              </w:rPr>
              <w:t>3,398,582</w:t>
            </w:r>
          </w:p>
        </w:tc>
        <w:tc>
          <w:tcPr>
            <w:tcW w:w="1924" w:type="dxa"/>
            <w:vAlign w:val="center"/>
          </w:tcPr>
          <w:p w:rsidR="001B02F9" w:rsidRDefault="00F15E56">
            <w:pPr>
              <w:jc w:val="right"/>
            </w:pPr>
            <w:r>
              <w:rPr>
                <w:color w:val="000000"/>
                <w:sz w:val="24"/>
                <w:szCs w:val="24"/>
              </w:rPr>
              <w:t>32,490,443.92</w:t>
            </w:r>
          </w:p>
        </w:tc>
        <w:tc>
          <w:tcPr>
            <w:tcW w:w="1644" w:type="dxa"/>
            <w:vAlign w:val="center"/>
          </w:tcPr>
          <w:p w:rsidR="001B02F9" w:rsidRDefault="00F15E56">
            <w:pPr>
              <w:jc w:val="right"/>
            </w:pPr>
            <w:r>
              <w:rPr>
                <w:color w:val="000000"/>
                <w:sz w:val="24"/>
                <w:szCs w:val="24"/>
              </w:rPr>
              <w:t>4.10</w:t>
            </w:r>
          </w:p>
        </w:tc>
      </w:tr>
      <w:tr w:rsidR="001B02F9">
        <w:trPr>
          <w:jc w:val="center"/>
        </w:trPr>
        <w:tc>
          <w:tcPr>
            <w:tcW w:w="855" w:type="dxa"/>
            <w:vAlign w:val="center"/>
          </w:tcPr>
          <w:p w:rsidR="001B02F9" w:rsidRDefault="00F15E56">
            <w:pPr>
              <w:jc w:val="center"/>
            </w:pPr>
            <w:r>
              <w:rPr>
                <w:color w:val="000000"/>
                <w:sz w:val="24"/>
                <w:szCs w:val="24"/>
              </w:rPr>
              <w:t>6</w:t>
            </w:r>
          </w:p>
        </w:tc>
        <w:tc>
          <w:tcPr>
            <w:tcW w:w="1334" w:type="dxa"/>
            <w:vAlign w:val="center"/>
          </w:tcPr>
          <w:p w:rsidR="001B02F9" w:rsidRDefault="00F15E56">
            <w:pPr>
              <w:jc w:val="center"/>
            </w:pPr>
            <w:r>
              <w:rPr>
                <w:color w:val="000000"/>
                <w:sz w:val="24"/>
                <w:szCs w:val="24"/>
              </w:rPr>
              <w:t>600030</w:t>
            </w:r>
          </w:p>
        </w:tc>
        <w:tc>
          <w:tcPr>
            <w:tcW w:w="1777" w:type="dxa"/>
            <w:vAlign w:val="center"/>
          </w:tcPr>
          <w:p w:rsidR="001B02F9" w:rsidRDefault="00F15E56">
            <w:pPr>
              <w:jc w:val="center"/>
            </w:pPr>
            <w:r>
              <w:rPr>
                <w:color w:val="000000"/>
                <w:sz w:val="24"/>
                <w:szCs w:val="24"/>
              </w:rPr>
              <w:t>中信证券</w:t>
            </w:r>
          </w:p>
        </w:tc>
        <w:tc>
          <w:tcPr>
            <w:tcW w:w="1334" w:type="dxa"/>
            <w:vAlign w:val="center"/>
          </w:tcPr>
          <w:p w:rsidR="001B02F9" w:rsidRDefault="00F15E56">
            <w:pPr>
              <w:jc w:val="right"/>
            </w:pPr>
            <w:r>
              <w:rPr>
                <w:color w:val="000000"/>
                <w:sz w:val="24"/>
                <w:szCs w:val="24"/>
              </w:rPr>
              <w:t>1,712,300</w:t>
            </w:r>
          </w:p>
        </w:tc>
        <w:tc>
          <w:tcPr>
            <w:tcW w:w="1924" w:type="dxa"/>
            <w:vAlign w:val="center"/>
          </w:tcPr>
          <w:p w:rsidR="001B02F9" w:rsidRDefault="00F15E56">
            <w:pPr>
              <w:jc w:val="right"/>
            </w:pPr>
            <w:r>
              <w:rPr>
                <w:color w:val="000000"/>
                <w:sz w:val="24"/>
                <w:szCs w:val="24"/>
              </w:rPr>
              <w:t>29,143,346.00</w:t>
            </w:r>
          </w:p>
        </w:tc>
        <w:tc>
          <w:tcPr>
            <w:tcW w:w="1644" w:type="dxa"/>
            <w:vAlign w:val="center"/>
          </w:tcPr>
          <w:p w:rsidR="001B02F9" w:rsidRDefault="00F15E56">
            <w:pPr>
              <w:jc w:val="right"/>
            </w:pPr>
            <w:r>
              <w:rPr>
                <w:color w:val="000000"/>
                <w:sz w:val="24"/>
                <w:szCs w:val="24"/>
              </w:rPr>
              <w:t>3.68</w:t>
            </w:r>
          </w:p>
        </w:tc>
      </w:tr>
      <w:tr w:rsidR="001B02F9">
        <w:trPr>
          <w:jc w:val="center"/>
        </w:trPr>
        <w:tc>
          <w:tcPr>
            <w:tcW w:w="855" w:type="dxa"/>
            <w:vAlign w:val="center"/>
          </w:tcPr>
          <w:p w:rsidR="001B02F9" w:rsidRDefault="00F15E56">
            <w:pPr>
              <w:jc w:val="center"/>
            </w:pPr>
            <w:r>
              <w:rPr>
                <w:color w:val="000000"/>
                <w:sz w:val="24"/>
                <w:szCs w:val="24"/>
              </w:rPr>
              <w:t>7</w:t>
            </w:r>
          </w:p>
        </w:tc>
        <w:tc>
          <w:tcPr>
            <w:tcW w:w="1334" w:type="dxa"/>
            <w:vAlign w:val="center"/>
          </w:tcPr>
          <w:p w:rsidR="001B02F9" w:rsidRDefault="00F15E56">
            <w:pPr>
              <w:jc w:val="center"/>
            </w:pPr>
            <w:r>
              <w:rPr>
                <w:color w:val="000000"/>
                <w:sz w:val="24"/>
                <w:szCs w:val="24"/>
              </w:rPr>
              <w:t>601688</w:t>
            </w:r>
          </w:p>
        </w:tc>
        <w:tc>
          <w:tcPr>
            <w:tcW w:w="1777" w:type="dxa"/>
            <w:vAlign w:val="center"/>
          </w:tcPr>
          <w:p w:rsidR="001B02F9" w:rsidRDefault="00F15E56">
            <w:pPr>
              <w:jc w:val="center"/>
            </w:pPr>
            <w:r>
              <w:rPr>
                <w:color w:val="000000"/>
                <w:sz w:val="24"/>
                <w:szCs w:val="24"/>
              </w:rPr>
              <w:t>华泰证券</w:t>
            </w:r>
          </w:p>
        </w:tc>
        <w:tc>
          <w:tcPr>
            <w:tcW w:w="1334" w:type="dxa"/>
            <w:vAlign w:val="center"/>
          </w:tcPr>
          <w:p w:rsidR="001B02F9" w:rsidRDefault="00F15E56">
            <w:pPr>
              <w:jc w:val="right"/>
            </w:pPr>
            <w:r>
              <w:rPr>
                <w:color w:val="000000"/>
                <w:sz w:val="24"/>
                <w:szCs w:val="24"/>
              </w:rPr>
              <w:t>1,606,400</w:t>
            </w:r>
          </w:p>
        </w:tc>
        <w:tc>
          <w:tcPr>
            <w:tcW w:w="1924" w:type="dxa"/>
            <w:vAlign w:val="center"/>
          </w:tcPr>
          <w:p w:rsidR="001B02F9" w:rsidRDefault="00F15E56">
            <w:pPr>
              <w:jc w:val="right"/>
            </w:pPr>
            <w:r>
              <w:rPr>
                <w:color w:val="000000"/>
                <w:sz w:val="24"/>
                <w:szCs w:val="24"/>
              </w:rPr>
              <w:t>28,754,560.00</w:t>
            </w:r>
          </w:p>
        </w:tc>
        <w:tc>
          <w:tcPr>
            <w:tcW w:w="1644" w:type="dxa"/>
            <w:vAlign w:val="center"/>
          </w:tcPr>
          <w:p w:rsidR="001B02F9" w:rsidRDefault="00F15E56">
            <w:pPr>
              <w:jc w:val="right"/>
            </w:pPr>
            <w:r>
              <w:rPr>
                <w:color w:val="000000"/>
                <w:sz w:val="24"/>
                <w:szCs w:val="24"/>
              </w:rPr>
              <w:t>3.63</w:t>
            </w:r>
          </w:p>
        </w:tc>
      </w:tr>
      <w:tr w:rsidR="001B02F9">
        <w:trPr>
          <w:jc w:val="center"/>
        </w:trPr>
        <w:tc>
          <w:tcPr>
            <w:tcW w:w="855" w:type="dxa"/>
            <w:vAlign w:val="center"/>
          </w:tcPr>
          <w:p w:rsidR="001B02F9" w:rsidRDefault="00F15E56">
            <w:pPr>
              <w:jc w:val="center"/>
            </w:pPr>
            <w:r>
              <w:rPr>
                <w:color w:val="000000"/>
                <w:sz w:val="24"/>
                <w:szCs w:val="24"/>
              </w:rPr>
              <w:t>8</w:t>
            </w:r>
          </w:p>
        </w:tc>
        <w:tc>
          <w:tcPr>
            <w:tcW w:w="1334" w:type="dxa"/>
            <w:vAlign w:val="center"/>
          </w:tcPr>
          <w:p w:rsidR="001B02F9" w:rsidRDefault="00F15E56">
            <w:pPr>
              <w:jc w:val="center"/>
            </w:pPr>
            <w:r>
              <w:rPr>
                <w:color w:val="000000"/>
                <w:sz w:val="24"/>
                <w:szCs w:val="24"/>
              </w:rPr>
              <w:t>601398</w:t>
            </w:r>
          </w:p>
        </w:tc>
        <w:tc>
          <w:tcPr>
            <w:tcW w:w="1777" w:type="dxa"/>
            <w:vAlign w:val="center"/>
          </w:tcPr>
          <w:p w:rsidR="001B02F9" w:rsidRDefault="00F15E56">
            <w:pPr>
              <w:jc w:val="center"/>
            </w:pPr>
            <w:r>
              <w:rPr>
                <w:color w:val="000000"/>
                <w:sz w:val="24"/>
                <w:szCs w:val="24"/>
              </w:rPr>
              <w:t>工商银行</w:t>
            </w:r>
          </w:p>
        </w:tc>
        <w:tc>
          <w:tcPr>
            <w:tcW w:w="1334" w:type="dxa"/>
            <w:vAlign w:val="center"/>
          </w:tcPr>
          <w:p w:rsidR="001B02F9" w:rsidRDefault="00F15E56">
            <w:pPr>
              <w:jc w:val="right"/>
            </w:pPr>
            <w:r>
              <w:rPr>
                <w:color w:val="000000"/>
                <w:sz w:val="24"/>
                <w:szCs w:val="24"/>
              </w:rPr>
              <w:t>5,460,000</w:t>
            </w:r>
          </w:p>
        </w:tc>
        <w:tc>
          <w:tcPr>
            <w:tcW w:w="1924" w:type="dxa"/>
            <w:vAlign w:val="center"/>
          </w:tcPr>
          <w:p w:rsidR="001B02F9" w:rsidRDefault="00F15E56">
            <w:pPr>
              <w:jc w:val="right"/>
            </w:pPr>
            <w:r>
              <w:rPr>
                <w:color w:val="000000"/>
                <w:sz w:val="24"/>
                <w:szCs w:val="24"/>
              </w:rPr>
              <w:t>28,665,000.00</w:t>
            </w:r>
          </w:p>
        </w:tc>
        <w:tc>
          <w:tcPr>
            <w:tcW w:w="1644" w:type="dxa"/>
            <w:vAlign w:val="center"/>
          </w:tcPr>
          <w:p w:rsidR="001B02F9" w:rsidRDefault="00F15E56">
            <w:pPr>
              <w:jc w:val="right"/>
            </w:pPr>
            <w:r>
              <w:rPr>
                <w:color w:val="000000"/>
                <w:sz w:val="24"/>
                <w:szCs w:val="24"/>
              </w:rPr>
              <w:t>3.62</w:t>
            </w:r>
          </w:p>
        </w:tc>
      </w:tr>
      <w:tr w:rsidR="001B02F9">
        <w:trPr>
          <w:jc w:val="center"/>
        </w:trPr>
        <w:tc>
          <w:tcPr>
            <w:tcW w:w="855" w:type="dxa"/>
            <w:vAlign w:val="center"/>
          </w:tcPr>
          <w:p w:rsidR="001B02F9" w:rsidRDefault="00F15E56">
            <w:pPr>
              <w:jc w:val="center"/>
            </w:pPr>
            <w:r>
              <w:rPr>
                <w:color w:val="000000"/>
                <w:sz w:val="24"/>
                <w:szCs w:val="24"/>
              </w:rPr>
              <w:t>9</w:t>
            </w:r>
          </w:p>
        </w:tc>
        <w:tc>
          <w:tcPr>
            <w:tcW w:w="1334" w:type="dxa"/>
            <w:vAlign w:val="center"/>
          </w:tcPr>
          <w:p w:rsidR="001B02F9" w:rsidRDefault="00F15E56">
            <w:pPr>
              <w:jc w:val="center"/>
            </w:pPr>
            <w:r>
              <w:rPr>
                <w:color w:val="000000"/>
                <w:sz w:val="24"/>
                <w:szCs w:val="24"/>
              </w:rPr>
              <w:t>600036</w:t>
            </w:r>
          </w:p>
        </w:tc>
        <w:tc>
          <w:tcPr>
            <w:tcW w:w="1777" w:type="dxa"/>
            <w:vAlign w:val="center"/>
          </w:tcPr>
          <w:p w:rsidR="001B02F9" w:rsidRDefault="00F15E56">
            <w:pPr>
              <w:jc w:val="center"/>
            </w:pPr>
            <w:r>
              <w:rPr>
                <w:color w:val="000000"/>
                <w:sz w:val="24"/>
                <w:szCs w:val="24"/>
              </w:rPr>
              <w:t>招商银行</w:t>
            </w:r>
          </w:p>
        </w:tc>
        <w:tc>
          <w:tcPr>
            <w:tcW w:w="1334" w:type="dxa"/>
            <w:vAlign w:val="center"/>
          </w:tcPr>
          <w:p w:rsidR="001B02F9" w:rsidRDefault="00F15E56">
            <w:pPr>
              <w:jc w:val="right"/>
            </w:pPr>
            <w:r>
              <w:rPr>
                <w:color w:val="000000"/>
                <w:sz w:val="24"/>
                <w:szCs w:val="24"/>
              </w:rPr>
              <w:t>1,067,696</w:t>
            </w:r>
          </w:p>
        </w:tc>
        <w:tc>
          <w:tcPr>
            <w:tcW w:w="1924" w:type="dxa"/>
            <w:vAlign w:val="center"/>
          </w:tcPr>
          <w:p w:rsidR="001B02F9" w:rsidRDefault="00F15E56">
            <w:pPr>
              <w:jc w:val="right"/>
            </w:pPr>
            <w:r>
              <w:rPr>
                <w:color w:val="000000"/>
                <w:sz w:val="24"/>
                <w:szCs w:val="24"/>
              </w:rPr>
              <w:t>25,528,611.36</w:t>
            </w:r>
          </w:p>
        </w:tc>
        <w:tc>
          <w:tcPr>
            <w:tcW w:w="1644" w:type="dxa"/>
            <w:vAlign w:val="center"/>
          </w:tcPr>
          <w:p w:rsidR="001B02F9" w:rsidRDefault="00F15E56">
            <w:pPr>
              <w:jc w:val="right"/>
            </w:pPr>
            <w:r>
              <w:rPr>
                <w:color w:val="000000"/>
                <w:sz w:val="24"/>
                <w:szCs w:val="24"/>
              </w:rPr>
              <w:t>3.22</w:t>
            </w:r>
          </w:p>
        </w:tc>
      </w:tr>
      <w:tr w:rsidR="001B02F9">
        <w:trPr>
          <w:jc w:val="center"/>
        </w:trPr>
        <w:tc>
          <w:tcPr>
            <w:tcW w:w="855" w:type="dxa"/>
            <w:vAlign w:val="center"/>
          </w:tcPr>
          <w:p w:rsidR="001B02F9" w:rsidRDefault="00F15E56">
            <w:pPr>
              <w:jc w:val="center"/>
            </w:pPr>
            <w:r>
              <w:rPr>
                <w:color w:val="000000"/>
                <w:sz w:val="24"/>
                <w:szCs w:val="24"/>
              </w:rPr>
              <w:t>10</w:t>
            </w:r>
          </w:p>
        </w:tc>
        <w:tc>
          <w:tcPr>
            <w:tcW w:w="1334" w:type="dxa"/>
            <w:vAlign w:val="center"/>
          </w:tcPr>
          <w:p w:rsidR="001B02F9" w:rsidRDefault="00F15E56">
            <w:pPr>
              <w:jc w:val="center"/>
            </w:pPr>
            <w:r>
              <w:rPr>
                <w:color w:val="000000"/>
                <w:sz w:val="24"/>
                <w:szCs w:val="24"/>
              </w:rPr>
              <w:t>002202</w:t>
            </w:r>
          </w:p>
        </w:tc>
        <w:tc>
          <w:tcPr>
            <w:tcW w:w="1777" w:type="dxa"/>
            <w:vAlign w:val="center"/>
          </w:tcPr>
          <w:p w:rsidR="001B02F9" w:rsidRDefault="00F15E56">
            <w:pPr>
              <w:jc w:val="center"/>
            </w:pPr>
            <w:r>
              <w:rPr>
                <w:color w:val="000000"/>
                <w:sz w:val="24"/>
                <w:szCs w:val="24"/>
              </w:rPr>
              <w:t>金风科技</w:t>
            </w:r>
          </w:p>
        </w:tc>
        <w:tc>
          <w:tcPr>
            <w:tcW w:w="1334" w:type="dxa"/>
            <w:vAlign w:val="center"/>
          </w:tcPr>
          <w:p w:rsidR="001B02F9" w:rsidRDefault="00F15E56">
            <w:pPr>
              <w:jc w:val="right"/>
            </w:pPr>
            <w:r>
              <w:rPr>
                <w:color w:val="000000"/>
                <w:sz w:val="24"/>
                <w:szCs w:val="24"/>
              </w:rPr>
              <w:t>1,588,549</w:t>
            </w:r>
          </w:p>
        </w:tc>
        <w:tc>
          <w:tcPr>
            <w:tcW w:w="1924" w:type="dxa"/>
            <w:vAlign w:val="center"/>
          </w:tcPr>
          <w:p w:rsidR="001B02F9" w:rsidRDefault="00F15E56">
            <w:pPr>
              <w:jc w:val="right"/>
            </w:pPr>
            <w:r>
              <w:rPr>
                <w:color w:val="000000"/>
                <w:sz w:val="24"/>
                <w:szCs w:val="24"/>
              </w:rPr>
              <w:t>24,574,853.03</w:t>
            </w:r>
          </w:p>
        </w:tc>
        <w:tc>
          <w:tcPr>
            <w:tcW w:w="1644" w:type="dxa"/>
            <w:vAlign w:val="center"/>
          </w:tcPr>
          <w:p w:rsidR="001B02F9" w:rsidRDefault="00F15E56">
            <w:pPr>
              <w:jc w:val="right"/>
            </w:pPr>
            <w:r>
              <w:rPr>
                <w:color w:val="000000"/>
                <w:sz w:val="24"/>
                <w:szCs w:val="24"/>
              </w:rPr>
              <w:t>3.10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报告期内本基金投资的前十名证券的发行主体除中信证券（证券代码：</w:t>
      </w:r>
      <w:r w:rsidRPr="00BE5388">
        <w:rPr>
          <w:bCs/>
          <w:color w:val="000000"/>
          <w:kern w:val="0"/>
          <w:sz w:val="24"/>
          <w:szCs w:val="24"/>
        </w:rPr>
        <w:t>600030</w:t>
      </w:r>
      <w:r w:rsidRPr="00BE5388">
        <w:rPr>
          <w:bCs/>
          <w:color w:val="000000"/>
          <w:kern w:val="0"/>
          <w:sz w:val="24"/>
          <w:szCs w:val="24"/>
        </w:rPr>
        <w:t>）、华泰证券（证券代码：</w:t>
      </w:r>
      <w:r w:rsidRPr="00BE5388">
        <w:rPr>
          <w:bCs/>
          <w:color w:val="000000"/>
          <w:kern w:val="0"/>
          <w:sz w:val="24"/>
          <w:szCs w:val="24"/>
        </w:rPr>
        <w:t>601688</w:t>
      </w:r>
      <w:r w:rsidRPr="00BE5388">
        <w:rPr>
          <w:bCs/>
          <w:color w:val="000000"/>
          <w:kern w:val="0"/>
          <w:sz w:val="24"/>
          <w:szCs w:val="24"/>
        </w:rPr>
        <w:t>）外，未出现被监管部门立案调查，或在报告编制日前一年内受到公开谴责、处罚的情形。</w:t>
      </w:r>
    </w:p>
    <w:p w:rsidR="001B02F9" w:rsidRDefault="00F15E56">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报告期内本基金投资的前十名证券之一中信证券（证券代码：</w:t>
      </w:r>
      <w:r>
        <w:rPr>
          <w:bCs/>
          <w:color w:val="000000"/>
          <w:kern w:val="0"/>
          <w:sz w:val="24"/>
          <w:szCs w:val="24"/>
        </w:rPr>
        <w:t>600030</w:t>
      </w:r>
      <w:r>
        <w:rPr>
          <w:bCs/>
          <w:color w:val="000000"/>
          <w:kern w:val="0"/>
          <w:sz w:val="24"/>
          <w:szCs w:val="24"/>
        </w:rPr>
        <w:t>）于</w:t>
      </w:r>
      <w:r>
        <w:rPr>
          <w:bCs/>
          <w:color w:val="000000"/>
          <w:kern w:val="0"/>
          <w:sz w:val="24"/>
          <w:szCs w:val="24"/>
        </w:rPr>
        <w:t>2017</w:t>
      </w:r>
      <w:r>
        <w:rPr>
          <w:bCs/>
          <w:color w:val="000000"/>
          <w:kern w:val="0"/>
          <w:sz w:val="24"/>
          <w:szCs w:val="24"/>
        </w:rPr>
        <w:t>年</w:t>
      </w:r>
      <w:r>
        <w:rPr>
          <w:bCs/>
          <w:color w:val="000000"/>
          <w:kern w:val="0"/>
          <w:sz w:val="24"/>
          <w:szCs w:val="24"/>
        </w:rPr>
        <w:t>5</w:t>
      </w:r>
      <w:r>
        <w:rPr>
          <w:bCs/>
          <w:color w:val="000000"/>
          <w:kern w:val="0"/>
          <w:sz w:val="24"/>
          <w:szCs w:val="24"/>
        </w:rPr>
        <w:t>月</w:t>
      </w:r>
      <w:r>
        <w:rPr>
          <w:bCs/>
          <w:color w:val="000000"/>
          <w:kern w:val="0"/>
          <w:sz w:val="24"/>
          <w:szCs w:val="24"/>
        </w:rPr>
        <w:t>24</w:t>
      </w:r>
      <w:r>
        <w:rPr>
          <w:bCs/>
          <w:color w:val="000000"/>
          <w:kern w:val="0"/>
          <w:sz w:val="24"/>
          <w:szCs w:val="24"/>
        </w:rPr>
        <w:t>日公告，公司因违反《证券公司监督管理条例》第八十四条相关规定于日前收到中国证监会《行政处罚事先告知书》（处罚字</w:t>
      </w:r>
      <w:r>
        <w:rPr>
          <w:bCs/>
          <w:color w:val="000000"/>
          <w:kern w:val="0"/>
          <w:sz w:val="24"/>
          <w:szCs w:val="24"/>
        </w:rPr>
        <w:t>[2017]57</w:t>
      </w:r>
      <w:r>
        <w:rPr>
          <w:bCs/>
          <w:color w:val="000000"/>
          <w:kern w:val="0"/>
          <w:sz w:val="24"/>
          <w:szCs w:val="24"/>
        </w:rPr>
        <w:t>号）。据此，中国证监会拟决定责令公司改正，给予警告，没收违法所得人民币</w:t>
      </w:r>
      <w:r>
        <w:rPr>
          <w:bCs/>
          <w:color w:val="000000"/>
          <w:kern w:val="0"/>
          <w:sz w:val="24"/>
          <w:szCs w:val="24"/>
        </w:rPr>
        <w:t>61,655,849.78</w:t>
      </w:r>
      <w:r>
        <w:rPr>
          <w:bCs/>
          <w:color w:val="000000"/>
          <w:kern w:val="0"/>
          <w:sz w:val="24"/>
          <w:szCs w:val="24"/>
        </w:rPr>
        <w:t>元，并处人民币</w:t>
      </w:r>
      <w:r>
        <w:rPr>
          <w:bCs/>
          <w:color w:val="000000"/>
          <w:kern w:val="0"/>
          <w:sz w:val="24"/>
          <w:szCs w:val="24"/>
        </w:rPr>
        <w:t>308,279,248.90</w:t>
      </w:r>
      <w:r>
        <w:rPr>
          <w:bCs/>
          <w:color w:val="000000"/>
          <w:kern w:val="0"/>
          <w:sz w:val="24"/>
          <w:szCs w:val="24"/>
        </w:rPr>
        <w:t>元罚款。</w:t>
      </w:r>
    </w:p>
    <w:p w:rsidR="001B02F9" w:rsidRDefault="00F15E56">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报告期内本基金投资的前十名证券之一华泰证券（证券代码：</w:t>
      </w:r>
      <w:r>
        <w:rPr>
          <w:bCs/>
          <w:color w:val="000000"/>
          <w:kern w:val="0"/>
          <w:sz w:val="24"/>
          <w:szCs w:val="24"/>
        </w:rPr>
        <w:t>601688</w:t>
      </w:r>
      <w:r>
        <w:rPr>
          <w:bCs/>
          <w:color w:val="000000"/>
          <w:kern w:val="0"/>
          <w:sz w:val="24"/>
          <w:szCs w:val="24"/>
        </w:rPr>
        <w:t>）于</w:t>
      </w:r>
      <w:r>
        <w:rPr>
          <w:bCs/>
          <w:color w:val="000000"/>
          <w:kern w:val="0"/>
          <w:sz w:val="24"/>
          <w:szCs w:val="24"/>
        </w:rPr>
        <w:t>2016</w:t>
      </w:r>
      <w:r>
        <w:rPr>
          <w:bCs/>
          <w:color w:val="000000"/>
          <w:kern w:val="0"/>
          <w:sz w:val="24"/>
          <w:szCs w:val="24"/>
        </w:rPr>
        <w:t>年</w:t>
      </w:r>
      <w:r>
        <w:rPr>
          <w:bCs/>
          <w:color w:val="000000"/>
          <w:kern w:val="0"/>
          <w:sz w:val="24"/>
          <w:szCs w:val="24"/>
        </w:rPr>
        <w:t>11</w:t>
      </w:r>
      <w:r>
        <w:rPr>
          <w:bCs/>
          <w:color w:val="000000"/>
          <w:kern w:val="0"/>
          <w:sz w:val="24"/>
          <w:szCs w:val="24"/>
        </w:rPr>
        <w:t>月</w:t>
      </w:r>
      <w:r>
        <w:rPr>
          <w:bCs/>
          <w:color w:val="000000"/>
          <w:kern w:val="0"/>
          <w:sz w:val="24"/>
          <w:szCs w:val="24"/>
        </w:rPr>
        <w:t>29</w:t>
      </w:r>
      <w:r>
        <w:rPr>
          <w:bCs/>
          <w:color w:val="000000"/>
          <w:kern w:val="0"/>
          <w:sz w:val="24"/>
          <w:szCs w:val="24"/>
        </w:rPr>
        <w:t>日公告，公司因未按规定审查、了解客户真实身份违法违规行为于</w:t>
      </w:r>
      <w:r>
        <w:rPr>
          <w:bCs/>
          <w:color w:val="000000"/>
          <w:kern w:val="0"/>
          <w:sz w:val="24"/>
          <w:szCs w:val="24"/>
        </w:rPr>
        <w:t>2016</w:t>
      </w:r>
      <w:r>
        <w:rPr>
          <w:bCs/>
          <w:color w:val="000000"/>
          <w:kern w:val="0"/>
          <w:sz w:val="24"/>
          <w:szCs w:val="24"/>
        </w:rPr>
        <w:t>年</w:t>
      </w:r>
      <w:r>
        <w:rPr>
          <w:bCs/>
          <w:color w:val="000000"/>
          <w:kern w:val="0"/>
          <w:sz w:val="24"/>
          <w:szCs w:val="24"/>
        </w:rPr>
        <w:t>11</w:t>
      </w:r>
      <w:r>
        <w:rPr>
          <w:bCs/>
          <w:color w:val="000000"/>
          <w:kern w:val="0"/>
          <w:sz w:val="24"/>
          <w:szCs w:val="24"/>
        </w:rPr>
        <w:t>月</w:t>
      </w:r>
      <w:r>
        <w:rPr>
          <w:bCs/>
          <w:color w:val="000000"/>
          <w:kern w:val="0"/>
          <w:sz w:val="24"/>
          <w:szCs w:val="24"/>
        </w:rPr>
        <w:t>28</w:t>
      </w:r>
      <w:r>
        <w:rPr>
          <w:bCs/>
          <w:color w:val="000000"/>
          <w:kern w:val="0"/>
          <w:sz w:val="24"/>
          <w:szCs w:val="24"/>
        </w:rPr>
        <w:t>日收到中国证监会《行政处罚决定书》（</w:t>
      </w:r>
      <w:r>
        <w:rPr>
          <w:bCs/>
          <w:color w:val="000000"/>
          <w:kern w:val="0"/>
          <w:sz w:val="24"/>
          <w:szCs w:val="24"/>
        </w:rPr>
        <w:t>[2016]126</w:t>
      </w:r>
      <w:r>
        <w:rPr>
          <w:bCs/>
          <w:color w:val="000000"/>
          <w:kern w:val="0"/>
          <w:sz w:val="24"/>
          <w:szCs w:val="24"/>
        </w:rPr>
        <w:t>号）。据此，中国证监会决定对公司责令改正，给予警告，没收违法所得</w:t>
      </w:r>
      <w:r>
        <w:rPr>
          <w:bCs/>
          <w:color w:val="000000"/>
          <w:kern w:val="0"/>
          <w:sz w:val="24"/>
          <w:szCs w:val="24"/>
        </w:rPr>
        <w:t>18,235,275.00</w:t>
      </w:r>
      <w:r>
        <w:rPr>
          <w:bCs/>
          <w:color w:val="000000"/>
          <w:kern w:val="0"/>
          <w:sz w:val="24"/>
          <w:szCs w:val="24"/>
        </w:rPr>
        <w:t>元，并处以</w:t>
      </w:r>
      <w:r>
        <w:rPr>
          <w:bCs/>
          <w:color w:val="000000"/>
          <w:kern w:val="0"/>
          <w:sz w:val="24"/>
          <w:szCs w:val="24"/>
        </w:rPr>
        <w:t>54,705,825.00</w:t>
      </w:r>
      <w:r>
        <w:rPr>
          <w:bCs/>
          <w:color w:val="000000"/>
          <w:kern w:val="0"/>
          <w:sz w:val="24"/>
          <w:szCs w:val="24"/>
        </w:rPr>
        <w:t>元罚款。</w:t>
      </w:r>
    </w:p>
    <w:p w:rsidR="001B02F9" w:rsidRDefault="00F15E56">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上述证券投资决策程序的说明如下：本基金管理人对证券投资特别是重仓股的投资有严格的投资决策流程控制。本基金在对上述证券的投资也严格执行投资决策流程。在对上述证券的选择上，严格执行公司股票池审核流程进入公司核心股票池。在对上述证券的持有过程中公司研究员密切关注上市公司动向。在上述事件发生时及时分析其对投资决策的影响，经过分析认为上述事件对上市公司财务状况、经营成果和现金流量未产生重大的实质性影响，所以不影响对上述公司基本面和公司治理的投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499,032.69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254,519.61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26,696.03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93,508.10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873,756.43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917,852,636.71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76,942,841.89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193,344,829.99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801,450,648.61</w:t>
            </w:r>
          </w:p>
        </w:tc>
      </w:tr>
    </w:tbl>
    <w:p w:rsidR="001B02F9" w:rsidRDefault="00F15E5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、如果本报告期间发生转换入、份额类别调整、红利再投业务，则总申购份额中包含该业务；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、如果本报告期间发生转换出、份额类别调整业务，则总赎回份额中包含该业务。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EE49F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6B7EE7" w:rsidRDefault="003C50AD" w:rsidP="00EE49FE">
      <w:pPr>
        <w:pStyle w:val="1"/>
        <w:spacing w:beforeLines="100" w:before="312" w:afterLines="100" w:after="312" w:line="360" w:lineRule="auto"/>
        <w:jc w:val="center"/>
        <w:rPr>
          <w:rFonts w:eastAsiaTheme="minorEastAsia"/>
          <w:color w:val="000000" w:themeColor="text1"/>
          <w:kern w:val="0"/>
          <w:sz w:val="24"/>
          <w:szCs w:val="24"/>
        </w:rPr>
      </w:pPr>
      <w:r w:rsidRPr="006B7EE7">
        <w:rPr>
          <w:rFonts w:eastAsiaTheme="minorEastAsia" w:hint="eastAsia"/>
          <w:color w:val="000000" w:themeColor="text1"/>
          <w:kern w:val="0"/>
          <w:sz w:val="24"/>
          <w:szCs w:val="24"/>
        </w:rPr>
        <w:t>§</w:t>
      </w:r>
      <w:r w:rsidR="00CF3ABC">
        <w:rPr>
          <w:rFonts w:eastAsiaTheme="minorEastAsia" w:hint="eastAsia"/>
          <w:color w:val="000000" w:themeColor="text1"/>
          <w:kern w:val="0"/>
          <w:sz w:val="24"/>
          <w:szCs w:val="24"/>
        </w:rPr>
        <w:t>8</w:t>
      </w:r>
      <w:r w:rsidRPr="006B7EE7">
        <w:rPr>
          <w:rFonts w:eastAsiaTheme="minorEastAsia"/>
          <w:color w:val="000000" w:themeColor="text1"/>
          <w:kern w:val="0"/>
          <w:sz w:val="24"/>
          <w:szCs w:val="24"/>
        </w:rPr>
        <w:t xml:space="preserve">  </w:t>
      </w:r>
      <w:r w:rsidRPr="006B7EE7">
        <w:rPr>
          <w:rFonts w:eastAsiaTheme="minorEastAsia" w:hint="eastAsia"/>
          <w:color w:val="000000" w:themeColor="text1"/>
          <w:kern w:val="0"/>
          <w:sz w:val="24"/>
          <w:szCs w:val="24"/>
        </w:rPr>
        <w:t>影响投资者决策的其他重要信息</w:t>
      </w:r>
    </w:p>
    <w:p w:rsidR="003C50AD" w:rsidRPr="006B7EE7" w:rsidRDefault="003C50AD" w:rsidP="003C50AD">
      <w:pPr>
        <w:autoSpaceDE w:val="0"/>
        <w:autoSpaceDN w:val="0"/>
        <w:adjustRightInd w:val="0"/>
        <w:spacing w:line="360" w:lineRule="auto"/>
        <w:jc w:val="left"/>
        <w:rPr>
          <w:b/>
          <w:bCs/>
          <w:color w:val="000000"/>
          <w:kern w:val="0"/>
          <w:sz w:val="24"/>
          <w:szCs w:val="24"/>
        </w:rPr>
      </w:pPr>
      <w:r w:rsidRPr="006B7EE7">
        <w:rPr>
          <w:b/>
          <w:bCs/>
          <w:color w:val="000000"/>
          <w:kern w:val="0"/>
          <w:sz w:val="24"/>
          <w:szCs w:val="24"/>
        </w:rPr>
        <w:t xml:space="preserve">8.1 </w:t>
      </w:r>
      <w:r w:rsidRPr="006B7EE7">
        <w:rPr>
          <w:rFonts w:hint="eastAsia"/>
          <w:b/>
          <w:bCs/>
          <w:color w:val="000000"/>
          <w:kern w:val="0"/>
          <w:sz w:val="24"/>
          <w:szCs w:val="24"/>
        </w:rPr>
        <w:t>报告期内单一投资者持有基金份额比例达到或超过</w:t>
      </w:r>
      <w:r w:rsidRPr="006B7EE7">
        <w:rPr>
          <w:b/>
          <w:bCs/>
          <w:color w:val="000000"/>
          <w:kern w:val="0"/>
          <w:sz w:val="24"/>
          <w:szCs w:val="24"/>
        </w:rPr>
        <w:t>20%</w:t>
      </w:r>
      <w:r w:rsidRPr="006B7EE7">
        <w:rPr>
          <w:rFonts w:hint="eastAsia"/>
          <w:b/>
          <w:bCs/>
          <w:color w:val="000000"/>
          <w:kern w:val="0"/>
          <w:sz w:val="24"/>
          <w:szCs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021186" w:rsidTr="00424D30">
        <w:tc>
          <w:tcPr>
            <w:tcW w:w="993" w:type="dxa"/>
            <w:vMerge w:val="restart"/>
            <w:vAlign w:val="center"/>
          </w:tcPr>
          <w:p w:rsidR="003C50AD" w:rsidRPr="006B7EE7" w:rsidRDefault="003C50AD" w:rsidP="00424D30">
            <w:pPr>
              <w:autoSpaceDE w:val="0"/>
              <w:autoSpaceDN w:val="0"/>
              <w:adjustRightInd w:val="0"/>
              <w:jc w:val="center"/>
              <w:rPr>
                <w:b/>
                <w:bCs/>
                <w:color w:val="000000"/>
                <w:kern w:val="0"/>
                <w:sz w:val="24"/>
                <w:szCs w:val="24"/>
              </w:rPr>
            </w:pPr>
            <w:r w:rsidRPr="006B7EE7">
              <w:rPr>
                <w:rFonts w:hint="eastAsia"/>
                <w:color w:val="000000"/>
                <w:kern w:val="0"/>
                <w:sz w:val="24"/>
                <w:szCs w:val="24"/>
              </w:rPr>
              <w:t>投资者类别</w:t>
            </w:r>
            <w:r w:rsidRPr="006B7EE7">
              <w:rPr>
                <w:color w:val="000000"/>
                <w:kern w:val="0"/>
                <w:sz w:val="24"/>
                <w:szCs w:val="24"/>
              </w:rPr>
              <w:t xml:space="preserve">  </w:t>
            </w:r>
          </w:p>
        </w:tc>
        <w:tc>
          <w:tcPr>
            <w:tcW w:w="5670" w:type="dxa"/>
            <w:gridSpan w:val="5"/>
            <w:vAlign w:val="center"/>
          </w:tcPr>
          <w:p w:rsidR="003C50AD" w:rsidRPr="006B7EE7" w:rsidRDefault="003C50AD" w:rsidP="00424D30">
            <w:pPr>
              <w:autoSpaceDE w:val="0"/>
              <w:autoSpaceDN w:val="0"/>
              <w:adjustRightInd w:val="0"/>
              <w:jc w:val="center"/>
              <w:rPr>
                <w:b/>
                <w:bCs/>
                <w:color w:val="000000"/>
                <w:kern w:val="0"/>
                <w:sz w:val="24"/>
                <w:szCs w:val="24"/>
              </w:rPr>
            </w:pPr>
            <w:r w:rsidRPr="006B7EE7">
              <w:rPr>
                <w:rFonts w:hint="eastAsia"/>
                <w:color w:val="000000"/>
                <w:kern w:val="0"/>
                <w:sz w:val="24"/>
                <w:szCs w:val="24"/>
              </w:rPr>
              <w:t>报告期内持有基金份额变化情况</w:t>
            </w:r>
          </w:p>
        </w:tc>
        <w:tc>
          <w:tcPr>
            <w:tcW w:w="2549" w:type="dxa"/>
            <w:gridSpan w:val="2"/>
            <w:vAlign w:val="center"/>
          </w:tcPr>
          <w:p w:rsidR="003C50AD" w:rsidRPr="006B7EE7" w:rsidRDefault="003C50AD" w:rsidP="00424D30">
            <w:pPr>
              <w:autoSpaceDE w:val="0"/>
              <w:autoSpaceDN w:val="0"/>
              <w:adjustRightInd w:val="0"/>
              <w:jc w:val="center"/>
              <w:rPr>
                <w:b/>
                <w:bCs/>
                <w:color w:val="000000"/>
                <w:kern w:val="0"/>
                <w:sz w:val="24"/>
                <w:szCs w:val="24"/>
              </w:rPr>
            </w:pPr>
            <w:r w:rsidRPr="006B7EE7">
              <w:rPr>
                <w:rFonts w:hint="eastAsia"/>
                <w:color w:val="000000"/>
                <w:kern w:val="0"/>
                <w:sz w:val="24"/>
                <w:szCs w:val="24"/>
              </w:rPr>
              <w:t>报告期末持有基金情况</w:t>
            </w:r>
          </w:p>
        </w:tc>
      </w:tr>
      <w:tr w:rsidR="003C50AD" w:rsidRPr="00021186" w:rsidTr="00424D30">
        <w:tc>
          <w:tcPr>
            <w:tcW w:w="993" w:type="dxa"/>
            <w:vMerge/>
            <w:vAlign w:val="center"/>
          </w:tcPr>
          <w:p w:rsidR="003C50AD" w:rsidRPr="006B7EE7" w:rsidRDefault="003C50AD" w:rsidP="00424D30">
            <w:pPr>
              <w:autoSpaceDE w:val="0"/>
              <w:autoSpaceDN w:val="0"/>
              <w:adjustRightInd w:val="0"/>
              <w:jc w:val="center"/>
              <w:rPr>
                <w:b/>
                <w:bCs/>
                <w:color w:val="000000"/>
                <w:kern w:val="0"/>
                <w:sz w:val="24"/>
                <w:szCs w:val="24"/>
              </w:rPr>
            </w:pPr>
          </w:p>
        </w:tc>
        <w:tc>
          <w:tcPr>
            <w:tcW w:w="992" w:type="dxa"/>
            <w:vAlign w:val="center"/>
          </w:tcPr>
          <w:p w:rsidR="003C50AD" w:rsidRPr="006B7EE7" w:rsidRDefault="003C50AD" w:rsidP="00424D30">
            <w:pPr>
              <w:autoSpaceDE w:val="0"/>
              <w:autoSpaceDN w:val="0"/>
              <w:adjustRightInd w:val="0"/>
              <w:jc w:val="center"/>
              <w:rPr>
                <w:b/>
                <w:bCs/>
                <w:color w:val="000000"/>
                <w:kern w:val="0"/>
                <w:sz w:val="24"/>
                <w:szCs w:val="24"/>
              </w:rPr>
            </w:pPr>
            <w:r w:rsidRPr="006B7EE7">
              <w:rPr>
                <w:rFonts w:hint="eastAsia"/>
                <w:color w:val="000000"/>
                <w:kern w:val="0"/>
                <w:sz w:val="24"/>
                <w:szCs w:val="24"/>
              </w:rPr>
              <w:t>序号</w:t>
            </w:r>
          </w:p>
        </w:tc>
        <w:tc>
          <w:tcPr>
            <w:tcW w:w="1843" w:type="dxa"/>
            <w:vAlign w:val="center"/>
          </w:tcPr>
          <w:p w:rsidR="003C50AD" w:rsidRPr="006B7EE7" w:rsidRDefault="003C50AD" w:rsidP="00424D30">
            <w:pPr>
              <w:autoSpaceDE w:val="0"/>
              <w:autoSpaceDN w:val="0"/>
              <w:adjustRightInd w:val="0"/>
              <w:jc w:val="center"/>
              <w:rPr>
                <w:b/>
                <w:bCs/>
                <w:color w:val="000000"/>
                <w:kern w:val="0"/>
                <w:sz w:val="24"/>
                <w:szCs w:val="24"/>
              </w:rPr>
            </w:pPr>
            <w:r w:rsidRPr="006B7EE7">
              <w:rPr>
                <w:rFonts w:hint="eastAsia"/>
                <w:color w:val="000000"/>
                <w:kern w:val="0"/>
                <w:sz w:val="24"/>
                <w:szCs w:val="24"/>
              </w:rPr>
              <w:t>持有基金份额比例达到或者超过</w:t>
            </w:r>
            <w:r w:rsidRPr="006B7EE7">
              <w:rPr>
                <w:color w:val="000000"/>
                <w:kern w:val="0"/>
                <w:sz w:val="24"/>
                <w:szCs w:val="24"/>
              </w:rPr>
              <w:t>20%</w:t>
            </w:r>
            <w:r w:rsidRPr="006B7EE7">
              <w:rPr>
                <w:rFonts w:hint="eastAsia"/>
                <w:color w:val="000000"/>
                <w:kern w:val="0"/>
                <w:sz w:val="24"/>
                <w:szCs w:val="24"/>
              </w:rPr>
              <w:t>的时间区间</w:t>
            </w:r>
          </w:p>
        </w:tc>
        <w:tc>
          <w:tcPr>
            <w:tcW w:w="851" w:type="dxa"/>
            <w:vAlign w:val="center"/>
          </w:tcPr>
          <w:p w:rsidR="003C50AD" w:rsidRPr="006B7EE7" w:rsidRDefault="003C50AD" w:rsidP="00424D30">
            <w:pPr>
              <w:widowControl/>
              <w:jc w:val="center"/>
              <w:rPr>
                <w:b/>
                <w:bCs/>
                <w:color w:val="000000"/>
                <w:kern w:val="0"/>
                <w:sz w:val="24"/>
                <w:szCs w:val="24"/>
              </w:rPr>
            </w:pPr>
            <w:r w:rsidRPr="006B7EE7">
              <w:rPr>
                <w:rFonts w:hint="eastAsia"/>
                <w:color w:val="000000"/>
                <w:kern w:val="0"/>
                <w:sz w:val="24"/>
                <w:szCs w:val="24"/>
              </w:rPr>
              <w:t>期初份额</w:t>
            </w:r>
          </w:p>
        </w:tc>
        <w:tc>
          <w:tcPr>
            <w:tcW w:w="850" w:type="dxa"/>
            <w:vAlign w:val="center"/>
          </w:tcPr>
          <w:p w:rsidR="003C50AD" w:rsidRPr="006B7EE7" w:rsidRDefault="003C50AD" w:rsidP="00424D30">
            <w:pPr>
              <w:widowControl/>
              <w:jc w:val="center"/>
              <w:rPr>
                <w:b/>
                <w:bCs/>
                <w:color w:val="000000"/>
                <w:kern w:val="0"/>
                <w:sz w:val="24"/>
                <w:szCs w:val="24"/>
              </w:rPr>
            </w:pPr>
            <w:r w:rsidRPr="006B7EE7">
              <w:rPr>
                <w:rFonts w:hint="eastAsia"/>
                <w:color w:val="000000"/>
                <w:kern w:val="0"/>
                <w:sz w:val="24"/>
                <w:szCs w:val="24"/>
              </w:rPr>
              <w:t>申购份额</w:t>
            </w:r>
          </w:p>
        </w:tc>
        <w:tc>
          <w:tcPr>
            <w:tcW w:w="1134" w:type="dxa"/>
            <w:vAlign w:val="center"/>
          </w:tcPr>
          <w:p w:rsidR="003C50AD" w:rsidRPr="006B7EE7" w:rsidRDefault="003C50AD" w:rsidP="00424D30">
            <w:pPr>
              <w:widowControl/>
              <w:jc w:val="center"/>
              <w:rPr>
                <w:b/>
                <w:bCs/>
                <w:color w:val="000000"/>
                <w:kern w:val="0"/>
                <w:sz w:val="24"/>
                <w:szCs w:val="24"/>
              </w:rPr>
            </w:pPr>
            <w:r w:rsidRPr="006B7EE7">
              <w:rPr>
                <w:rFonts w:hint="eastAsia"/>
                <w:color w:val="000000"/>
                <w:kern w:val="0"/>
                <w:sz w:val="24"/>
                <w:szCs w:val="24"/>
              </w:rPr>
              <w:t>赎回份额</w:t>
            </w:r>
          </w:p>
        </w:tc>
        <w:tc>
          <w:tcPr>
            <w:tcW w:w="1419" w:type="dxa"/>
            <w:vAlign w:val="center"/>
          </w:tcPr>
          <w:p w:rsidR="003C50AD" w:rsidRPr="006B7EE7" w:rsidRDefault="003C50AD" w:rsidP="00424D30">
            <w:pPr>
              <w:autoSpaceDE w:val="0"/>
              <w:autoSpaceDN w:val="0"/>
              <w:adjustRightInd w:val="0"/>
              <w:jc w:val="center"/>
              <w:rPr>
                <w:b/>
                <w:bCs/>
                <w:color w:val="000000"/>
                <w:kern w:val="0"/>
                <w:sz w:val="24"/>
                <w:szCs w:val="24"/>
              </w:rPr>
            </w:pPr>
            <w:r w:rsidRPr="006B7EE7">
              <w:rPr>
                <w:rFonts w:hint="eastAsia"/>
                <w:color w:val="000000"/>
                <w:kern w:val="0"/>
                <w:sz w:val="24"/>
                <w:szCs w:val="24"/>
              </w:rPr>
              <w:t>持有份额</w:t>
            </w:r>
          </w:p>
        </w:tc>
        <w:tc>
          <w:tcPr>
            <w:tcW w:w="1130" w:type="dxa"/>
            <w:vAlign w:val="center"/>
          </w:tcPr>
          <w:p w:rsidR="003C50AD" w:rsidRPr="006B7EE7" w:rsidRDefault="003C50AD" w:rsidP="00424D30">
            <w:pPr>
              <w:autoSpaceDE w:val="0"/>
              <w:autoSpaceDN w:val="0"/>
              <w:adjustRightInd w:val="0"/>
              <w:jc w:val="center"/>
              <w:rPr>
                <w:b/>
                <w:bCs/>
                <w:color w:val="000000"/>
                <w:kern w:val="0"/>
                <w:sz w:val="24"/>
                <w:szCs w:val="24"/>
              </w:rPr>
            </w:pPr>
            <w:r w:rsidRPr="006B7EE7">
              <w:rPr>
                <w:rFonts w:hint="eastAsia"/>
                <w:color w:val="000000"/>
                <w:kern w:val="0"/>
                <w:sz w:val="24"/>
                <w:szCs w:val="24"/>
              </w:rPr>
              <w:t>份额占比</w:t>
            </w:r>
          </w:p>
        </w:tc>
      </w:tr>
      <w:tr w:rsidR="001B02F9" w:rsidRPr="00021186">
        <w:tc>
          <w:tcPr>
            <w:tcW w:w="993" w:type="dxa"/>
            <w:vMerge w:val="restart"/>
          </w:tcPr>
          <w:p w:rsidR="001B02F9" w:rsidRPr="006B7EE7" w:rsidRDefault="001B02F9">
            <w:pPr>
              <w:rPr>
                <w:sz w:val="24"/>
                <w:szCs w:val="24"/>
              </w:rPr>
            </w:pPr>
          </w:p>
          <w:p w:rsidR="001B02F9" w:rsidRPr="006B7EE7" w:rsidRDefault="00F15E56">
            <w:pPr>
              <w:rPr>
                <w:sz w:val="24"/>
                <w:szCs w:val="24"/>
              </w:rPr>
            </w:pPr>
            <w:r w:rsidRPr="006B7EE7">
              <w:rPr>
                <w:rFonts w:hint="eastAsia"/>
                <w:bCs/>
                <w:color w:val="000000"/>
                <w:kern w:val="0"/>
                <w:sz w:val="24"/>
                <w:szCs w:val="24"/>
              </w:rPr>
              <w:t>机构</w:t>
            </w:r>
          </w:p>
        </w:tc>
        <w:tc>
          <w:tcPr>
            <w:tcW w:w="992" w:type="dxa"/>
            <w:vAlign w:val="center"/>
          </w:tcPr>
          <w:p w:rsidR="001B02F9" w:rsidRPr="006B7EE7" w:rsidRDefault="00F15E56">
            <w:pPr>
              <w:jc w:val="center"/>
              <w:rPr>
                <w:sz w:val="24"/>
                <w:szCs w:val="24"/>
              </w:rPr>
            </w:pPr>
            <w:r w:rsidRPr="006B7EE7">
              <w:rPr>
                <w:color w:val="000000"/>
                <w:kern w:val="0"/>
                <w:sz w:val="24"/>
                <w:szCs w:val="24"/>
              </w:rPr>
              <w:t>1</w:t>
            </w:r>
          </w:p>
        </w:tc>
        <w:tc>
          <w:tcPr>
            <w:tcW w:w="1843" w:type="dxa"/>
            <w:vAlign w:val="center"/>
          </w:tcPr>
          <w:p w:rsidR="001B02F9" w:rsidRPr="006B7EE7" w:rsidRDefault="00F15E56">
            <w:pPr>
              <w:jc w:val="center"/>
              <w:rPr>
                <w:sz w:val="24"/>
                <w:szCs w:val="24"/>
              </w:rPr>
            </w:pPr>
            <w:r w:rsidRPr="006B7EE7">
              <w:rPr>
                <w:color w:val="000000"/>
                <w:kern w:val="0"/>
                <w:sz w:val="24"/>
                <w:szCs w:val="24"/>
              </w:rPr>
              <w:t>2017/4/1-2017/6/30</w:t>
            </w:r>
          </w:p>
        </w:tc>
        <w:tc>
          <w:tcPr>
            <w:tcW w:w="851" w:type="dxa"/>
            <w:vAlign w:val="center"/>
          </w:tcPr>
          <w:p w:rsidR="001B02F9" w:rsidRPr="006B7EE7" w:rsidRDefault="00F15E56">
            <w:pPr>
              <w:jc w:val="center"/>
              <w:rPr>
                <w:sz w:val="24"/>
                <w:szCs w:val="24"/>
              </w:rPr>
            </w:pPr>
            <w:r w:rsidRPr="006B7EE7">
              <w:rPr>
                <w:color w:val="000000"/>
                <w:kern w:val="0"/>
                <w:sz w:val="24"/>
                <w:szCs w:val="24"/>
              </w:rPr>
              <w:t>194,788,457.98</w:t>
            </w:r>
          </w:p>
        </w:tc>
        <w:tc>
          <w:tcPr>
            <w:tcW w:w="850" w:type="dxa"/>
            <w:vAlign w:val="center"/>
          </w:tcPr>
          <w:p w:rsidR="001B02F9" w:rsidRPr="006B7EE7" w:rsidRDefault="00F15E56">
            <w:pPr>
              <w:jc w:val="center"/>
              <w:rPr>
                <w:sz w:val="24"/>
                <w:szCs w:val="24"/>
              </w:rPr>
            </w:pPr>
            <w:r w:rsidRPr="006B7EE7">
              <w:rPr>
                <w:color w:val="000000"/>
                <w:kern w:val="0"/>
                <w:sz w:val="24"/>
                <w:szCs w:val="24"/>
              </w:rPr>
              <w:t>-</w:t>
            </w:r>
          </w:p>
        </w:tc>
        <w:tc>
          <w:tcPr>
            <w:tcW w:w="1134" w:type="dxa"/>
            <w:vAlign w:val="center"/>
          </w:tcPr>
          <w:p w:rsidR="001B02F9" w:rsidRPr="006B7EE7" w:rsidRDefault="00F15E56">
            <w:pPr>
              <w:jc w:val="center"/>
              <w:rPr>
                <w:sz w:val="24"/>
                <w:szCs w:val="24"/>
              </w:rPr>
            </w:pPr>
            <w:r w:rsidRPr="006B7EE7">
              <w:rPr>
                <w:color w:val="000000"/>
                <w:kern w:val="0"/>
                <w:sz w:val="24"/>
                <w:szCs w:val="24"/>
              </w:rPr>
              <w:t>-</w:t>
            </w:r>
          </w:p>
        </w:tc>
        <w:tc>
          <w:tcPr>
            <w:tcW w:w="1419" w:type="dxa"/>
            <w:vAlign w:val="center"/>
          </w:tcPr>
          <w:p w:rsidR="001B02F9" w:rsidRPr="006B7EE7" w:rsidRDefault="00F15E56">
            <w:pPr>
              <w:jc w:val="center"/>
              <w:rPr>
                <w:sz w:val="24"/>
                <w:szCs w:val="24"/>
              </w:rPr>
            </w:pPr>
            <w:r w:rsidRPr="006B7EE7">
              <w:rPr>
                <w:color w:val="000000"/>
                <w:kern w:val="0"/>
                <w:sz w:val="24"/>
                <w:szCs w:val="24"/>
              </w:rPr>
              <w:t>194,788,457.98</w:t>
            </w:r>
          </w:p>
        </w:tc>
        <w:tc>
          <w:tcPr>
            <w:tcW w:w="1130" w:type="dxa"/>
            <w:vAlign w:val="center"/>
          </w:tcPr>
          <w:p w:rsidR="001B02F9" w:rsidRPr="006B7EE7" w:rsidRDefault="00F15E56">
            <w:pPr>
              <w:jc w:val="center"/>
              <w:rPr>
                <w:sz w:val="24"/>
                <w:szCs w:val="24"/>
              </w:rPr>
            </w:pPr>
            <w:r w:rsidRPr="006B7EE7">
              <w:rPr>
                <w:color w:val="000000"/>
                <w:kern w:val="0"/>
                <w:sz w:val="24"/>
                <w:szCs w:val="24"/>
              </w:rPr>
              <w:t>24.30%</w:t>
            </w:r>
          </w:p>
        </w:tc>
      </w:tr>
    </w:tbl>
    <w:p w:rsidR="003C50AD" w:rsidRPr="006B7EE7" w:rsidRDefault="003C50AD" w:rsidP="003C50AD">
      <w:pPr>
        <w:autoSpaceDE w:val="0"/>
        <w:autoSpaceDN w:val="0"/>
        <w:adjustRightInd w:val="0"/>
        <w:spacing w:line="360" w:lineRule="auto"/>
        <w:jc w:val="left"/>
        <w:rPr>
          <w:bCs/>
          <w:color w:val="000000"/>
          <w:kern w:val="0"/>
          <w:sz w:val="24"/>
          <w:szCs w:val="24"/>
        </w:rPr>
      </w:pPr>
      <w:r w:rsidRPr="006B7EE7">
        <w:rPr>
          <w:rFonts w:hint="eastAsia"/>
          <w:bCs/>
          <w:color w:val="000000"/>
          <w:kern w:val="0"/>
          <w:sz w:val="24"/>
          <w:szCs w:val="24"/>
        </w:rPr>
        <w:t>注：本基金本报告期内出现单一投资者持有基金份额比例超过基金总份额</w:t>
      </w:r>
      <w:r w:rsidRPr="006B7EE7">
        <w:rPr>
          <w:bCs/>
          <w:color w:val="000000"/>
          <w:kern w:val="0"/>
          <w:sz w:val="24"/>
          <w:szCs w:val="24"/>
        </w:rPr>
        <w:t>20%</w:t>
      </w:r>
      <w:r w:rsidRPr="006B7EE7">
        <w:rPr>
          <w:rFonts w:hint="eastAsia"/>
          <w:bCs/>
          <w:color w:val="000000"/>
          <w:kern w:val="0"/>
          <w:sz w:val="24"/>
          <w:szCs w:val="24"/>
        </w:rPr>
        <w:t>的情况。如该类投资者集中赎回，可能会对本基金带来流动性冲击，从而影响基金的投资运作和收益水平。基金管理人将加强流动性管理，防范相关风险，保护持有人利益。</w:t>
      </w:r>
    </w:p>
    <w:p w:rsidR="00B22DEE" w:rsidRPr="00E02660"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1B02F9" w:rsidRDefault="00F15E56">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、中国证监会准予交银施罗德经济新动力混合型证券投资基金募集注册的文件；</w:t>
      </w:r>
      <w:r>
        <w:rPr>
          <w:color w:val="000000"/>
          <w:sz w:val="24"/>
          <w:szCs w:val="24"/>
        </w:rPr>
        <w:t xml:space="preserve"> </w:t>
      </w:r>
    </w:p>
    <w:p w:rsidR="001B02F9" w:rsidRDefault="00F15E56">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、《交银施罗德经济新动力混合型证券投资基金基金合同》；</w:t>
      </w:r>
      <w:r>
        <w:rPr>
          <w:color w:val="000000"/>
          <w:sz w:val="24"/>
          <w:szCs w:val="24"/>
        </w:rPr>
        <w:t xml:space="preserve"> </w:t>
      </w:r>
    </w:p>
    <w:p w:rsidR="001B02F9" w:rsidRDefault="00F15E56">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、《交银施罗德经济新动力混合型证券投资基金招募说明书》；</w:t>
      </w:r>
      <w:r>
        <w:rPr>
          <w:color w:val="000000"/>
          <w:sz w:val="24"/>
          <w:szCs w:val="24"/>
        </w:rPr>
        <w:t xml:space="preserve"> </w:t>
      </w:r>
    </w:p>
    <w:p w:rsidR="001B02F9" w:rsidRDefault="00F15E56">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、《交银施罗德经济新动力混合型证券投资基金托管协议》；</w:t>
      </w:r>
      <w:r>
        <w:rPr>
          <w:color w:val="000000"/>
          <w:sz w:val="24"/>
          <w:szCs w:val="24"/>
        </w:rPr>
        <w:t xml:space="preserve"> </w:t>
      </w:r>
    </w:p>
    <w:p w:rsidR="001B02F9" w:rsidRDefault="00F15E56">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、关于申请募集注册交银施罗德经济新动力混合型证券投资基金的法律意见书；</w:t>
      </w:r>
      <w:r>
        <w:rPr>
          <w:color w:val="000000"/>
          <w:sz w:val="24"/>
          <w:szCs w:val="24"/>
        </w:rPr>
        <w:t xml:space="preserve"> </w:t>
      </w:r>
    </w:p>
    <w:p w:rsidR="001B02F9" w:rsidRDefault="00F15E56">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1B02F9" w:rsidRDefault="00F15E56">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、报告期内交银施罗德经济新动力混合型证券投资基金在指定报刊上各项公告的原稿。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1B02F9" w:rsidRDefault="00F15E56">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07F" w:rsidRDefault="00B4007F" w:rsidP="00876D65">
      <w:r>
        <w:separator/>
      </w:r>
    </w:p>
  </w:endnote>
  <w:endnote w:type="continuationSeparator" w:id="0">
    <w:p w:rsidR="00B4007F" w:rsidRDefault="00B4007F"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CF3ABC">
      <w:rPr>
        <w:noProof/>
        <w:kern w:val="0"/>
        <w:szCs w:val="21"/>
      </w:rPr>
      <w:t>4</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CF3ABC">
      <w:rPr>
        <w:noProof/>
        <w:kern w:val="0"/>
        <w:szCs w:val="21"/>
      </w:rPr>
      <w:t>11</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07F" w:rsidRDefault="00B4007F" w:rsidP="00876D65">
      <w:r>
        <w:separator/>
      </w:r>
    </w:p>
  </w:footnote>
  <w:footnote w:type="continuationSeparator" w:id="0">
    <w:p w:rsidR="00B4007F" w:rsidRDefault="00B4007F"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1186"/>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0902"/>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2F9"/>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26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B7EE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06BF6"/>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07F"/>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2C39"/>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3ABC"/>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5E56"/>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6971215-1673-4581-8B05-478F108A4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49F2F-FD65-4808-9E2F-82670887D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1793</TotalTime>
  <Pages>11</Pages>
  <Words>1118</Words>
  <Characters>6376</Characters>
  <Application>Microsoft Office Word</Application>
  <DocSecurity>0</DocSecurity>
  <Lines>53</Lines>
  <Paragraphs>14</Paragraphs>
  <ScaleCrop>false</ScaleCrop>
  <Company/>
  <LinksUpToDate>false</LinksUpToDate>
  <CharactersWithSpaces>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572</cp:revision>
  <dcterms:created xsi:type="dcterms:W3CDTF">2012-10-16T06:07:00Z</dcterms:created>
  <dcterms:modified xsi:type="dcterms:W3CDTF">2017-07-18T08:23:00Z</dcterms:modified>
</cp:coreProperties>
</file>