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交银施罗德荣鑫保本混合型证券投资基金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BD5B0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A0432" w:rsidRDefault="00BD5B0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A0432" w:rsidRDefault="00BD5B01">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A0432" w:rsidRDefault="00BD5B0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A0432" w:rsidRDefault="00BD5B0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A0432" w:rsidRDefault="00BD5B0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BD5B0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809,254,432.28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本基金通过运用投资组合保险技术，有效控制本金损失的风险，在追求保本周期到期时本金安全的基础上，力争实现基金资产的稳定增值。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）原理，动态调整固定收益类资产与权益类资产在基金组合中的投资比例，以确保本基金在保本周期到期时的本金安全，并实现基金资产在保本基础上的保值增值目的。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本基金是一只保本混合型基金，在证券投资基金中属于低风险品种。其风险和预期收益低于股票型基金和非保本的混合型基金，高于货币市场基金和债券型基</w:t>
            </w:r>
            <w:r w:rsidRPr="00414345">
              <w:rPr>
                <w:color w:val="000000"/>
                <w:kern w:val="0"/>
                <w:sz w:val="24"/>
                <w:szCs w:val="24"/>
              </w:rPr>
              <w:lastRenderedPageBreak/>
              <w:t>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BD5B0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D5B01" w:rsidRPr="00414345" w:rsidTr="00BD5B0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D5B01" w:rsidRPr="00414345" w:rsidTr="00BD5B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2,085,117.70</w:t>
            </w:r>
          </w:p>
        </w:tc>
      </w:tr>
      <w:tr w:rsidR="00BD5B01" w:rsidRPr="00414345" w:rsidTr="00BD5B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6,779,233.20</w:t>
            </w:r>
          </w:p>
        </w:tc>
      </w:tr>
      <w:tr w:rsidR="00BD5B01" w:rsidRPr="00414345" w:rsidTr="00BD5B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0.0081</w:t>
            </w:r>
          </w:p>
        </w:tc>
      </w:tr>
      <w:tr w:rsidR="00BD5B01" w:rsidRPr="00414345" w:rsidTr="00BD5B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819,417,094.90</w:t>
            </w:r>
          </w:p>
        </w:tc>
      </w:tr>
      <w:tr w:rsidR="00BD5B01" w:rsidRPr="00414345" w:rsidTr="00BD5B0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1.013</w:t>
            </w:r>
          </w:p>
        </w:tc>
      </w:tr>
    </w:tbl>
    <w:p w:rsidR="008A0432" w:rsidRDefault="00BD5B0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A0432">
        <w:trPr>
          <w:jc w:val="center"/>
        </w:trPr>
        <w:tc>
          <w:tcPr>
            <w:tcW w:w="1701" w:type="dxa"/>
            <w:vAlign w:val="center"/>
          </w:tcPr>
          <w:p w:rsidR="008A0432" w:rsidRDefault="00BD5B01">
            <w:pPr>
              <w:jc w:val="left"/>
            </w:pPr>
            <w:r>
              <w:rPr>
                <w:color w:val="000000"/>
                <w:sz w:val="24"/>
                <w:szCs w:val="24"/>
              </w:rPr>
              <w:t>过去三个月</w:t>
            </w:r>
          </w:p>
        </w:tc>
        <w:tc>
          <w:tcPr>
            <w:tcW w:w="1045" w:type="dxa"/>
            <w:vAlign w:val="center"/>
          </w:tcPr>
          <w:p w:rsidR="008A0432" w:rsidRDefault="00BD5B01">
            <w:pPr>
              <w:jc w:val="center"/>
            </w:pPr>
            <w:r>
              <w:rPr>
                <w:color w:val="000000"/>
                <w:sz w:val="24"/>
                <w:szCs w:val="24"/>
              </w:rPr>
              <w:t>0.90%</w:t>
            </w:r>
          </w:p>
        </w:tc>
        <w:tc>
          <w:tcPr>
            <w:tcW w:w="1344" w:type="dxa"/>
            <w:vAlign w:val="center"/>
          </w:tcPr>
          <w:p w:rsidR="008A0432" w:rsidRDefault="00BD5B01">
            <w:pPr>
              <w:jc w:val="center"/>
            </w:pPr>
            <w:r>
              <w:rPr>
                <w:color w:val="000000"/>
                <w:sz w:val="24"/>
                <w:szCs w:val="24"/>
              </w:rPr>
              <w:t>0.06%</w:t>
            </w:r>
          </w:p>
        </w:tc>
        <w:tc>
          <w:tcPr>
            <w:tcW w:w="1194" w:type="dxa"/>
            <w:vAlign w:val="center"/>
          </w:tcPr>
          <w:p w:rsidR="008A0432" w:rsidRDefault="00BD5B01">
            <w:pPr>
              <w:jc w:val="center"/>
            </w:pPr>
            <w:r>
              <w:rPr>
                <w:color w:val="000000"/>
                <w:sz w:val="24"/>
                <w:szCs w:val="24"/>
              </w:rPr>
              <w:t>0.70%</w:t>
            </w:r>
          </w:p>
        </w:tc>
        <w:tc>
          <w:tcPr>
            <w:tcW w:w="1492" w:type="dxa"/>
            <w:vAlign w:val="center"/>
          </w:tcPr>
          <w:p w:rsidR="008A0432" w:rsidRDefault="00BD5B01">
            <w:pPr>
              <w:jc w:val="center"/>
            </w:pPr>
            <w:r>
              <w:rPr>
                <w:color w:val="000000"/>
                <w:sz w:val="24"/>
                <w:szCs w:val="24"/>
              </w:rPr>
              <w:t>0.01%</w:t>
            </w:r>
          </w:p>
        </w:tc>
        <w:tc>
          <w:tcPr>
            <w:tcW w:w="1194" w:type="dxa"/>
            <w:vAlign w:val="center"/>
          </w:tcPr>
          <w:p w:rsidR="008A0432" w:rsidRDefault="00BD5B01">
            <w:pPr>
              <w:jc w:val="center"/>
            </w:pPr>
            <w:r>
              <w:rPr>
                <w:color w:val="000000"/>
                <w:sz w:val="24"/>
                <w:szCs w:val="24"/>
              </w:rPr>
              <w:t>0.20%</w:t>
            </w:r>
          </w:p>
        </w:tc>
        <w:tc>
          <w:tcPr>
            <w:tcW w:w="898" w:type="dxa"/>
            <w:vAlign w:val="center"/>
          </w:tcPr>
          <w:p w:rsidR="008A0432" w:rsidRDefault="00BD5B01">
            <w:pPr>
              <w:jc w:val="center"/>
            </w:pPr>
            <w:r>
              <w:rPr>
                <w:color w:val="000000"/>
                <w:sz w:val="24"/>
                <w:szCs w:val="24"/>
              </w:rPr>
              <w:t>0.05%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25</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BD5B0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9A71C6">
        <w:trPr>
          <w:jc w:val="center"/>
        </w:trPr>
        <w:tc>
          <w:tcPr>
            <w:tcW w:w="851"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tcBorders>
              <w:bottom w:val="single" w:sz="4" w:space="0" w:color="auto"/>
            </w:tcBorders>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tcBorders>
              <w:bottom w:val="single" w:sz="4" w:space="0" w:color="auto"/>
            </w:tcBorders>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r>
      <w:tr w:rsidR="008A0432" w:rsidTr="009A71C6">
        <w:trPr>
          <w:jc w:val="center"/>
        </w:trPr>
        <w:tc>
          <w:tcPr>
            <w:tcW w:w="846" w:type="dxa"/>
            <w:tcBorders>
              <w:bottom w:val="single" w:sz="4" w:space="0" w:color="auto"/>
            </w:tcBorders>
            <w:vAlign w:val="center"/>
          </w:tcPr>
          <w:p w:rsidR="008A0432" w:rsidRDefault="00BD5B01">
            <w:pPr>
              <w:jc w:val="center"/>
            </w:pPr>
            <w:r>
              <w:rPr>
                <w:color w:val="000000"/>
                <w:sz w:val="24"/>
                <w:szCs w:val="24"/>
              </w:rPr>
              <w:t>孙超</w:t>
            </w:r>
          </w:p>
        </w:tc>
        <w:tc>
          <w:tcPr>
            <w:tcW w:w="845" w:type="dxa"/>
            <w:tcBorders>
              <w:bottom w:val="single" w:sz="4" w:space="0" w:color="auto"/>
            </w:tcBorders>
            <w:vAlign w:val="center"/>
          </w:tcPr>
          <w:p w:rsidR="008A0432" w:rsidRDefault="00BD5B01">
            <w:pPr>
              <w:jc w:val="center"/>
            </w:pPr>
            <w:r>
              <w:rPr>
                <w:color w:val="000000"/>
                <w:sz w:val="24"/>
                <w:szCs w:val="24"/>
              </w:rPr>
              <w:t>交银增利债券、交银纯债债券发起、交银荣祥保本混合、交银定期支付月月</w:t>
            </w:r>
            <w:r>
              <w:rPr>
                <w:color w:val="000000"/>
                <w:sz w:val="24"/>
                <w:szCs w:val="24"/>
              </w:rPr>
              <w:lastRenderedPageBreak/>
              <w:t>丰债券、交银增强收益债券、交银强化回报债券、交银丰硕收益债券、交银荣鑫保本混合、交银增利增强债券的基金经理，公司固定收益部助理总经理</w:t>
            </w:r>
          </w:p>
        </w:tc>
        <w:tc>
          <w:tcPr>
            <w:tcW w:w="1549" w:type="dxa"/>
            <w:tcBorders>
              <w:bottom w:val="single" w:sz="4" w:space="0" w:color="auto"/>
            </w:tcBorders>
            <w:vAlign w:val="center"/>
          </w:tcPr>
          <w:p w:rsidR="008A0432" w:rsidRDefault="00BD5B01">
            <w:pPr>
              <w:jc w:val="center"/>
            </w:pPr>
            <w:r>
              <w:rPr>
                <w:color w:val="000000"/>
                <w:sz w:val="24"/>
                <w:szCs w:val="24"/>
              </w:rPr>
              <w:lastRenderedPageBreak/>
              <w:t>2016-03-25</w:t>
            </w:r>
          </w:p>
        </w:tc>
        <w:tc>
          <w:tcPr>
            <w:tcW w:w="1548" w:type="dxa"/>
            <w:tcBorders>
              <w:bottom w:val="single" w:sz="4" w:space="0" w:color="auto"/>
            </w:tcBorders>
            <w:vAlign w:val="center"/>
          </w:tcPr>
          <w:p w:rsidR="008A0432" w:rsidRDefault="00BD5B01">
            <w:pPr>
              <w:jc w:val="center"/>
            </w:pPr>
            <w:r>
              <w:rPr>
                <w:color w:val="000000"/>
                <w:sz w:val="24"/>
                <w:szCs w:val="24"/>
              </w:rPr>
              <w:t>2017-06-22</w:t>
            </w:r>
          </w:p>
        </w:tc>
        <w:tc>
          <w:tcPr>
            <w:tcW w:w="1407" w:type="dxa"/>
            <w:tcBorders>
              <w:bottom w:val="single" w:sz="4" w:space="0" w:color="auto"/>
            </w:tcBorders>
            <w:vAlign w:val="center"/>
          </w:tcPr>
          <w:p w:rsidR="008A0432" w:rsidRDefault="00BD5B01">
            <w:pPr>
              <w:jc w:val="center"/>
            </w:pPr>
            <w:r>
              <w:rPr>
                <w:color w:val="000000"/>
                <w:sz w:val="24"/>
                <w:szCs w:val="24"/>
              </w:rPr>
              <w:t>6</w:t>
            </w:r>
            <w:r>
              <w:rPr>
                <w:color w:val="000000"/>
                <w:sz w:val="24"/>
                <w:szCs w:val="24"/>
              </w:rPr>
              <w:t>年</w:t>
            </w:r>
          </w:p>
        </w:tc>
        <w:tc>
          <w:tcPr>
            <w:tcW w:w="2673" w:type="dxa"/>
            <w:tcBorders>
              <w:bottom w:val="single" w:sz="4" w:space="0" w:color="auto"/>
            </w:tcBorders>
            <w:vAlign w:val="center"/>
          </w:tcPr>
          <w:p w:rsidR="008A0432" w:rsidRDefault="00BD5B01" w:rsidP="005C6810">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w:t>
            </w:r>
            <w:r>
              <w:rPr>
                <w:color w:val="000000"/>
                <w:sz w:val="24"/>
                <w:szCs w:val="24"/>
              </w:rPr>
              <w:lastRenderedPageBreak/>
              <w:t>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日担任交银施罗德定期支付月月丰债券型证券投资基金的基金经理，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日担任交银施罗德强化回报债券型证券投资基金的基金经理，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15</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日担任交银施罗德丰润收益债券型证券投资基金基金经理，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日担任交银施罗德丰享收益债券型证券投资基金基金经理，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30</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日担任交银施罗德丰泽收益债券型证券投资基金基金经理，</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9</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日担任交银施罗德纯债债券型发起式证券投资基金的基金经理，</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日担任交银施罗德增利债券证券投资基金的基金经理，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日担任交银施罗德荣祥保本混合型证券投资基金的基金经理，</w:t>
            </w:r>
            <w:r w:rsidR="005C6810" w:rsidDel="005C6810">
              <w:rPr>
                <w:color w:val="000000"/>
                <w:sz w:val="24"/>
                <w:szCs w:val="24"/>
              </w:rPr>
              <w:t xml:space="preserve"> </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日担任交银施罗德丰硕收益债券型证券投资基金的基金经理，</w:t>
            </w:r>
            <w:r>
              <w:rPr>
                <w:color w:val="000000"/>
                <w:sz w:val="24"/>
                <w:szCs w:val="24"/>
              </w:rPr>
              <w:t>2016</w:t>
            </w:r>
            <w:r>
              <w:rPr>
                <w:color w:val="000000"/>
                <w:sz w:val="24"/>
                <w:szCs w:val="24"/>
              </w:rPr>
              <w:t>年</w:t>
            </w:r>
            <w:r>
              <w:rPr>
                <w:color w:val="000000"/>
                <w:sz w:val="24"/>
                <w:szCs w:val="24"/>
              </w:rPr>
              <w:t>3</w:t>
            </w:r>
            <w:r>
              <w:rPr>
                <w:color w:val="000000"/>
                <w:sz w:val="24"/>
                <w:szCs w:val="24"/>
              </w:rPr>
              <w:t>月</w:t>
            </w:r>
            <w:r>
              <w:rPr>
                <w:color w:val="000000"/>
                <w:sz w:val="24"/>
                <w:szCs w:val="24"/>
              </w:rPr>
              <w:t>25</w:t>
            </w:r>
            <w:r>
              <w:rPr>
                <w:color w:val="000000"/>
                <w:sz w:val="24"/>
                <w:szCs w:val="24"/>
              </w:rPr>
              <w:t>日</w:t>
            </w:r>
            <w:r>
              <w:rPr>
                <w:color w:val="000000"/>
                <w:sz w:val="24"/>
                <w:szCs w:val="24"/>
              </w:rPr>
              <w:lastRenderedPageBreak/>
              <w:t>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日担任交银施罗德荣鑫保本混合型证券投资基金的基金经理，</w:t>
            </w:r>
            <w:r w:rsidR="005C6810">
              <w:rPr>
                <w:color w:val="000000"/>
                <w:sz w:val="24"/>
                <w:szCs w:val="24"/>
              </w:rPr>
              <w:t>2016</w:t>
            </w:r>
            <w:r w:rsidR="005C6810">
              <w:rPr>
                <w:color w:val="000000"/>
                <w:sz w:val="24"/>
                <w:szCs w:val="24"/>
              </w:rPr>
              <w:t>年</w:t>
            </w:r>
            <w:r w:rsidR="005C6810">
              <w:rPr>
                <w:color w:val="000000"/>
                <w:sz w:val="24"/>
                <w:szCs w:val="24"/>
              </w:rPr>
              <w:t>12</w:t>
            </w:r>
            <w:r w:rsidR="005C6810">
              <w:rPr>
                <w:color w:val="000000"/>
                <w:sz w:val="24"/>
                <w:szCs w:val="24"/>
              </w:rPr>
              <w:t>月</w:t>
            </w:r>
            <w:r w:rsidR="005C6810">
              <w:rPr>
                <w:color w:val="000000"/>
                <w:sz w:val="24"/>
                <w:szCs w:val="24"/>
              </w:rPr>
              <w:t>30</w:t>
            </w:r>
            <w:r w:rsidR="005C6810">
              <w:rPr>
                <w:color w:val="000000"/>
                <w:sz w:val="24"/>
                <w:szCs w:val="24"/>
              </w:rPr>
              <w:t>日至</w:t>
            </w:r>
            <w:r w:rsidR="005C6810">
              <w:rPr>
                <w:color w:val="000000"/>
                <w:sz w:val="24"/>
                <w:szCs w:val="24"/>
              </w:rPr>
              <w:t>2017</w:t>
            </w:r>
            <w:r w:rsidR="005C6810">
              <w:rPr>
                <w:color w:val="000000"/>
                <w:sz w:val="24"/>
                <w:szCs w:val="24"/>
              </w:rPr>
              <w:t>年</w:t>
            </w:r>
            <w:r w:rsidR="005C6810">
              <w:rPr>
                <w:color w:val="000000"/>
                <w:sz w:val="24"/>
                <w:szCs w:val="24"/>
              </w:rPr>
              <w:t>6</w:t>
            </w:r>
            <w:r w:rsidR="005C6810">
              <w:rPr>
                <w:color w:val="000000"/>
                <w:sz w:val="24"/>
                <w:szCs w:val="24"/>
              </w:rPr>
              <w:t>月</w:t>
            </w:r>
            <w:r w:rsidR="005C6810">
              <w:rPr>
                <w:color w:val="000000"/>
                <w:sz w:val="24"/>
                <w:szCs w:val="24"/>
              </w:rPr>
              <w:t>21</w:t>
            </w:r>
            <w:r w:rsidR="005C6810">
              <w:rPr>
                <w:color w:val="000000"/>
                <w:sz w:val="24"/>
                <w:szCs w:val="24"/>
              </w:rPr>
              <w:t>日担任交银施罗德增强收益债券型证券投资基金的基金经理，</w:t>
            </w:r>
            <w:r>
              <w:rPr>
                <w:color w:val="000000"/>
                <w:sz w:val="24"/>
                <w:szCs w:val="24"/>
              </w:rPr>
              <w:t>201</w:t>
            </w:r>
            <w:r>
              <w:rPr>
                <w:rFonts w:hint="eastAsia"/>
                <w:color w:val="000000"/>
                <w:sz w:val="24"/>
                <w:szCs w:val="24"/>
              </w:rPr>
              <w:t>7</w:t>
            </w:r>
            <w:r>
              <w:rPr>
                <w:color w:val="000000"/>
                <w:sz w:val="24"/>
                <w:szCs w:val="24"/>
              </w:rPr>
              <w:t>年</w:t>
            </w:r>
            <w:r>
              <w:rPr>
                <w:color w:val="000000"/>
                <w:sz w:val="24"/>
                <w:szCs w:val="24"/>
              </w:rPr>
              <w:t>6</w:t>
            </w:r>
            <w:r>
              <w:rPr>
                <w:color w:val="000000"/>
                <w:sz w:val="24"/>
                <w:szCs w:val="24"/>
              </w:rPr>
              <w:t>月</w:t>
            </w:r>
            <w:r>
              <w:rPr>
                <w:color w:val="000000"/>
                <w:sz w:val="24"/>
                <w:szCs w:val="24"/>
              </w:rPr>
              <w:t>2</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日担任交银施罗德增利增强债券型证券投资基金基金经理。</w:t>
            </w:r>
          </w:p>
        </w:tc>
      </w:tr>
      <w:tr w:rsidR="008A0432" w:rsidTr="009A71C6">
        <w:trPr>
          <w:jc w:val="center"/>
        </w:trPr>
        <w:tc>
          <w:tcPr>
            <w:tcW w:w="846" w:type="dxa"/>
            <w:tcBorders>
              <w:top w:val="single" w:sz="4" w:space="0" w:color="auto"/>
            </w:tcBorders>
            <w:vAlign w:val="center"/>
          </w:tcPr>
          <w:p w:rsidR="008A0432" w:rsidRDefault="00BD5B01">
            <w:pPr>
              <w:jc w:val="center"/>
            </w:pPr>
            <w:r>
              <w:rPr>
                <w:color w:val="000000"/>
                <w:sz w:val="24"/>
                <w:szCs w:val="24"/>
              </w:rPr>
              <w:lastRenderedPageBreak/>
              <w:t>于海颖</w:t>
            </w:r>
          </w:p>
        </w:tc>
        <w:tc>
          <w:tcPr>
            <w:tcW w:w="845" w:type="dxa"/>
            <w:tcBorders>
              <w:top w:val="single" w:sz="4" w:space="0" w:color="auto"/>
            </w:tcBorders>
            <w:vAlign w:val="center"/>
          </w:tcPr>
          <w:p w:rsidR="008A0432" w:rsidRDefault="00BD5B01">
            <w:pPr>
              <w:jc w:val="center"/>
            </w:pPr>
            <w:r>
              <w:rPr>
                <w:color w:val="000000"/>
                <w:sz w:val="24"/>
                <w:szCs w:val="24"/>
              </w:rPr>
              <w:t>交银增利债券、交银纯债债券发起、交银荣祥保本混合、交银定期支付月月丰债券、交银增强收益债券、交银强化回报债券、交银丰盈收益债券、交银丰硕收益债</w:t>
            </w:r>
            <w:r>
              <w:rPr>
                <w:color w:val="000000"/>
                <w:sz w:val="24"/>
                <w:szCs w:val="24"/>
              </w:rPr>
              <w:lastRenderedPageBreak/>
              <w:t>券、交银荣鑫保本混合、交银增利增强债券的基金经理，公司固定收益（公募）投资总监</w:t>
            </w:r>
          </w:p>
        </w:tc>
        <w:tc>
          <w:tcPr>
            <w:tcW w:w="1549" w:type="dxa"/>
            <w:tcBorders>
              <w:top w:val="single" w:sz="4" w:space="0" w:color="auto"/>
            </w:tcBorders>
            <w:vAlign w:val="center"/>
          </w:tcPr>
          <w:p w:rsidR="008A0432" w:rsidRDefault="00BD5B01">
            <w:pPr>
              <w:jc w:val="center"/>
            </w:pPr>
            <w:r>
              <w:rPr>
                <w:color w:val="000000"/>
                <w:sz w:val="24"/>
                <w:szCs w:val="24"/>
              </w:rPr>
              <w:lastRenderedPageBreak/>
              <w:t>2017-06-10</w:t>
            </w:r>
          </w:p>
        </w:tc>
        <w:tc>
          <w:tcPr>
            <w:tcW w:w="1548" w:type="dxa"/>
            <w:tcBorders>
              <w:top w:val="single" w:sz="4" w:space="0" w:color="auto"/>
            </w:tcBorders>
            <w:vAlign w:val="center"/>
          </w:tcPr>
          <w:p w:rsidR="008A0432" w:rsidRDefault="00BD5B01">
            <w:pPr>
              <w:jc w:val="center"/>
            </w:pPr>
            <w:r>
              <w:rPr>
                <w:color w:val="000000"/>
                <w:sz w:val="24"/>
                <w:szCs w:val="24"/>
              </w:rPr>
              <w:t>-</w:t>
            </w:r>
          </w:p>
        </w:tc>
        <w:tc>
          <w:tcPr>
            <w:tcW w:w="1407" w:type="dxa"/>
            <w:tcBorders>
              <w:top w:val="single" w:sz="4" w:space="0" w:color="auto"/>
            </w:tcBorders>
            <w:vAlign w:val="center"/>
          </w:tcPr>
          <w:p w:rsidR="008A0432" w:rsidRDefault="00BD5B01">
            <w:pPr>
              <w:jc w:val="center"/>
            </w:pPr>
            <w:r>
              <w:rPr>
                <w:color w:val="000000"/>
                <w:sz w:val="24"/>
                <w:szCs w:val="24"/>
              </w:rPr>
              <w:t>11</w:t>
            </w:r>
            <w:r>
              <w:rPr>
                <w:color w:val="000000"/>
                <w:sz w:val="24"/>
                <w:szCs w:val="24"/>
              </w:rPr>
              <w:t>年</w:t>
            </w:r>
          </w:p>
        </w:tc>
        <w:tc>
          <w:tcPr>
            <w:tcW w:w="2673" w:type="dxa"/>
            <w:tcBorders>
              <w:top w:val="single" w:sz="4" w:space="0" w:color="auto"/>
            </w:tcBorders>
            <w:vAlign w:val="center"/>
          </w:tcPr>
          <w:p w:rsidR="008A0432" w:rsidRDefault="00BD5B01">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lastRenderedPageBreak/>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A0432" w:rsidRDefault="00BD5B0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A0432" w:rsidRDefault="00BD5B0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A0432" w:rsidRDefault="00BD5B0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w:t>
      </w:r>
      <w:r>
        <w:rPr>
          <w:color w:val="000000"/>
          <w:sz w:val="24"/>
          <w:szCs w:val="24"/>
        </w:rPr>
        <w:lastRenderedPageBreak/>
        <w:t>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A0432" w:rsidRDefault="00BD5B01">
      <w:pPr>
        <w:spacing w:before="29" w:line="288" w:lineRule="auto"/>
        <w:ind w:firstLineChars="200" w:firstLine="480"/>
        <w:rPr>
          <w:color w:val="000000"/>
          <w:sz w:val="24"/>
          <w:szCs w:val="24"/>
        </w:rPr>
      </w:pPr>
      <w:r>
        <w:rPr>
          <w:color w:val="000000"/>
          <w:sz w:val="24"/>
          <w:szCs w:val="24"/>
        </w:rPr>
        <w:t>本报告期内，尽管经济在四月出现下行迹象，但经济失速风险尚未出现，金融去杠杆导致的资金面收紧令债市面临持续调整压力。四月伊始，市场情绪明显不佳，</w:t>
      </w:r>
      <w:r>
        <w:rPr>
          <w:color w:val="000000"/>
          <w:sz w:val="24"/>
          <w:szCs w:val="24"/>
        </w:rPr>
        <w:t>10</w:t>
      </w:r>
      <w:r>
        <w:rPr>
          <w:color w:val="000000"/>
          <w:sz w:val="24"/>
          <w:szCs w:val="24"/>
        </w:rPr>
        <w:t>年国债收益率高点一度接近</w:t>
      </w:r>
      <w:r>
        <w:rPr>
          <w:color w:val="000000"/>
          <w:sz w:val="24"/>
          <w:szCs w:val="24"/>
        </w:rPr>
        <w:t>3.70%</w:t>
      </w:r>
      <w:r>
        <w:rPr>
          <w:color w:val="000000"/>
          <w:sz w:val="24"/>
          <w:szCs w:val="24"/>
        </w:rPr>
        <w:t>，信用债收益率也明显上行，信用利差走扩。</w:t>
      </w:r>
    </w:p>
    <w:p w:rsidR="008A0432" w:rsidRDefault="00BD5B01">
      <w:pPr>
        <w:spacing w:before="29" w:line="288" w:lineRule="auto"/>
        <w:ind w:firstLineChars="200" w:firstLine="480"/>
        <w:rPr>
          <w:color w:val="000000"/>
          <w:sz w:val="24"/>
          <w:szCs w:val="24"/>
        </w:rPr>
      </w:pPr>
      <w:r>
        <w:rPr>
          <w:color w:val="000000"/>
          <w:sz w:val="24"/>
          <w:szCs w:val="24"/>
        </w:rPr>
        <w:t>在市场明显表达了对金融去杠杆的恐慌情绪后，监管层也开始通过多种方式稳定市场预期，</w:t>
      </w:r>
      <w:r>
        <w:rPr>
          <w:color w:val="000000"/>
          <w:sz w:val="24"/>
          <w:szCs w:val="24"/>
        </w:rPr>
        <w:t xml:space="preserve"> </w:t>
      </w:r>
      <w:r>
        <w:rPr>
          <w:color w:val="000000"/>
          <w:sz w:val="24"/>
          <w:szCs w:val="24"/>
        </w:rPr>
        <w:t>五月中旬起，央行通过加大</w:t>
      </w:r>
      <w:r>
        <w:rPr>
          <w:color w:val="000000"/>
          <w:sz w:val="24"/>
          <w:szCs w:val="24"/>
        </w:rPr>
        <w:t>MLF</w:t>
      </w:r>
      <w:r>
        <w:rPr>
          <w:color w:val="000000"/>
          <w:sz w:val="24"/>
          <w:szCs w:val="24"/>
        </w:rPr>
        <w:t>的投放力度，开展</w:t>
      </w:r>
      <w:r>
        <w:rPr>
          <w:color w:val="000000"/>
          <w:sz w:val="24"/>
          <w:szCs w:val="24"/>
        </w:rPr>
        <w:t>28</w:t>
      </w:r>
      <w:r>
        <w:rPr>
          <w:color w:val="000000"/>
          <w:sz w:val="24"/>
          <w:szCs w:val="24"/>
        </w:rPr>
        <w:t>天逆回购等举措，极大地平稳了资金面预期，债券收益率出现下行。</w:t>
      </w:r>
    </w:p>
    <w:p w:rsidR="008A0432" w:rsidRDefault="00BD5B01">
      <w:pPr>
        <w:spacing w:before="29" w:line="288" w:lineRule="auto"/>
        <w:ind w:firstLineChars="200" w:firstLine="480"/>
        <w:rPr>
          <w:color w:val="000000"/>
          <w:sz w:val="24"/>
          <w:szCs w:val="24"/>
        </w:rPr>
      </w:pPr>
      <w:r>
        <w:rPr>
          <w:color w:val="000000"/>
          <w:sz w:val="24"/>
          <w:szCs w:val="24"/>
        </w:rPr>
        <w:t>权益市场方面，抱团龙头股是贯穿上半年的投资主线，股债联动也较为明显。四月因资金面冲击及减持新规的影响，权益市场持续调整。五月中旬因央行态度缓和而反弹，低估值金融地产、新能源汽车及白马股走势较强。</w:t>
      </w:r>
    </w:p>
    <w:p w:rsidR="008A0432" w:rsidRDefault="00BD5B01">
      <w:pPr>
        <w:spacing w:before="29" w:line="288" w:lineRule="auto"/>
        <w:ind w:firstLineChars="200" w:firstLine="480"/>
        <w:rPr>
          <w:color w:val="000000"/>
          <w:sz w:val="24"/>
          <w:szCs w:val="24"/>
        </w:rPr>
      </w:pPr>
      <w:r>
        <w:rPr>
          <w:color w:val="000000"/>
          <w:sz w:val="24"/>
          <w:szCs w:val="24"/>
        </w:rPr>
        <w:t>本报告期内，本基金在</w:t>
      </w:r>
      <w:r>
        <w:rPr>
          <w:color w:val="000000"/>
          <w:sz w:val="24"/>
          <w:szCs w:val="24"/>
        </w:rPr>
        <w:t>CPPI</w:t>
      </w:r>
      <w:r>
        <w:rPr>
          <w:color w:val="000000"/>
          <w:sz w:val="24"/>
          <w:szCs w:val="24"/>
        </w:rPr>
        <w:t>管理框架的基础上，对组合的持仓进行了置换操作，在期限匹配的基础上增持了部分收益率较高、且票息较高的品种，并择机增持了部分收益较好的高等级存单，提升组合杠杆，提升组合静态收益。在权益配置方面，因前期市场调整，出于组合安全垫考量，择机降低权益仓位，目前组合股票持仓占比不到</w:t>
      </w:r>
      <w:r>
        <w:rPr>
          <w:color w:val="000000"/>
          <w:sz w:val="24"/>
          <w:szCs w:val="24"/>
        </w:rPr>
        <w:t>0.5%</w:t>
      </w:r>
      <w:r>
        <w:rPr>
          <w:color w:val="000000"/>
          <w:sz w:val="24"/>
          <w:szCs w:val="24"/>
        </w:rPr>
        <w:t>。</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大的机会则来自于对宏观基本面拐点的把握。短期在宏观环境相对平稳，监管各项政策没有落地前，我们预计维持目前的债券久期配置，并将根据宏观及监管政策的变化动态优化资产配置。权益方面，</w:t>
      </w:r>
      <w:r w:rsidRPr="00414345">
        <w:rPr>
          <w:color w:val="000000"/>
          <w:sz w:val="24"/>
          <w:szCs w:val="24"/>
        </w:rPr>
        <w:t>2017</w:t>
      </w:r>
      <w:r w:rsidRPr="00414345">
        <w:rPr>
          <w:color w:val="000000"/>
          <w:sz w:val="24"/>
          <w:szCs w:val="24"/>
        </w:rPr>
        <w:t>年下半年我们将重点关注低估值白马龙头及新能源汽车等行业表现，结合组合安全垫的情况动态进行权益资产的配置。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1.013</w:t>
      </w:r>
      <w:r w:rsidRPr="00414345">
        <w:rPr>
          <w:color w:val="000000"/>
          <w:sz w:val="24"/>
          <w:szCs w:val="24"/>
        </w:rPr>
        <w:t>元，本报告期份额净值增长率为</w:t>
      </w:r>
      <w:r w:rsidRPr="00414345">
        <w:rPr>
          <w:color w:val="000000"/>
          <w:sz w:val="24"/>
          <w:szCs w:val="24"/>
        </w:rPr>
        <w:t>0.90%</w:t>
      </w:r>
      <w:r w:rsidRPr="00414345">
        <w:rPr>
          <w:color w:val="000000"/>
          <w:sz w:val="24"/>
          <w:szCs w:val="24"/>
        </w:rPr>
        <w:t>，</w:t>
      </w:r>
      <w:r w:rsidRPr="00414345">
        <w:rPr>
          <w:color w:val="000000"/>
          <w:sz w:val="24"/>
          <w:szCs w:val="24"/>
        </w:rPr>
        <w:lastRenderedPageBreak/>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BD5B0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2,977,163.43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0.25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2,977,163.43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0.25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1,176,789,312.10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1,176,789,312.10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11,891,046.43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0.99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10,212,536.97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0.85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1,201,870,058.93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2,672,697.43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0.33</w:t>
            </w:r>
          </w:p>
        </w:tc>
      </w:tr>
      <w:tr w:rsidR="00531F10" w:rsidRPr="00414345" w:rsidTr="009A71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9A71C6">
        <w:trPr>
          <w:trHeight w:val="285"/>
          <w:jc w:val="center"/>
        </w:trPr>
        <w:tc>
          <w:tcPr>
            <w:tcW w:w="845" w:type="dxa"/>
            <w:tcBorders>
              <w:top w:val="single" w:sz="4" w:space="0" w:color="000000"/>
              <w:left w:val="single" w:sz="4" w:space="0" w:color="000000"/>
              <w:bottom w:val="single" w:sz="4" w:space="0" w:color="auto"/>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auto"/>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bookmarkStart w:id="0" w:name="_GoBack"/>
            <w:bookmarkEnd w:id="0"/>
          </w:p>
        </w:tc>
        <w:tc>
          <w:tcPr>
            <w:tcW w:w="2841" w:type="dxa"/>
            <w:tcBorders>
              <w:top w:val="single" w:sz="4" w:space="0" w:color="000000"/>
              <w:left w:val="single" w:sz="4" w:space="0" w:color="auto"/>
              <w:bottom w:val="single" w:sz="4" w:space="0" w:color="auto"/>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auto"/>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9A71C6">
        <w:trPr>
          <w:trHeight w:val="285"/>
          <w:jc w:val="center"/>
        </w:trPr>
        <w:tc>
          <w:tcPr>
            <w:tcW w:w="845" w:type="dxa"/>
            <w:tcBorders>
              <w:top w:val="single" w:sz="4" w:space="0" w:color="auto"/>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auto"/>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auto"/>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auto"/>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304,466.00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2,977,163.43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0.36</w:t>
            </w:r>
          </w:p>
        </w:tc>
      </w:tr>
    </w:tbl>
    <w:p w:rsidR="00CF3A12" w:rsidRDefault="00CF3A1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A0432">
        <w:trPr>
          <w:jc w:val="center"/>
        </w:trPr>
        <w:tc>
          <w:tcPr>
            <w:tcW w:w="855" w:type="dxa"/>
            <w:vAlign w:val="center"/>
          </w:tcPr>
          <w:p w:rsidR="008A0432" w:rsidRDefault="00BD5B01">
            <w:pPr>
              <w:jc w:val="center"/>
            </w:pPr>
            <w:r>
              <w:rPr>
                <w:color w:val="000000"/>
                <w:sz w:val="24"/>
                <w:szCs w:val="24"/>
              </w:rPr>
              <w:t>1</w:t>
            </w:r>
          </w:p>
        </w:tc>
        <w:tc>
          <w:tcPr>
            <w:tcW w:w="1334" w:type="dxa"/>
            <w:vAlign w:val="center"/>
          </w:tcPr>
          <w:p w:rsidR="008A0432" w:rsidRDefault="00BD5B01">
            <w:pPr>
              <w:jc w:val="center"/>
            </w:pPr>
            <w:r>
              <w:rPr>
                <w:color w:val="000000"/>
                <w:sz w:val="24"/>
                <w:szCs w:val="24"/>
              </w:rPr>
              <w:t>000821</w:t>
            </w:r>
          </w:p>
        </w:tc>
        <w:tc>
          <w:tcPr>
            <w:tcW w:w="1777" w:type="dxa"/>
            <w:vAlign w:val="center"/>
          </w:tcPr>
          <w:p w:rsidR="008A0432" w:rsidRDefault="00BD5B01">
            <w:pPr>
              <w:jc w:val="center"/>
            </w:pPr>
            <w:r>
              <w:rPr>
                <w:color w:val="000000"/>
                <w:sz w:val="24"/>
                <w:szCs w:val="24"/>
              </w:rPr>
              <w:t>京山轻机</w:t>
            </w:r>
          </w:p>
        </w:tc>
        <w:tc>
          <w:tcPr>
            <w:tcW w:w="1334" w:type="dxa"/>
            <w:vAlign w:val="center"/>
          </w:tcPr>
          <w:p w:rsidR="008A0432" w:rsidRDefault="00BD5B01">
            <w:pPr>
              <w:jc w:val="right"/>
            </w:pPr>
            <w:r>
              <w:rPr>
                <w:color w:val="000000"/>
                <w:sz w:val="24"/>
                <w:szCs w:val="24"/>
              </w:rPr>
              <w:t>201,409</w:t>
            </w:r>
          </w:p>
        </w:tc>
        <w:tc>
          <w:tcPr>
            <w:tcW w:w="1924" w:type="dxa"/>
            <w:vAlign w:val="center"/>
          </w:tcPr>
          <w:p w:rsidR="008A0432" w:rsidRDefault="00BD5B01">
            <w:pPr>
              <w:jc w:val="right"/>
            </w:pPr>
            <w:r>
              <w:rPr>
                <w:color w:val="000000"/>
                <w:sz w:val="24"/>
                <w:szCs w:val="24"/>
              </w:rPr>
              <w:t>2,672,697.43</w:t>
            </w:r>
          </w:p>
        </w:tc>
        <w:tc>
          <w:tcPr>
            <w:tcW w:w="1644" w:type="dxa"/>
            <w:vAlign w:val="center"/>
          </w:tcPr>
          <w:p w:rsidR="008A0432" w:rsidRDefault="00BD5B01">
            <w:pPr>
              <w:jc w:val="right"/>
            </w:pPr>
            <w:r>
              <w:rPr>
                <w:color w:val="000000"/>
                <w:sz w:val="24"/>
                <w:szCs w:val="24"/>
              </w:rPr>
              <w:t>0.33</w:t>
            </w:r>
          </w:p>
        </w:tc>
      </w:tr>
      <w:tr w:rsidR="008A0432">
        <w:trPr>
          <w:jc w:val="center"/>
        </w:trPr>
        <w:tc>
          <w:tcPr>
            <w:tcW w:w="855" w:type="dxa"/>
            <w:vAlign w:val="center"/>
          </w:tcPr>
          <w:p w:rsidR="008A0432" w:rsidRDefault="00BD5B01">
            <w:pPr>
              <w:jc w:val="center"/>
            </w:pPr>
            <w:r>
              <w:rPr>
                <w:color w:val="000000"/>
                <w:sz w:val="24"/>
                <w:szCs w:val="24"/>
              </w:rPr>
              <w:t>2</w:t>
            </w:r>
          </w:p>
        </w:tc>
        <w:tc>
          <w:tcPr>
            <w:tcW w:w="1334" w:type="dxa"/>
            <w:vAlign w:val="center"/>
          </w:tcPr>
          <w:p w:rsidR="008A0432" w:rsidRDefault="00BD5B01">
            <w:pPr>
              <w:jc w:val="center"/>
            </w:pPr>
            <w:r>
              <w:rPr>
                <w:color w:val="000000"/>
                <w:sz w:val="24"/>
                <w:szCs w:val="24"/>
              </w:rPr>
              <w:t>603018</w:t>
            </w:r>
          </w:p>
        </w:tc>
        <w:tc>
          <w:tcPr>
            <w:tcW w:w="1777" w:type="dxa"/>
            <w:vAlign w:val="center"/>
          </w:tcPr>
          <w:p w:rsidR="008A0432" w:rsidRDefault="00BD5B01">
            <w:pPr>
              <w:jc w:val="center"/>
            </w:pPr>
            <w:r>
              <w:rPr>
                <w:color w:val="000000"/>
                <w:sz w:val="24"/>
                <w:szCs w:val="24"/>
              </w:rPr>
              <w:t>中设集团</w:t>
            </w:r>
          </w:p>
        </w:tc>
        <w:tc>
          <w:tcPr>
            <w:tcW w:w="1334" w:type="dxa"/>
            <w:vAlign w:val="center"/>
          </w:tcPr>
          <w:p w:rsidR="008A0432" w:rsidRDefault="00BD5B01">
            <w:pPr>
              <w:jc w:val="right"/>
            </w:pPr>
            <w:r>
              <w:rPr>
                <w:color w:val="000000"/>
                <w:sz w:val="24"/>
                <w:szCs w:val="24"/>
              </w:rPr>
              <w:t>9,400</w:t>
            </w:r>
          </w:p>
        </w:tc>
        <w:tc>
          <w:tcPr>
            <w:tcW w:w="1924" w:type="dxa"/>
            <w:vAlign w:val="center"/>
          </w:tcPr>
          <w:p w:rsidR="008A0432" w:rsidRDefault="00BD5B01">
            <w:pPr>
              <w:jc w:val="right"/>
            </w:pPr>
            <w:r>
              <w:rPr>
                <w:color w:val="000000"/>
                <w:sz w:val="24"/>
                <w:szCs w:val="24"/>
              </w:rPr>
              <w:t>304,466.00</w:t>
            </w:r>
          </w:p>
        </w:tc>
        <w:tc>
          <w:tcPr>
            <w:tcW w:w="1644" w:type="dxa"/>
            <w:vAlign w:val="center"/>
          </w:tcPr>
          <w:p w:rsidR="008A0432" w:rsidRDefault="00BD5B01">
            <w:pPr>
              <w:jc w:val="right"/>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42,909,700.00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132,422,500.00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16.16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190,298,000.00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23.22</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4,968,112.10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0.61</w:t>
            </w:r>
          </w:p>
        </w:tc>
      </w:tr>
      <w:tr w:rsidR="00F323FF" w:rsidRPr="00414345" w:rsidTr="00BD5B01">
        <w:trPr>
          <w:jc w:val="center"/>
        </w:trPr>
        <w:tc>
          <w:tcPr>
            <w:tcW w:w="828" w:type="dxa"/>
            <w:vAlign w:val="center"/>
          </w:tcPr>
          <w:p w:rsidR="00F323FF" w:rsidRPr="007A70C2" w:rsidRDefault="00F323FF" w:rsidP="00BD5B01">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BD5B01">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BD5B01">
            <w:pPr>
              <w:spacing w:before="29" w:line="288" w:lineRule="auto"/>
              <w:ind w:left="17"/>
              <w:jc w:val="right"/>
              <w:rPr>
                <w:color w:val="000000"/>
                <w:sz w:val="24"/>
                <w:szCs w:val="24"/>
              </w:rPr>
            </w:pPr>
            <w:r w:rsidRPr="007A70C2">
              <w:rPr>
                <w:rFonts w:hint="eastAsia"/>
                <w:color w:val="000000"/>
                <w:sz w:val="24"/>
                <w:szCs w:val="24"/>
              </w:rPr>
              <w:t>806,191,000.00</w:t>
            </w:r>
          </w:p>
        </w:tc>
        <w:tc>
          <w:tcPr>
            <w:tcW w:w="1751" w:type="dxa"/>
            <w:vAlign w:val="center"/>
          </w:tcPr>
          <w:p w:rsidR="00F323FF" w:rsidRPr="007A70C2" w:rsidRDefault="00F323FF" w:rsidP="00BD5B01">
            <w:pPr>
              <w:spacing w:before="29" w:line="288" w:lineRule="auto"/>
              <w:ind w:left="17"/>
              <w:jc w:val="right"/>
              <w:rPr>
                <w:color w:val="000000"/>
                <w:sz w:val="24"/>
                <w:szCs w:val="24"/>
              </w:rPr>
            </w:pPr>
            <w:r w:rsidRPr="007A70C2">
              <w:rPr>
                <w:rFonts w:hint="eastAsia"/>
                <w:color w:val="000000"/>
                <w:sz w:val="24"/>
                <w:szCs w:val="24"/>
              </w:rPr>
              <w:t>98.39</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1,176,789,312.10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143.61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A0432">
        <w:trPr>
          <w:jc w:val="center"/>
        </w:trPr>
        <w:tc>
          <w:tcPr>
            <w:tcW w:w="850" w:type="dxa"/>
            <w:vAlign w:val="center"/>
          </w:tcPr>
          <w:p w:rsidR="008A0432" w:rsidRDefault="00BD5B01">
            <w:pPr>
              <w:jc w:val="center"/>
            </w:pPr>
            <w:r>
              <w:rPr>
                <w:color w:val="000000"/>
                <w:sz w:val="24"/>
                <w:szCs w:val="24"/>
              </w:rPr>
              <w:t>1</w:t>
            </w:r>
          </w:p>
        </w:tc>
        <w:tc>
          <w:tcPr>
            <w:tcW w:w="1475" w:type="dxa"/>
            <w:vAlign w:val="center"/>
          </w:tcPr>
          <w:p w:rsidR="008A0432" w:rsidRDefault="00BD5B01">
            <w:pPr>
              <w:jc w:val="center"/>
            </w:pPr>
            <w:r>
              <w:rPr>
                <w:color w:val="000000"/>
                <w:sz w:val="24"/>
                <w:szCs w:val="24"/>
              </w:rPr>
              <w:t>111699758</w:t>
            </w:r>
          </w:p>
        </w:tc>
        <w:tc>
          <w:tcPr>
            <w:tcW w:w="1769" w:type="dxa"/>
            <w:vAlign w:val="center"/>
          </w:tcPr>
          <w:p w:rsidR="008A0432" w:rsidRDefault="00BD5B01">
            <w:pPr>
              <w:jc w:val="center"/>
            </w:pPr>
            <w:r>
              <w:rPr>
                <w:color w:val="000000"/>
                <w:sz w:val="24"/>
                <w:szCs w:val="24"/>
              </w:rPr>
              <w:t>16</w:t>
            </w:r>
            <w:r>
              <w:rPr>
                <w:color w:val="000000"/>
                <w:sz w:val="24"/>
                <w:szCs w:val="24"/>
              </w:rPr>
              <w:t>广州农村商业银行</w:t>
            </w:r>
            <w:r>
              <w:rPr>
                <w:color w:val="000000"/>
                <w:sz w:val="24"/>
                <w:szCs w:val="24"/>
              </w:rPr>
              <w:t>CD143</w:t>
            </w:r>
          </w:p>
        </w:tc>
        <w:tc>
          <w:tcPr>
            <w:tcW w:w="1387" w:type="dxa"/>
            <w:vAlign w:val="center"/>
          </w:tcPr>
          <w:p w:rsidR="008A0432" w:rsidRDefault="00BD5B01">
            <w:pPr>
              <w:jc w:val="right"/>
            </w:pPr>
            <w:r>
              <w:rPr>
                <w:color w:val="000000"/>
                <w:sz w:val="24"/>
                <w:szCs w:val="24"/>
              </w:rPr>
              <w:t>1,100,000</w:t>
            </w:r>
          </w:p>
        </w:tc>
        <w:tc>
          <w:tcPr>
            <w:tcW w:w="2150" w:type="dxa"/>
            <w:vAlign w:val="center"/>
          </w:tcPr>
          <w:p w:rsidR="008A0432" w:rsidRDefault="00BD5B01">
            <w:pPr>
              <w:jc w:val="right"/>
            </w:pPr>
            <w:r>
              <w:rPr>
                <w:color w:val="000000"/>
                <w:sz w:val="24"/>
                <w:szCs w:val="24"/>
              </w:rPr>
              <w:t>106,084,000.00</w:t>
            </w:r>
          </w:p>
        </w:tc>
        <w:tc>
          <w:tcPr>
            <w:tcW w:w="1237" w:type="dxa"/>
            <w:vAlign w:val="center"/>
          </w:tcPr>
          <w:p w:rsidR="008A0432" w:rsidRDefault="00BD5B01">
            <w:pPr>
              <w:jc w:val="right"/>
            </w:pPr>
            <w:r>
              <w:rPr>
                <w:color w:val="000000"/>
                <w:sz w:val="24"/>
                <w:szCs w:val="24"/>
              </w:rPr>
              <w:t>12.95</w:t>
            </w:r>
          </w:p>
        </w:tc>
      </w:tr>
      <w:tr w:rsidR="008A0432">
        <w:trPr>
          <w:jc w:val="center"/>
        </w:trPr>
        <w:tc>
          <w:tcPr>
            <w:tcW w:w="850" w:type="dxa"/>
            <w:vAlign w:val="center"/>
          </w:tcPr>
          <w:p w:rsidR="008A0432" w:rsidRDefault="00BD5B01">
            <w:pPr>
              <w:jc w:val="center"/>
            </w:pPr>
            <w:r>
              <w:rPr>
                <w:color w:val="000000"/>
                <w:sz w:val="24"/>
                <w:szCs w:val="24"/>
              </w:rPr>
              <w:t>2</w:t>
            </w:r>
          </w:p>
        </w:tc>
        <w:tc>
          <w:tcPr>
            <w:tcW w:w="1475" w:type="dxa"/>
            <w:vAlign w:val="center"/>
          </w:tcPr>
          <w:p w:rsidR="008A0432" w:rsidRDefault="00BD5B01">
            <w:pPr>
              <w:jc w:val="center"/>
            </w:pPr>
            <w:r>
              <w:rPr>
                <w:color w:val="000000"/>
                <w:sz w:val="24"/>
                <w:szCs w:val="24"/>
              </w:rPr>
              <w:t>111709231</w:t>
            </w:r>
          </w:p>
        </w:tc>
        <w:tc>
          <w:tcPr>
            <w:tcW w:w="1769" w:type="dxa"/>
            <w:vAlign w:val="center"/>
          </w:tcPr>
          <w:p w:rsidR="008A0432" w:rsidRDefault="00BD5B01">
            <w:pPr>
              <w:jc w:val="center"/>
            </w:pPr>
            <w:r>
              <w:rPr>
                <w:color w:val="000000"/>
                <w:sz w:val="24"/>
                <w:szCs w:val="24"/>
              </w:rPr>
              <w:t>17</w:t>
            </w:r>
            <w:r>
              <w:rPr>
                <w:color w:val="000000"/>
                <w:sz w:val="24"/>
                <w:szCs w:val="24"/>
              </w:rPr>
              <w:t>浦发银行</w:t>
            </w:r>
            <w:r>
              <w:rPr>
                <w:color w:val="000000"/>
                <w:sz w:val="24"/>
                <w:szCs w:val="24"/>
              </w:rPr>
              <w:t>CD231</w:t>
            </w:r>
          </w:p>
        </w:tc>
        <w:tc>
          <w:tcPr>
            <w:tcW w:w="1387" w:type="dxa"/>
            <w:vAlign w:val="center"/>
          </w:tcPr>
          <w:p w:rsidR="008A0432" w:rsidRDefault="00BD5B01">
            <w:pPr>
              <w:jc w:val="right"/>
            </w:pPr>
            <w:r>
              <w:rPr>
                <w:color w:val="000000"/>
                <w:sz w:val="24"/>
                <w:szCs w:val="24"/>
              </w:rPr>
              <w:t>1,000,000</w:t>
            </w:r>
          </w:p>
        </w:tc>
        <w:tc>
          <w:tcPr>
            <w:tcW w:w="2150" w:type="dxa"/>
            <w:vAlign w:val="center"/>
          </w:tcPr>
          <w:p w:rsidR="008A0432" w:rsidRDefault="00BD5B01">
            <w:pPr>
              <w:jc w:val="right"/>
            </w:pPr>
            <w:r>
              <w:rPr>
                <w:color w:val="000000"/>
                <w:sz w:val="24"/>
                <w:szCs w:val="24"/>
              </w:rPr>
              <w:t>95,600,000.00</w:t>
            </w:r>
          </w:p>
        </w:tc>
        <w:tc>
          <w:tcPr>
            <w:tcW w:w="1237" w:type="dxa"/>
            <w:vAlign w:val="center"/>
          </w:tcPr>
          <w:p w:rsidR="008A0432" w:rsidRDefault="00BD5B01">
            <w:pPr>
              <w:jc w:val="right"/>
            </w:pPr>
            <w:r>
              <w:rPr>
                <w:color w:val="000000"/>
                <w:sz w:val="24"/>
                <w:szCs w:val="24"/>
              </w:rPr>
              <w:t>11.67</w:t>
            </w:r>
          </w:p>
        </w:tc>
      </w:tr>
      <w:tr w:rsidR="008A0432">
        <w:trPr>
          <w:jc w:val="center"/>
        </w:trPr>
        <w:tc>
          <w:tcPr>
            <w:tcW w:w="850" w:type="dxa"/>
            <w:vAlign w:val="center"/>
          </w:tcPr>
          <w:p w:rsidR="008A0432" w:rsidRDefault="00BD5B01">
            <w:pPr>
              <w:jc w:val="center"/>
            </w:pPr>
            <w:r>
              <w:rPr>
                <w:color w:val="000000"/>
                <w:sz w:val="24"/>
                <w:szCs w:val="24"/>
              </w:rPr>
              <w:t>3</w:t>
            </w:r>
          </w:p>
        </w:tc>
        <w:tc>
          <w:tcPr>
            <w:tcW w:w="1475" w:type="dxa"/>
            <w:vAlign w:val="center"/>
          </w:tcPr>
          <w:p w:rsidR="008A0432" w:rsidRDefault="00BD5B01">
            <w:pPr>
              <w:jc w:val="center"/>
            </w:pPr>
            <w:r>
              <w:rPr>
                <w:color w:val="000000"/>
                <w:sz w:val="24"/>
                <w:szCs w:val="24"/>
              </w:rPr>
              <w:t>111714180</w:t>
            </w:r>
          </w:p>
        </w:tc>
        <w:tc>
          <w:tcPr>
            <w:tcW w:w="1769" w:type="dxa"/>
            <w:vAlign w:val="center"/>
          </w:tcPr>
          <w:p w:rsidR="008A0432" w:rsidRDefault="00BD5B01">
            <w:pPr>
              <w:jc w:val="center"/>
            </w:pPr>
            <w:r>
              <w:rPr>
                <w:color w:val="000000"/>
                <w:sz w:val="24"/>
                <w:szCs w:val="24"/>
              </w:rPr>
              <w:t>17</w:t>
            </w:r>
            <w:r>
              <w:rPr>
                <w:color w:val="000000"/>
                <w:sz w:val="24"/>
                <w:szCs w:val="24"/>
              </w:rPr>
              <w:t>江苏银行</w:t>
            </w:r>
            <w:r>
              <w:rPr>
                <w:color w:val="000000"/>
                <w:sz w:val="24"/>
                <w:szCs w:val="24"/>
              </w:rPr>
              <w:t>CD180</w:t>
            </w:r>
          </w:p>
        </w:tc>
        <w:tc>
          <w:tcPr>
            <w:tcW w:w="1387" w:type="dxa"/>
            <w:vAlign w:val="center"/>
          </w:tcPr>
          <w:p w:rsidR="008A0432" w:rsidRDefault="00BD5B01">
            <w:pPr>
              <w:jc w:val="right"/>
            </w:pPr>
            <w:r>
              <w:rPr>
                <w:color w:val="000000"/>
                <w:sz w:val="24"/>
                <w:szCs w:val="24"/>
              </w:rPr>
              <w:t>1,000,000</w:t>
            </w:r>
          </w:p>
        </w:tc>
        <w:tc>
          <w:tcPr>
            <w:tcW w:w="2150" w:type="dxa"/>
            <w:vAlign w:val="center"/>
          </w:tcPr>
          <w:p w:rsidR="008A0432" w:rsidRDefault="00BD5B01">
            <w:pPr>
              <w:jc w:val="right"/>
            </w:pPr>
            <w:r>
              <w:rPr>
                <w:color w:val="000000"/>
                <w:sz w:val="24"/>
                <w:szCs w:val="24"/>
              </w:rPr>
              <w:t>95,600,000.00</w:t>
            </w:r>
          </w:p>
        </w:tc>
        <w:tc>
          <w:tcPr>
            <w:tcW w:w="1237" w:type="dxa"/>
            <w:vAlign w:val="center"/>
          </w:tcPr>
          <w:p w:rsidR="008A0432" w:rsidRDefault="00BD5B01">
            <w:pPr>
              <w:jc w:val="right"/>
            </w:pPr>
            <w:r>
              <w:rPr>
                <w:color w:val="000000"/>
                <w:sz w:val="24"/>
                <w:szCs w:val="24"/>
              </w:rPr>
              <w:t>11.67</w:t>
            </w:r>
          </w:p>
        </w:tc>
      </w:tr>
      <w:tr w:rsidR="008A0432">
        <w:trPr>
          <w:jc w:val="center"/>
        </w:trPr>
        <w:tc>
          <w:tcPr>
            <w:tcW w:w="850" w:type="dxa"/>
            <w:vAlign w:val="center"/>
          </w:tcPr>
          <w:p w:rsidR="008A0432" w:rsidRDefault="00BD5B01">
            <w:pPr>
              <w:jc w:val="center"/>
            </w:pPr>
            <w:r>
              <w:rPr>
                <w:color w:val="000000"/>
                <w:sz w:val="24"/>
                <w:szCs w:val="24"/>
              </w:rPr>
              <w:t>4</w:t>
            </w:r>
          </w:p>
        </w:tc>
        <w:tc>
          <w:tcPr>
            <w:tcW w:w="1475" w:type="dxa"/>
            <w:vAlign w:val="center"/>
          </w:tcPr>
          <w:p w:rsidR="008A0432" w:rsidRDefault="00BD5B01">
            <w:pPr>
              <w:jc w:val="center"/>
            </w:pPr>
            <w:r>
              <w:rPr>
                <w:color w:val="000000"/>
                <w:sz w:val="24"/>
                <w:szCs w:val="24"/>
              </w:rPr>
              <w:t>111711238</w:t>
            </w:r>
          </w:p>
        </w:tc>
        <w:tc>
          <w:tcPr>
            <w:tcW w:w="1769" w:type="dxa"/>
            <w:vAlign w:val="center"/>
          </w:tcPr>
          <w:p w:rsidR="008A0432" w:rsidRDefault="00BD5B01">
            <w:pPr>
              <w:jc w:val="center"/>
            </w:pPr>
            <w:r>
              <w:rPr>
                <w:color w:val="000000"/>
                <w:sz w:val="24"/>
                <w:szCs w:val="24"/>
              </w:rPr>
              <w:t>17</w:t>
            </w:r>
            <w:r>
              <w:rPr>
                <w:color w:val="000000"/>
                <w:sz w:val="24"/>
                <w:szCs w:val="24"/>
              </w:rPr>
              <w:t>平安银行</w:t>
            </w:r>
            <w:r>
              <w:rPr>
                <w:color w:val="000000"/>
                <w:sz w:val="24"/>
                <w:szCs w:val="24"/>
              </w:rPr>
              <w:t>CD238</w:t>
            </w:r>
          </w:p>
        </w:tc>
        <w:tc>
          <w:tcPr>
            <w:tcW w:w="1387" w:type="dxa"/>
            <w:vAlign w:val="center"/>
          </w:tcPr>
          <w:p w:rsidR="008A0432" w:rsidRDefault="00BD5B01">
            <w:pPr>
              <w:jc w:val="right"/>
            </w:pPr>
            <w:r>
              <w:rPr>
                <w:color w:val="000000"/>
                <w:sz w:val="24"/>
                <w:szCs w:val="24"/>
              </w:rPr>
              <w:t>1,000,000</w:t>
            </w:r>
          </w:p>
        </w:tc>
        <w:tc>
          <w:tcPr>
            <w:tcW w:w="2150" w:type="dxa"/>
            <w:vAlign w:val="center"/>
          </w:tcPr>
          <w:p w:rsidR="008A0432" w:rsidRDefault="00BD5B01">
            <w:pPr>
              <w:jc w:val="right"/>
            </w:pPr>
            <w:r>
              <w:rPr>
                <w:color w:val="000000"/>
                <w:sz w:val="24"/>
                <w:szCs w:val="24"/>
              </w:rPr>
              <w:t>95,600,000.00</w:t>
            </w:r>
          </w:p>
        </w:tc>
        <w:tc>
          <w:tcPr>
            <w:tcW w:w="1237" w:type="dxa"/>
            <w:vAlign w:val="center"/>
          </w:tcPr>
          <w:p w:rsidR="008A0432" w:rsidRDefault="00BD5B01">
            <w:pPr>
              <w:jc w:val="right"/>
            </w:pPr>
            <w:r>
              <w:rPr>
                <w:color w:val="000000"/>
                <w:sz w:val="24"/>
                <w:szCs w:val="24"/>
              </w:rPr>
              <w:t>11.67</w:t>
            </w:r>
          </w:p>
        </w:tc>
      </w:tr>
      <w:tr w:rsidR="008A0432">
        <w:trPr>
          <w:jc w:val="center"/>
        </w:trPr>
        <w:tc>
          <w:tcPr>
            <w:tcW w:w="850" w:type="dxa"/>
            <w:vAlign w:val="center"/>
          </w:tcPr>
          <w:p w:rsidR="008A0432" w:rsidRDefault="00BD5B01">
            <w:pPr>
              <w:jc w:val="center"/>
            </w:pPr>
            <w:r>
              <w:rPr>
                <w:color w:val="000000"/>
                <w:sz w:val="24"/>
                <w:szCs w:val="24"/>
              </w:rPr>
              <w:t>5</w:t>
            </w:r>
          </w:p>
        </w:tc>
        <w:tc>
          <w:tcPr>
            <w:tcW w:w="1475" w:type="dxa"/>
            <w:vAlign w:val="center"/>
          </w:tcPr>
          <w:p w:rsidR="008A0432" w:rsidRDefault="00BD5B01">
            <w:pPr>
              <w:jc w:val="center"/>
            </w:pPr>
            <w:r>
              <w:rPr>
                <w:color w:val="000000"/>
                <w:sz w:val="24"/>
                <w:szCs w:val="24"/>
              </w:rPr>
              <w:t>111793684</w:t>
            </w:r>
          </w:p>
        </w:tc>
        <w:tc>
          <w:tcPr>
            <w:tcW w:w="1769" w:type="dxa"/>
            <w:vAlign w:val="center"/>
          </w:tcPr>
          <w:p w:rsidR="008A0432" w:rsidRDefault="00BD5B01">
            <w:pPr>
              <w:jc w:val="center"/>
            </w:pPr>
            <w:r>
              <w:rPr>
                <w:color w:val="000000"/>
                <w:sz w:val="24"/>
                <w:szCs w:val="24"/>
              </w:rPr>
              <w:t>17</w:t>
            </w:r>
            <w:r>
              <w:rPr>
                <w:color w:val="000000"/>
                <w:sz w:val="24"/>
                <w:szCs w:val="24"/>
              </w:rPr>
              <w:t>南京银行</w:t>
            </w:r>
            <w:r>
              <w:rPr>
                <w:color w:val="000000"/>
                <w:sz w:val="24"/>
                <w:szCs w:val="24"/>
              </w:rPr>
              <w:t>CD048</w:t>
            </w:r>
          </w:p>
        </w:tc>
        <w:tc>
          <w:tcPr>
            <w:tcW w:w="1387" w:type="dxa"/>
            <w:vAlign w:val="center"/>
          </w:tcPr>
          <w:p w:rsidR="008A0432" w:rsidRDefault="00BD5B01">
            <w:pPr>
              <w:jc w:val="right"/>
            </w:pPr>
            <w:r>
              <w:rPr>
                <w:color w:val="000000"/>
                <w:sz w:val="24"/>
                <w:szCs w:val="24"/>
              </w:rPr>
              <w:t>1,000,000</w:t>
            </w:r>
          </w:p>
        </w:tc>
        <w:tc>
          <w:tcPr>
            <w:tcW w:w="2150" w:type="dxa"/>
            <w:vAlign w:val="center"/>
          </w:tcPr>
          <w:p w:rsidR="008A0432" w:rsidRDefault="00BD5B01">
            <w:pPr>
              <w:jc w:val="right"/>
            </w:pPr>
            <w:r>
              <w:rPr>
                <w:color w:val="000000"/>
                <w:sz w:val="24"/>
                <w:szCs w:val="24"/>
              </w:rPr>
              <w:t>95,580,000.00</w:t>
            </w:r>
          </w:p>
        </w:tc>
        <w:tc>
          <w:tcPr>
            <w:tcW w:w="1237" w:type="dxa"/>
            <w:vAlign w:val="center"/>
          </w:tcPr>
          <w:p w:rsidR="008A0432" w:rsidRDefault="00BD5B01">
            <w:pPr>
              <w:jc w:val="right"/>
            </w:pPr>
            <w:r>
              <w:rPr>
                <w:color w:val="000000"/>
                <w:sz w:val="24"/>
                <w:szCs w:val="24"/>
              </w:rPr>
              <w:t>11.66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113,586.65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10,098,740.32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10,212,536.97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875,434,488.30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108,882.54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66,288,938.56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809,254,432.28</w:t>
            </w:r>
          </w:p>
        </w:tc>
      </w:tr>
    </w:tbl>
    <w:p w:rsidR="008A0432" w:rsidRDefault="00BD5B0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BD5B0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CF3A12" w:rsidRDefault="003C50AD" w:rsidP="00BD5B01">
      <w:pPr>
        <w:pStyle w:val="1"/>
        <w:spacing w:beforeLines="100" w:before="312" w:afterLines="100" w:after="312" w:line="360" w:lineRule="auto"/>
        <w:jc w:val="center"/>
        <w:rPr>
          <w:rFonts w:eastAsiaTheme="minorEastAsia"/>
          <w:color w:val="000000" w:themeColor="text1"/>
          <w:kern w:val="0"/>
          <w:sz w:val="24"/>
          <w:szCs w:val="24"/>
        </w:rPr>
      </w:pPr>
      <w:r w:rsidRPr="00CF3A12">
        <w:rPr>
          <w:rFonts w:eastAsiaTheme="minorEastAsia"/>
          <w:color w:val="000000" w:themeColor="text1"/>
          <w:kern w:val="0"/>
          <w:sz w:val="24"/>
          <w:szCs w:val="24"/>
        </w:rPr>
        <w:t xml:space="preserve">§8  </w:t>
      </w:r>
      <w:r w:rsidRPr="00CF3A12">
        <w:rPr>
          <w:rFonts w:eastAsiaTheme="minorEastAsia" w:hAnsiTheme="minorEastAsia"/>
          <w:color w:val="000000" w:themeColor="text1"/>
          <w:kern w:val="0"/>
          <w:sz w:val="24"/>
          <w:szCs w:val="24"/>
        </w:rPr>
        <w:t>影响投资者决策的其他重要信息</w:t>
      </w:r>
    </w:p>
    <w:p w:rsidR="003C50AD" w:rsidRPr="00CF3A12" w:rsidRDefault="003C50AD" w:rsidP="003C50AD">
      <w:pPr>
        <w:autoSpaceDE w:val="0"/>
        <w:autoSpaceDN w:val="0"/>
        <w:adjustRightInd w:val="0"/>
        <w:spacing w:line="360" w:lineRule="auto"/>
        <w:jc w:val="left"/>
        <w:rPr>
          <w:b/>
          <w:bCs/>
          <w:color w:val="000000"/>
          <w:kern w:val="0"/>
          <w:sz w:val="24"/>
          <w:szCs w:val="24"/>
        </w:rPr>
      </w:pPr>
      <w:r w:rsidRPr="00CF3A12">
        <w:rPr>
          <w:b/>
          <w:bCs/>
          <w:color w:val="000000"/>
          <w:kern w:val="0"/>
          <w:sz w:val="24"/>
          <w:szCs w:val="24"/>
        </w:rPr>
        <w:t xml:space="preserve">8.1 </w:t>
      </w:r>
      <w:r w:rsidRPr="00CF3A12">
        <w:rPr>
          <w:rFonts w:hAnsi="宋体"/>
          <w:b/>
          <w:bCs/>
          <w:color w:val="000000"/>
          <w:kern w:val="0"/>
          <w:sz w:val="24"/>
          <w:szCs w:val="24"/>
        </w:rPr>
        <w:t>报告期内单一投资者持有基金份额比例达到或超过</w:t>
      </w:r>
      <w:r w:rsidRPr="00CF3A12">
        <w:rPr>
          <w:b/>
          <w:bCs/>
          <w:color w:val="000000"/>
          <w:kern w:val="0"/>
          <w:sz w:val="24"/>
          <w:szCs w:val="24"/>
        </w:rPr>
        <w:t>20%</w:t>
      </w:r>
      <w:r w:rsidRPr="00CF3A12">
        <w:rPr>
          <w:rFonts w:hAnsi="宋体"/>
          <w:b/>
          <w:bCs/>
          <w:color w:val="000000"/>
          <w:kern w:val="0"/>
          <w:sz w:val="24"/>
          <w:szCs w:val="24"/>
        </w:rPr>
        <w:t>的情况</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274"/>
      </w:tblGrid>
      <w:tr w:rsidR="003C50AD" w:rsidRPr="00CF3A12" w:rsidTr="00CF3A12">
        <w:tc>
          <w:tcPr>
            <w:tcW w:w="993" w:type="dxa"/>
            <w:vMerge w:val="restart"/>
            <w:vAlign w:val="center"/>
          </w:tcPr>
          <w:p w:rsidR="003C50AD" w:rsidRPr="00CF3A12" w:rsidRDefault="003C50AD" w:rsidP="00BD5B01">
            <w:pPr>
              <w:autoSpaceDE w:val="0"/>
              <w:autoSpaceDN w:val="0"/>
              <w:adjustRightInd w:val="0"/>
              <w:jc w:val="center"/>
              <w:rPr>
                <w:b/>
                <w:bCs/>
                <w:color w:val="000000"/>
                <w:kern w:val="0"/>
                <w:sz w:val="24"/>
                <w:szCs w:val="24"/>
              </w:rPr>
            </w:pPr>
            <w:r w:rsidRPr="00CF3A12">
              <w:rPr>
                <w:rFonts w:hAnsi="宋体"/>
                <w:color w:val="000000"/>
                <w:kern w:val="0"/>
                <w:sz w:val="24"/>
                <w:szCs w:val="24"/>
              </w:rPr>
              <w:t>投资者类别</w:t>
            </w:r>
            <w:r w:rsidRPr="00CF3A12">
              <w:rPr>
                <w:color w:val="000000"/>
                <w:kern w:val="0"/>
                <w:sz w:val="24"/>
                <w:szCs w:val="24"/>
              </w:rPr>
              <w:t xml:space="preserve">  </w:t>
            </w:r>
          </w:p>
        </w:tc>
        <w:tc>
          <w:tcPr>
            <w:tcW w:w="5670" w:type="dxa"/>
            <w:gridSpan w:val="5"/>
            <w:vAlign w:val="center"/>
          </w:tcPr>
          <w:p w:rsidR="003C50AD" w:rsidRPr="00CF3A12" w:rsidRDefault="003C50AD" w:rsidP="00BD5B01">
            <w:pPr>
              <w:autoSpaceDE w:val="0"/>
              <w:autoSpaceDN w:val="0"/>
              <w:adjustRightInd w:val="0"/>
              <w:jc w:val="center"/>
              <w:rPr>
                <w:b/>
                <w:bCs/>
                <w:color w:val="000000"/>
                <w:kern w:val="0"/>
                <w:sz w:val="24"/>
                <w:szCs w:val="24"/>
              </w:rPr>
            </w:pPr>
            <w:r w:rsidRPr="00CF3A12">
              <w:rPr>
                <w:rFonts w:hAnsi="宋体"/>
                <w:color w:val="000000"/>
                <w:kern w:val="0"/>
                <w:sz w:val="24"/>
                <w:szCs w:val="24"/>
              </w:rPr>
              <w:t>报告期内持有基金份额变化情况</w:t>
            </w:r>
          </w:p>
        </w:tc>
        <w:tc>
          <w:tcPr>
            <w:tcW w:w="2693" w:type="dxa"/>
            <w:gridSpan w:val="2"/>
            <w:vAlign w:val="center"/>
          </w:tcPr>
          <w:p w:rsidR="003C50AD" w:rsidRPr="00CF3A12" w:rsidRDefault="003C50AD" w:rsidP="00BD5B01">
            <w:pPr>
              <w:autoSpaceDE w:val="0"/>
              <w:autoSpaceDN w:val="0"/>
              <w:adjustRightInd w:val="0"/>
              <w:jc w:val="center"/>
              <w:rPr>
                <w:b/>
                <w:bCs/>
                <w:color w:val="000000"/>
                <w:kern w:val="0"/>
                <w:sz w:val="24"/>
                <w:szCs w:val="24"/>
              </w:rPr>
            </w:pPr>
            <w:r w:rsidRPr="00CF3A12">
              <w:rPr>
                <w:rFonts w:hAnsi="宋体"/>
                <w:color w:val="000000"/>
                <w:kern w:val="0"/>
                <w:sz w:val="24"/>
                <w:szCs w:val="24"/>
              </w:rPr>
              <w:t>报告期末持有基金情况</w:t>
            </w:r>
          </w:p>
        </w:tc>
      </w:tr>
      <w:tr w:rsidR="003C50AD" w:rsidRPr="00CF3A12" w:rsidTr="00CF3A12">
        <w:tc>
          <w:tcPr>
            <w:tcW w:w="993" w:type="dxa"/>
            <w:vMerge/>
            <w:vAlign w:val="center"/>
          </w:tcPr>
          <w:p w:rsidR="003C50AD" w:rsidRPr="00CF3A12" w:rsidRDefault="003C50AD" w:rsidP="00BD5B01">
            <w:pPr>
              <w:autoSpaceDE w:val="0"/>
              <w:autoSpaceDN w:val="0"/>
              <w:adjustRightInd w:val="0"/>
              <w:jc w:val="center"/>
              <w:rPr>
                <w:b/>
                <w:bCs/>
                <w:color w:val="000000"/>
                <w:kern w:val="0"/>
                <w:sz w:val="24"/>
                <w:szCs w:val="24"/>
              </w:rPr>
            </w:pPr>
          </w:p>
        </w:tc>
        <w:tc>
          <w:tcPr>
            <w:tcW w:w="992" w:type="dxa"/>
            <w:vAlign w:val="center"/>
          </w:tcPr>
          <w:p w:rsidR="003C50AD" w:rsidRPr="00CF3A12" w:rsidRDefault="003C50AD" w:rsidP="00BD5B01">
            <w:pPr>
              <w:autoSpaceDE w:val="0"/>
              <w:autoSpaceDN w:val="0"/>
              <w:adjustRightInd w:val="0"/>
              <w:jc w:val="center"/>
              <w:rPr>
                <w:b/>
                <w:bCs/>
                <w:color w:val="000000"/>
                <w:kern w:val="0"/>
                <w:sz w:val="24"/>
                <w:szCs w:val="24"/>
              </w:rPr>
            </w:pPr>
            <w:r w:rsidRPr="00CF3A12">
              <w:rPr>
                <w:rFonts w:hAnsi="宋体"/>
                <w:color w:val="000000"/>
                <w:kern w:val="0"/>
                <w:sz w:val="24"/>
                <w:szCs w:val="24"/>
              </w:rPr>
              <w:t>序号</w:t>
            </w:r>
          </w:p>
        </w:tc>
        <w:tc>
          <w:tcPr>
            <w:tcW w:w="1843" w:type="dxa"/>
            <w:vAlign w:val="center"/>
          </w:tcPr>
          <w:p w:rsidR="003C50AD" w:rsidRPr="00CF3A12" w:rsidRDefault="003C50AD" w:rsidP="00BD5B01">
            <w:pPr>
              <w:autoSpaceDE w:val="0"/>
              <w:autoSpaceDN w:val="0"/>
              <w:adjustRightInd w:val="0"/>
              <w:jc w:val="center"/>
              <w:rPr>
                <w:b/>
                <w:bCs/>
                <w:color w:val="000000"/>
                <w:kern w:val="0"/>
                <w:sz w:val="24"/>
                <w:szCs w:val="24"/>
              </w:rPr>
            </w:pPr>
            <w:r w:rsidRPr="00CF3A12">
              <w:rPr>
                <w:rFonts w:hAnsi="宋体"/>
                <w:color w:val="000000"/>
                <w:kern w:val="0"/>
                <w:sz w:val="24"/>
                <w:szCs w:val="24"/>
              </w:rPr>
              <w:t>持有基金份额比例达到或者超过</w:t>
            </w:r>
            <w:r w:rsidRPr="00CF3A12">
              <w:rPr>
                <w:color w:val="000000"/>
                <w:kern w:val="0"/>
                <w:sz w:val="24"/>
                <w:szCs w:val="24"/>
              </w:rPr>
              <w:t>20%</w:t>
            </w:r>
            <w:r w:rsidRPr="00CF3A12">
              <w:rPr>
                <w:rFonts w:hAnsi="宋体"/>
                <w:color w:val="000000"/>
                <w:kern w:val="0"/>
                <w:sz w:val="24"/>
                <w:szCs w:val="24"/>
              </w:rPr>
              <w:t>的时间区间</w:t>
            </w:r>
          </w:p>
        </w:tc>
        <w:tc>
          <w:tcPr>
            <w:tcW w:w="851" w:type="dxa"/>
            <w:vAlign w:val="center"/>
          </w:tcPr>
          <w:p w:rsidR="003C50AD" w:rsidRPr="00CF3A12" w:rsidRDefault="003C50AD" w:rsidP="00BD5B01">
            <w:pPr>
              <w:widowControl/>
              <w:jc w:val="center"/>
              <w:rPr>
                <w:b/>
                <w:bCs/>
                <w:color w:val="000000"/>
                <w:kern w:val="0"/>
                <w:sz w:val="24"/>
                <w:szCs w:val="24"/>
              </w:rPr>
            </w:pPr>
            <w:r w:rsidRPr="00CF3A12">
              <w:rPr>
                <w:rFonts w:hAnsi="宋体"/>
                <w:color w:val="000000"/>
                <w:kern w:val="0"/>
                <w:sz w:val="24"/>
                <w:szCs w:val="24"/>
              </w:rPr>
              <w:t>期初份额</w:t>
            </w:r>
          </w:p>
        </w:tc>
        <w:tc>
          <w:tcPr>
            <w:tcW w:w="850" w:type="dxa"/>
            <w:vAlign w:val="center"/>
          </w:tcPr>
          <w:p w:rsidR="003C50AD" w:rsidRPr="00CF3A12" w:rsidRDefault="003C50AD" w:rsidP="00BD5B01">
            <w:pPr>
              <w:widowControl/>
              <w:jc w:val="center"/>
              <w:rPr>
                <w:b/>
                <w:bCs/>
                <w:color w:val="000000"/>
                <w:kern w:val="0"/>
                <w:sz w:val="24"/>
                <w:szCs w:val="24"/>
              </w:rPr>
            </w:pPr>
            <w:r w:rsidRPr="00CF3A12">
              <w:rPr>
                <w:rFonts w:hAnsi="宋体"/>
                <w:color w:val="000000"/>
                <w:kern w:val="0"/>
                <w:sz w:val="24"/>
                <w:szCs w:val="24"/>
              </w:rPr>
              <w:t>申购份额</w:t>
            </w:r>
          </w:p>
        </w:tc>
        <w:tc>
          <w:tcPr>
            <w:tcW w:w="1134" w:type="dxa"/>
            <w:vAlign w:val="center"/>
          </w:tcPr>
          <w:p w:rsidR="003C50AD" w:rsidRPr="00CF3A12" w:rsidRDefault="003C50AD" w:rsidP="00BD5B01">
            <w:pPr>
              <w:widowControl/>
              <w:jc w:val="center"/>
              <w:rPr>
                <w:b/>
                <w:bCs/>
                <w:color w:val="000000"/>
                <w:kern w:val="0"/>
                <w:sz w:val="24"/>
                <w:szCs w:val="24"/>
              </w:rPr>
            </w:pPr>
            <w:r w:rsidRPr="00CF3A12">
              <w:rPr>
                <w:rFonts w:hAnsi="宋体"/>
                <w:color w:val="000000"/>
                <w:kern w:val="0"/>
                <w:sz w:val="24"/>
                <w:szCs w:val="24"/>
              </w:rPr>
              <w:t>赎回份额</w:t>
            </w:r>
          </w:p>
        </w:tc>
        <w:tc>
          <w:tcPr>
            <w:tcW w:w="1419" w:type="dxa"/>
            <w:vAlign w:val="center"/>
          </w:tcPr>
          <w:p w:rsidR="003C50AD" w:rsidRPr="00CF3A12" w:rsidRDefault="003C50AD" w:rsidP="00BD5B01">
            <w:pPr>
              <w:autoSpaceDE w:val="0"/>
              <w:autoSpaceDN w:val="0"/>
              <w:adjustRightInd w:val="0"/>
              <w:jc w:val="center"/>
              <w:rPr>
                <w:b/>
                <w:bCs/>
                <w:color w:val="000000"/>
                <w:kern w:val="0"/>
                <w:sz w:val="24"/>
                <w:szCs w:val="24"/>
              </w:rPr>
            </w:pPr>
            <w:r w:rsidRPr="00CF3A12">
              <w:rPr>
                <w:rFonts w:hAnsi="宋体"/>
                <w:color w:val="000000"/>
                <w:kern w:val="0"/>
                <w:sz w:val="24"/>
                <w:szCs w:val="24"/>
              </w:rPr>
              <w:t>持有份额</w:t>
            </w:r>
          </w:p>
        </w:tc>
        <w:tc>
          <w:tcPr>
            <w:tcW w:w="1274" w:type="dxa"/>
            <w:vAlign w:val="center"/>
          </w:tcPr>
          <w:p w:rsidR="003C50AD" w:rsidRPr="00CF3A12" w:rsidRDefault="003C50AD" w:rsidP="00BD5B01">
            <w:pPr>
              <w:autoSpaceDE w:val="0"/>
              <w:autoSpaceDN w:val="0"/>
              <w:adjustRightInd w:val="0"/>
              <w:jc w:val="center"/>
              <w:rPr>
                <w:b/>
                <w:bCs/>
                <w:color w:val="000000"/>
                <w:kern w:val="0"/>
                <w:sz w:val="24"/>
                <w:szCs w:val="24"/>
              </w:rPr>
            </w:pPr>
            <w:r w:rsidRPr="00CF3A12">
              <w:rPr>
                <w:rFonts w:hAnsi="宋体"/>
                <w:color w:val="000000"/>
                <w:kern w:val="0"/>
                <w:sz w:val="24"/>
                <w:szCs w:val="24"/>
              </w:rPr>
              <w:t>份额占比</w:t>
            </w:r>
          </w:p>
        </w:tc>
      </w:tr>
      <w:tr w:rsidR="008A0432" w:rsidRPr="00CF3A12" w:rsidTr="00CF3A12">
        <w:tc>
          <w:tcPr>
            <w:tcW w:w="993" w:type="dxa"/>
          </w:tcPr>
          <w:p w:rsidR="008A0432" w:rsidRPr="00CF3A12" w:rsidRDefault="008A0432">
            <w:pPr>
              <w:rPr>
                <w:sz w:val="24"/>
                <w:szCs w:val="24"/>
              </w:rPr>
            </w:pPr>
          </w:p>
          <w:p w:rsidR="008A0432" w:rsidRPr="00CF3A12" w:rsidRDefault="00BD5B01">
            <w:pPr>
              <w:rPr>
                <w:sz w:val="24"/>
                <w:szCs w:val="24"/>
              </w:rPr>
            </w:pPr>
            <w:r w:rsidRPr="00CF3A12">
              <w:rPr>
                <w:rFonts w:hAnsi="宋体"/>
                <w:bCs/>
                <w:color w:val="000000"/>
                <w:kern w:val="0"/>
                <w:sz w:val="24"/>
                <w:szCs w:val="24"/>
              </w:rPr>
              <w:t>机构</w:t>
            </w:r>
          </w:p>
        </w:tc>
        <w:tc>
          <w:tcPr>
            <w:tcW w:w="992" w:type="dxa"/>
            <w:vAlign w:val="center"/>
          </w:tcPr>
          <w:p w:rsidR="008A0432" w:rsidRPr="00CF3A12" w:rsidRDefault="00BD5B01">
            <w:pPr>
              <w:jc w:val="center"/>
              <w:rPr>
                <w:sz w:val="24"/>
                <w:szCs w:val="24"/>
              </w:rPr>
            </w:pPr>
            <w:r w:rsidRPr="00CF3A12">
              <w:rPr>
                <w:color w:val="000000"/>
                <w:kern w:val="0"/>
                <w:sz w:val="24"/>
                <w:szCs w:val="24"/>
              </w:rPr>
              <w:t>1</w:t>
            </w:r>
          </w:p>
        </w:tc>
        <w:tc>
          <w:tcPr>
            <w:tcW w:w="1843" w:type="dxa"/>
            <w:vAlign w:val="center"/>
          </w:tcPr>
          <w:p w:rsidR="008A0432" w:rsidRPr="00CF3A12" w:rsidRDefault="00BD5B01">
            <w:pPr>
              <w:jc w:val="center"/>
              <w:rPr>
                <w:sz w:val="24"/>
                <w:szCs w:val="24"/>
              </w:rPr>
            </w:pPr>
            <w:r w:rsidRPr="00CF3A12">
              <w:rPr>
                <w:color w:val="000000"/>
                <w:kern w:val="0"/>
                <w:sz w:val="24"/>
                <w:szCs w:val="24"/>
              </w:rPr>
              <w:t>2017/4/1-2017/6/30</w:t>
            </w:r>
          </w:p>
        </w:tc>
        <w:tc>
          <w:tcPr>
            <w:tcW w:w="851" w:type="dxa"/>
            <w:vAlign w:val="center"/>
          </w:tcPr>
          <w:p w:rsidR="008A0432" w:rsidRPr="00CF3A12" w:rsidRDefault="00BD5B01">
            <w:pPr>
              <w:jc w:val="center"/>
              <w:rPr>
                <w:sz w:val="24"/>
                <w:szCs w:val="24"/>
              </w:rPr>
            </w:pPr>
            <w:r w:rsidRPr="00CF3A12">
              <w:rPr>
                <w:color w:val="000000"/>
                <w:kern w:val="0"/>
                <w:sz w:val="24"/>
                <w:szCs w:val="24"/>
              </w:rPr>
              <w:t>200,017,000.00</w:t>
            </w:r>
          </w:p>
        </w:tc>
        <w:tc>
          <w:tcPr>
            <w:tcW w:w="850" w:type="dxa"/>
            <w:vAlign w:val="center"/>
          </w:tcPr>
          <w:p w:rsidR="008A0432" w:rsidRPr="00CF3A12" w:rsidRDefault="00BD5B01">
            <w:pPr>
              <w:jc w:val="center"/>
              <w:rPr>
                <w:sz w:val="24"/>
                <w:szCs w:val="24"/>
              </w:rPr>
            </w:pPr>
            <w:r w:rsidRPr="00CF3A12">
              <w:rPr>
                <w:color w:val="000000"/>
                <w:kern w:val="0"/>
                <w:sz w:val="24"/>
                <w:szCs w:val="24"/>
              </w:rPr>
              <w:t>-</w:t>
            </w:r>
          </w:p>
        </w:tc>
        <w:tc>
          <w:tcPr>
            <w:tcW w:w="1134" w:type="dxa"/>
            <w:vAlign w:val="center"/>
          </w:tcPr>
          <w:p w:rsidR="008A0432" w:rsidRPr="00CF3A12" w:rsidRDefault="00BD5B01">
            <w:pPr>
              <w:jc w:val="center"/>
              <w:rPr>
                <w:sz w:val="24"/>
                <w:szCs w:val="24"/>
              </w:rPr>
            </w:pPr>
            <w:r w:rsidRPr="00CF3A12">
              <w:rPr>
                <w:color w:val="000000"/>
                <w:kern w:val="0"/>
                <w:sz w:val="24"/>
                <w:szCs w:val="24"/>
              </w:rPr>
              <w:t>-</w:t>
            </w:r>
          </w:p>
        </w:tc>
        <w:tc>
          <w:tcPr>
            <w:tcW w:w="1419" w:type="dxa"/>
            <w:vAlign w:val="center"/>
          </w:tcPr>
          <w:p w:rsidR="008A0432" w:rsidRPr="00CF3A12" w:rsidRDefault="00BD5B01">
            <w:pPr>
              <w:jc w:val="center"/>
              <w:rPr>
                <w:sz w:val="24"/>
                <w:szCs w:val="24"/>
              </w:rPr>
            </w:pPr>
            <w:r w:rsidRPr="00CF3A12">
              <w:rPr>
                <w:color w:val="000000"/>
                <w:kern w:val="0"/>
                <w:sz w:val="24"/>
                <w:szCs w:val="24"/>
              </w:rPr>
              <w:t>200,017,000.00</w:t>
            </w:r>
          </w:p>
        </w:tc>
        <w:tc>
          <w:tcPr>
            <w:tcW w:w="1274" w:type="dxa"/>
            <w:vAlign w:val="center"/>
          </w:tcPr>
          <w:p w:rsidR="008A0432" w:rsidRPr="00CF3A12" w:rsidRDefault="00BD5B01">
            <w:pPr>
              <w:jc w:val="center"/>
              <w:rPr>
                <w:sz w:val="24"/>
                <w:szCs w:val="24"/>
              </w:rPr>
            </w:pPr>
            <w:r w:rsidRPr="00CF3A12">
              <w:rPr>
                <w:color w:val="000000"/>
                <w:kern w:val="0"/>
                <w:sz w:val="24"/>
                <w:szCs w:val="24"/>
              </w:rPr>
              <w:t>24.72%</w:t>
            </w:r>
          </w:p>
        </w:tc>
      </w:tr>
    </w:tbl>
    <w:p w:rsidR="003C50AD" w:rsidRDefault="003C50AD" w:rsidP="00CF3A12">
      <w:pPr>
        <w:autoSpaceDE w:val="0"/>
        <w:autoSpaceDN w:val="0"/>
        <w:adjustRightInd w:val="0"/>
        <w:spacing w:before="29" w:line="288" w:lineRule="auto"/>
        <w:jc w:val="left"/>
        <w:rPr>
          <w:color w:val="000000"/>
          <w:sz w:val="24"/>
        </w:rPr>
      </w:pPr>
      <w:r w:rsidRPr="00CF3A12">
        <w:rPr>
          <w:color w:val="000000"/>
          <w:sz w:val="24"/>
        </w:rPr>
        <w:t>注：本基金本报告期内出现单一投资者持有基金份额比例超过基金总份额</w:t>
      </w:r>
      <w:r w:rsidRPr="00CF3A12">
        <w:rPr>
          <w:color w:val="000000"/>
          <w:sz w:val="24"/>
        </w:rPr>
        <w:t>20%</w:t>
      </w:r>
      <w:r w:rsidRPr="00CF3A12">
        <w:rPr>
          <w:color w:val="000000"/>
          <w:sz w:val="24"/>
        </w:rPr>
        <w:t>的情况。如该类投资者集中赎回，可能会对本基金带来流动性冲击，从而影响基金的投资运作和收益水平。基金管理人将加强流动性管理，防范相关风险，保护持有人利益。</w:t>
      </w:r>
    </w:p>
    <w:p w:rsidR="00CF3A12" w:rsidRPr="00CF3A12" w:rsidRDefault="00CF3A12" w:rsidP="00CF3A12">
      <w:pPr>
        <w:autoSpaceDE w:val="0"/>
        <w:autoSpaceDN w:val="0"/>
        <w:adjustRightInd w:val="0"/>
        <w:spacing w:before="29" w:line="288" w:lineRule="auto"/>
        <w:jc w:val="left"/>
        <w:rPr>
          <w:color w:val="000000"/>
          <w:sz w:val="24"/>
        </w:rPr>
      </w:pPr>
    </w:p>
    <w:p w:rsidR="00B22DEE" w:rsidRPr="00E02660" w:rsidRDefault="004061AC" w:rsidP="00BD5B0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A0432" w:rsidRDefault="00BD5B01">
      <w:pPr>
        <w:spacing w:before="29" w:line="288" w:lineRule="auto"/>
        <w:ind w:firstLineChars="200" w:firstLine="480"/>
        <w:rPr>
          <w:color w:val="000000"/>
          <w:sz w:val="24"/>
          <w:szCs w:val="24"/>
        </w:rPr>
      </w:pPr>
      <w:r>
        <w:rPr>
          <w:color w:val="000000"/>
          <w:sz w:val="24"/>
          <w:szCs w:val="24"/>
        </w:rPr>
        <w:lastRenderedPageBreak/>
        <w:t>1</w:t>
      </w:r>
      <w:r>
        <w:rPr>
          <w:color w:val="000000"/>
          <w:sz w:val="24"/>
          <w:szCs w:val="24"/>
        </w:rPr>
        <w:t>、中国证监会准予交银施罗德荣鑫保本混合型证券投资基金募集注册的文件；</w:t>
      </w:r>
      <w:r>
        <w:rPr>
          <w:color w:val="000000"/>
          <w:sz w:val="24"/>
          <w:szCs w:val="24"/>
        </w:rPr>
        <w:t xml:space="preserve"> </w:t>
      </w:r>
    </w:p>
    <w:p w:rsidR="008A0432" w:rsidRDefault="00BD5B0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、《交银施罗德荣鑫保本混合型证券投资基金基金合同》；</w:t>
      </w:r>
      <w:r>
        <w:rPr>
          <w:color w:val="000000"/>
          <w:sz w:val="24"/>
          <w:szCs w:val="24"/>
        </w:rPr>
        <w:t xml:space="preserve"> </w:t>
      </w:r>
    </w:p>
    <w:p w:rsidR="008A0432" w:rsidRDefault="00BD5B0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、《交银施罗德荣鑫保本混合型证券投资基金招募说明书》；</w:t>
      </w:r>
      <w:r>
        <w:rPr>
          <w:color w:val="000000"/>
          <w:sz w:val="24"/>
          <w:szCs w:val="24"/>
        </w:rPr>
        <w:t xml:space="preserve"> </w:t>
      </w:r>
    </w:p>
    <w:p w:rsidR="008A0432" w:rsidRDefault="00BD5B0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、《交银施罗德荣鑫保本混合型证券投资基金托管协议》；</w:t>
      </w:r>
      <w:r>
        <w:rPr>
          <w:color w:val="000000"/>
          <w:sz w:val="24"/>
          <w:szCs w:val="24"/>
        </w:rPr>
        <w:t xml:space="preserve"> </w:t>
      </w:r>
    </w:p>
    <w:p w:rsidR="008A0432" w:rsidRDefault="00BD5B0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、关于申请募集注册交银施罗德荣鑫保本混合型证券投资基金的法律意见书；</w:t>
      </w:r>
      <w:r>
        <w:rPr>
          <w:color w:val="000000"/>
          <w:sz w:val="24"/>
          <w:szCs w:val="24"/>
        </w:rPr>
        <w:t xml:space="preserve"> </w:t>
      </w:r>
    </w:p>
    <w:p w:rsidR="008A0432" w:rsidRDefault="00BD5B0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A0432" w:rsidRDefault="00BD5B0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8A0432" w:rsidRDefault="00BD5B01">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、报告期内交银施罗德荣鑫保本混合型证券投资基金在指定报刊上各项公告的原稿。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A0432" w:rsidRDefault="00BD5B0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38" w:rsidRDefault="000E4438" w:rsidP="00876D65">
      <w:r>
        <w:separator/>
      </w:r>
    </w:p>
  </w:endnote>
  <w:endnote w:type="continuationSeparator" w:id="0">
    <w:p w:rsidR="000E4438" w:rsidRDefault="000E443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01" w:rsidRPr="001D0DB0" w:rsidRDefault="00BD5B01" w:rsidP="004D340C">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A71C6">
      <w:rPr>
        <w:noProof/>
        <w:kern w:val="0"/>
        <w:szCs w:val="21"/>
      </w:rPr>
      <w:t>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A71C6">
      <w:rPr>
        <w:noProof/>
        <w:kern w:val="0"/>
        <w:szCs w:val="21"/>
      </w:rPr>
      <w:t>14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38" w:rsidRDefault="000E4438" w:rsidP="00876D65">
      <w:r>
        <w:separator/>
      </w:r>
    </w:p>
  </w:footnote>
  <w:footnote w:type="continuationSeparator" w:id="0">
    <w:p w:rsidR="000E4438" w:rsidRDefault="000E443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01" w:rsidRPr="00CA574C" w:rsidRDefault="00BD5B01"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4438"/>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97FBB"/>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C6810"/>
    <w:rsid w:val="005D2B36"/>
    <w:rsid w:val="005E475E"/>
    <w:rsid w:val="005F118D"/>
    <w:rsid w:val="005F3996"/>
    <w:rsid w:val="005F6AF6"/>
    <w:rsid w:val="00604E50"/>
    <w:rsid w:val="006054CF"/>
    <w:rsid w:val="006066D2"/>
    <w:rsid w:val="006075E6"/>
    <w:rsid w:val="00607E09"/>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10B"/>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1E8"/>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0432"/>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A71C6"/>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5B01"/>
    <w:rsid w:val="00BD70E0"/>
    <w:rsid w:val="00BD7473"/>
    <w:rsid w:val="00BD7703"/>
    <w:rsid w:val="00BE14ED"/>
    <w:rsid w:val="00BE420D"/>
    <w:rsid w:val="00BE5388"/>
    <w:rsid w:val="00C012F9"/>
    <w:rsid w:val="00C102E6"/>
    <w:rsid w:val="00C15CAC"/>
    <w:rsid w:val="00C17371"/>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3A12"/>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417C"/>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F01F49-EFEB-462E-AC92-9ECF4D2E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80870-6B14-49F4-93BA-84B67D3D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14</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570</cp:revision>
  <dcterms:created xsi:type="dcterms:W3CDTF">2012-10-16T06:07:00Z</dcterms:created>
  <dcterms:modified xsi:type="dcterms:W3CDTF">2017-07-18T05:25:00Z</dcterms:modified>
</cp:coreProperties>
</file>