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1,100,126,565.44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1,099,377,857.99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748,707.45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494,061.20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-396.20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7,487,989.34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4,342.96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1,094,557,976.01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740,859.45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0.990</w:t>
            </w:r>
          </w:p>
        </w:tc>
      </w:tr>
    </w:tbl>
    <w:p w:rsidR="00B042CF" w:rsidRDefault="00C2525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42CF">
        <w:trPr>
          <w:jc w:val="center"/>
        </w:trPr>
        <w:tc>
          <w:tcPr>
            <w:tcW w:w="1266" w:type="dxa"/>
            <w:vAlign w:val="center"/>
          </w:tcPr>
          <w:p w:rsidR="00B042CF" w:rsidRDefault="00C25250">
            <w:pPr>
              <w:jc w:val="left"/>
            </w:pPr>
            <w:r>
              <w:rPr>
                <w:color w:val="000000"/>
                <w:sz w:val="24"/>
              </w:rPr>
              <w:lastRenderedPageBreak/>
              <w:t>过去三个月</w:t>
            </w:r>
          </w:p>
        </w:tc>
        <w:tc>
          <w:tcPr>
            <w:tcW w:w="1267" w:type="dxa"/>
            <w:vAlign w:val="center"/>
          </w:tcPr>
          <w:p w:rsidR="00B042CF" w:rsidRDefault="00C25250">
            <w:pPr>
              <w:jc w:val="center"/>
            </w:pPr>
            <w:r>
              <w:rPr>
                <w:color w:val="000000"/>
                <w:sz w:val="24"/>
              </w:rPr>
              <w:t>0.71%</w:t>
            </w:r>
          </w:p>
        </w:tc>
        <w:tc>
          <w:tcPr>
            <w:tcW w:w="1267" w:type="dxa"/>
            <w:vAlign w:val="center"/>
          </w:tcPr>
          <w:p w:rsidR="00B042CF" w:rsidRDefault="00C25250">
            <w:pPr>
              <w:jc w:val="center"/>
            </w:pPr>
            <w:r>
              <w:rPr>
                <w:color w:val="000000"/>
                <w:sz w:val="24"/>
              </w:rPr>
              <w:t>0.06%</w:t>
            </w:r>
          </w:p>
        </w:tc>
        <w:tc>
          <w:tcPr>
            <w:tcW w:w="1267" w:type="dxa"/>
            <w:vAlign w:val="center"/>
          </w:tcPr>
          <w:p w:rsidR="00B042CF" w:rsidRDefault="00C25250">
            <w:pPr>
              <w:jc w:val="center"/>
            </w:pPr>
            <w:r>
              <w:rPr>
                <w:color w:val="000000"/>
                <w:sz w:val="24"/>
              </w:rPr>
              <w:t>-0.88%</w:t>
            </w:r>
          </w:p>
        </w:tc>
        <w:tc>
          <w:tcPr>
            <w:tcW w:w="1267" w:type="dxa"/>
            <w:vAlign w:val="center"/>
          </w:tcPr>
          <w:p w:rsidR="00B042CF" w:rsidRDefault="00C25250">
            <w:pPr>
              <w:jc w:val="center"/>
            </w:pPr>
            <w:r>
              <w:rPr>
                <w:color w:val="000000"/>
                <w:sz w:val="24"/>
              </w:rPr>
              <w:t>0.08%</w:t>
            </w:r>
          </w:p>
        </w:tc>
        <w:tc>
          <w:tcPr>
            <w:tcW w:w="1267" w:type="dxa"/>
            <w:vAlign w:val="center"/>
          </w:tcPr>
          <w:p w:rsidR="00B042CF" w:rsidRDefault="00C25250">
            <w:pPr>
              <w:jc w:val="center"/>
            </w:pPr>
            <w:r>
              <w:rPr>
                <w:color w:val="000000"/>
                <w:sz w:val="24"/>
              </w:rPr>
              <w:t>1.59%</w:t>
            </w:r>
          </w:p>
        </w:tc>
        <w:tc>
          <w:tcPr>
            <w:tcW w:w="1267" w:type="dxa"/>
            <w:vAlign w:val="center"/>
          </w:tcPr>
          <w:p w:rsidR="00B042CF" w:rsidRDefault="00C25250">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042CF">
        <w:trPr>
          <w:jc w:val="center"/>
        </w:trPr>
        <w:tc>
          <w:tcPr>
            <w:tcW w:w="1266" w:type="dxa"/>
            <w:vAlign w:val="center"/>
          </w:tcPr>
          <w:p w:rsidR="00B042CF" w:rsidRDefault="00C25250">
            <w:pPr>
              <w:jc w:val="left"/>
            </w:pPr>
            <w:r>
              <w:rPr>
                <w:color w:val="000000"/>
                <w:sz w:val="24"/>
              </w:rPr>
              <w:t>过去三个月</w:t>
            </w:r>
          </w:p>
        </w:tc>
        <w:tc>
          <w:tcPr>
            <w:tcW w:w="1267" w:type="dxa"/>
            <w:vAlign w:val="center"/>
          </w:tcPr>
          <w:p w:rsidR="00B042CF" w:rsidRDefault="00C25250">
            <w:pPr>
              <w:jc w:val="center"/>
            </w:pPr>
            <w:r>
              <w:rPr>
                <w:color w:val="000000"/>
                <w:sz w:val="24"/>
              </w:rPr>
              <w:t>0.61%</w:t>
            </w:r>
          </w:p>
        </w:tc>
        <w:tc>
          <w:tcPr>
            <w:tcW w:w="1267" w:type="dxa"/>
            <w:vAlign w:val="center"/>
          </w:tcPr>
          <w:p w:rsidR="00B042CF" w:rsidRDefault="00C25250">
            <w:pPr>
              <w:jc w:val="center"/>
            </w:pPr>
            <w:r>
              <w:rPr>
                <w:color w:val="000000"/>
                <w:sz w:val="24"/>
              </w:rPr>
              <w:t>0.06%</w:t>
            </w:r>
          </w:p>
        </w:tc>
        <w:tc>
          <w:tcPr>
            <w:tcW w:w="1267" w:type="dxa"/>
            <w:vAlign w:val="center"/>
          </w:tcPr>
          <w:p w:rsidR="00B042CF" w:rsidRDefault="00C25250">
            <w:pPr>
              <w:jc w:val="center"/>
            </w:pPr>
            <w:r>
              <w:rPr>
                <w:color w:val="000000"/>
                <w:sz w:val="24"/>
              </w:rPr>
              <w:t>-0.88%</w:t>
            </w:r>
          </w:p>
        </w:tc>
        <w:tc>
          <w:tcPr>
            <w:tcW w:w="1267" w:type="dxa"/>
            <w:vAlign w:val="center"/>
          </w:tcPr>
          <w:p w:rsidR="00B042CF" w:rsidRDefault="00C25250">
            <w:pPr>
              <w:jc w:val="center"/>
            </w:pPr>
            <w:r>
              <w:rPr>
                <w:color w:val="000000"/>
                <w:sz w:val="24"/>
              </w:rPr>
              <w:t>0.08%</w:t>
            </w:r>
          </w:p>
        </w:tc>
        <w:tc>
          <w:tcPr>
            <w:tcW w:w="1267" w:type="dxa"/>
            <w:vAlign w:val="center"/>
          </w:tcPr>
          <w:p w:rsidR="00B042CF" w:rsidRDefault="00C25250">
            <w:pPr>
              <w:jc w:val="center"/>
            </w:pPr>
            <w:r>
              <w:rPr>
                <w:color w:val="000000"/>
                <w:sz w:val="24"/>
              </w:rPr>
              <w:t>1.49%</w:t>
            </w:r>
          </w:p>
        </w:tc>
        <w:tc>
          <w:tcPr>
            <w:tcW w:w="1267" w:type="dxa"/>
            <w:vAlign w:val="center"/>
          </w:tcPr>
          <w:p w:rsidR="00B042CF" w:rsidRDefault="00C25250">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A3120E"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17E6B73B" wp14:editId="09101965">
            <wp:extent cx="5274310" cy="3088640"/>
            <wp:effectExtent l="0" t="0" r="2540" b="0"/>
            <wp:docPr id="4"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0" cstate="print"/>
                    <a:stretch>
                      <a:fillRect/>
                    </a:stretch>
                  </pic:blipFill>
                  <pic:spPr>
                    <a:xfrm>
                      <a:off x="0" y="0"/>
                      <a:ext cx="5274310" cy="308864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A3120E" w:rsidP="007C14DF">
      <w:pPr>
        <w:pStyle w:val="20"/>
        <w:spacing w:before="29" w:line="288" w:lineRule="auto"/>
        <w:ind w:firstLineChars="0" w:firstLine="0"/>
        <w:jc w:val="center"/>
        <w:rPr>
          <w:rFonts w:ascii="Times New Roman" w:eastAsiaTheme="minorEastAsia" w:hAnsi="Times New Roman"/>
          <w:color w:val="000000"/>
        </w:rPr>
      </w:pPr>
      <w:r>
        <w:rPr>
          <w:noProof/>
        </w:rPr>
        <w:lastRenderedPageBreak/>
        <w:drawing>
          <wp:inline distT="0" distB="0" distL="0" distR="0" wp14:anchorId="2CA7D5DF" wp14:editId="3DC49CDC">
            <wp:extent cx="5274310" cy="3088640"/>
            <wp:effectExtent l="0" t="0" r="2540" b="0"/>
            <wp:docPr id="5" name="图片 4" descr="走势图2.jpg"/>
            <wp:cNvGraphicFramePr/>
            <a:graphic xmlns:a="http://schemas.openxmlformats.org/drawingml/2006/main">
              <a:graphicData uri="http://schemas.openxmlformats.org/drawingml/2006/picture">
                <pic:pic xmlns:pic="http://schemas.openxmlformats.org/drawingml/2006/picture">
                  <pic:nvPicPr>
                    <pic:cNvPr id="5" name="图片 4" descr="走势图2.jpg"/>
                    <pic:cNvPicPr/>
                  </pic:nvPicPr>
                  <pic:blipFill>
                    <a:blip r:embed="rId11" cstate="print"/>
                    <a:stretch>
                      <a:fillRect/>
                    </a:stretch>
                  </pic:blipFill>
                  <pic:spPr>
                    <a:xfrm>
                      <a:off x="0" y="0"/>
                      <a:ext cx="5274310" cy="308864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042CF">
        <w:trPr>
          <w:jc w:val="center"/>
        </w:trPr>
        <w:tc>
          <w:tcPr>
            <w:tcW w:w="946" w:type="dxa"/>
            <w:vAlign w:val="center"/>
          </w:tcPr>
          <w:p w:rsidR="00B042CF" w:rsidRDefault="00C25250">
            <w:pPr>
              <w:jc w:val="center"/>
            </w:pPr>
            <w:r>
              <w:rPr>
                <w:color w:val="000000"/>
                <w:sz w:val="24"/>
              </w:rPr>
              <w:t>黄莹洁</w:t>
            </w:r>
          </w:p>
        </w:tc>
        <w:tc>
          <w:tcPr>
            <w:tcW w:w="924" w:type="dxa"/>
            <w:vAlign w:val="center"/>
          </w:tcPr>
          <w:p w:rsidR="00B042CF" w:rsidRDefault="00C25250">
            <w:pPr>
              <w:jc w:val="center"/>
            </w:pPr>
            <w:r>
              <w:rPr>
                <w:color w:val="000000"/>
                <w:sz w:val="24"/>
              </w:rPr>
              <w:t>交银货币、交银理财</w:t>
            </w:r>
            <w:r>
              <w:rPr>
                <w:color w:val="000000"/>
                <w:sz w:val="24"/>
              </w:rPr>
              <w:t>21</w:t>
            </w:r>
            <w:r>
              <w:rPr>
                <w:color w:val="000000"/>
                <w:sz w:val="24"/>
              </w:rPr>
              <w:t>天债券、交银现金宝货币、交银丰享收</w:t>
            </w:r>
            <w:r>
              <w:rPr>
                <w:color w:val="000000"/>
                <w:sz w:val="24"/>
              </w:rPr>
              <w:lastRenderedPageBreak/>
              <w:t>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B042CF" w:rsidRDefault="00C25250">
            <w:pPr>
              <w:jc w:val="center"/>
            </w:pPr>
            <w:r>
              <w:rPr>
                <w:color w:val="000000"/>
                <w:sz w:val="24"/>
              </w:rPr>
              <w:lastRenderedPageBreak/>
              <w:t>2015-12-29</w:t>
            </w:r>
          </w:p>
        </w:tc>
        <w:tc>
          <w:tcPr>
            <w:tcW w:w="1300" w:type="dxa"/>
            <w:vAlign w:val="center"/>
          </w:tcPr>
          <w:p w:rsidR="00B042CF" w:rsidRDefault="00C25250">
            <w:pPr>
              <w:jc w:val="center"/>
            </w:pPr>
            <w:r>
              <w:rPr>
                <w:color w:val="000000"/>
                <w:sz w:val="24"/>
              </w:rPr>
              <w:t>-</w:t>
            </w:r>
          </w:p>
        </w:tc>
        <w:tc>
          <w:tcPr>
            <w:tcW w:w="1245" w:type="dxa"/>
            <w:vAlign w:val="center"/>
          </w:tcPr>
          <w:p w:rsidR="00B042CF" w:rsidRDefault="00C25250">
            <w:pPr>
              <w:jc w:val="center"/>
            </w:pPr>
            <w:r>
              <w:rPr>
                <w:color w:val="000000"/>
                <w:sz w:val="24"/>
              </w:rPr>
              <w:t>9</w:t>
            </w:r>
            <w:r>
              <w:rPr>
                <w:color w:val="000000"/>
                <w:sz w:val="24"/>
              </w:rPr>
              <w:t>年</w:t>
            </w:r>
          </w:p>
        </w:tc>
        <w:tc>
          <w:tcPr>
            <w:tcW w:w="3251" w:type="dxa"/>
            <w:vAlign w:val="center"/>
          </w:tcPr>
          <w:p w:rsidR="00B042CF" w:rsidRDefault="00C2525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B042CF">
        <w:trPr>
          <w:jc w:val="center"/>
        </w:trPr>
        <w:tc>
          <w:tcPr>
            <w:tcW w:w="946" w:type="dxa"/>
            <w:vAlign w:val="center"/>
          </w:tcPr>
          <w:p w:rsidR="00B042CF" w:rsidRDefault="00C25250">
            <w:pPr>
              <w:jc w:val="center"/>
            </w:pPr>
            <w:r>
              <w:rPr>
                <w:color w:val="000000"/>
                <w:sz w:val="24"/>
              </w:rPr>
              <w:t>唐赟</w:t>
            </w:r>
          </w:p>
        </w:tc>
        <w:tc>
          <w:tcPr>
            <w:tcW w:w="924" w:type="dxa"/>
            <w:vAlign w:val="center"/>
          </w:tcPr>
          <w:p w:rsidR="00B042CF" w:rsidRDefault="00C25250">
            <w:pPr>
              <w:jc w:val="center"/>
            </w:pPr>
            <w:r>
              <w:rPr>
                <w:color w:val="000000"/>
                <w:sz w:val="24"/>
              </w:rPr>
              <w:t>交银信用添利债券</w:t>
            </w:r>
            <w:r>
              <w:rPr>
                <w:color w:val="000000"/>
                <w:sz w:val="24"/>
              </w:rPr>
              <w:t>(LOF)</w:t>
            </w:r>
            <w:r>
              <w:rPr>
                <w:color w:val="000000"/>
                <w:sz w:val="24"/>
              </w:rPr>
              <w:t>、交银双利债券、交银</w:t>
            </w:r>
            <w:r>
              <w:rPr>
                <w:color w:val="000000"/>
                <w:sz w:val="24"/>
              </w:rPr>
              <w:lastRenderedPageBreak/>
              <w:t>双轮动债券、交银荣和保本混合、交银裕通纯债债券的基金经理</w:t>
            </w:r>
          </w:p>
        </w:tc>
        <w:tc>
          <w:tcPr>
            <w:tcW w:w="1202" w:type="dxa"/>
            <w:vAlign w:val="center"/>
          </w:tcPr>
          <w:p w:rsidR="00B042CF" w:rsidRDefault="00C25250">
            <w:pPr>
              <w:jc w:val="center"/>
            </w:pPr>
            <w:r>
              <w:rPr>
                <w:color w:val="000000"/>
                <w:sz w:val="24"/>
              </w:rPr>
              <w:lastRenderedPageBreak/>
              <w:t>2017-03-31</w:t>
            </w:r>
          </w:p>
        </w:tc>
        <w:tc>
          <w:tcPr>
            <w:tcW w:w="1300" w:type="dxa"/>
            <w:vAlign w:val="center"/>
          </w:tcPr>
          <w:p w:rsidR="00B042CF" w:rsidRDefault="00C25250">
            <w:pPr>
              <w:jc w:val="center"/>
            </w:pPr>
            <w:r>
              <w:rPr>
                <w:color w:val="000000"/>
                <w:sz w:val="24"/>
              </w:rPr>
              <w:t>-</w:t>
            </w:r>
          </w:p>
        </w:tc>
        <w:tc>
          <w:tcPr>
            <w:tcW w:w="1245" w:type="dxa"/>
            <w:vAlign w:val="center"/>
          </w:tcPr>
          <w:p w:rsidR="00B042CF" w:rsidRDefault="00C25250">
            <w:pPr>
              <w:jc w:val="center"/>
            </w:pPr>
            <w:r>
              <w:rPr>
                <w:color w:val="000000"/>
                <w:sz w:val="24"/>
              </w:rPr>
              <w:t>5</w:t>
            </w:r>
            <w:r>
              <w:rPr>
                <w:color w:val="000000"/>
                <w:sz w:val="24"/>
              </w:rPr>
              <w:t>年</w:t>
            </w:r>
          </w:p>
        </w:tc>
        <w:tc>
          <w:tcPr>
            <w:tcW w:w="3251" w:type="dxa"/>
            <w:vAlign w:val="center"/>
          </w:tcPr>
          <w:p w:rsidR="00B042CF" w:rsidRDefault="00C25250">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042CF" w:rsidRDefault="00C2525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42CF" w:rsidRDefault="00C2525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42CF" w:rsidRDefault="00C2525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lastRenderedPageBreak/>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042CF" w:rsidRDefault="00C25250">
      <w:pPr>
        <w:spacing w:before="29" w:line="288" w:lineRule="auto"/>
        <w:ind w:firstLineChars="200" w:firstLine="480"/>
        <w:rPr>
          <w:color w:val="000000"/>
          <w:sz w:val="24"/>
        </w:rPr>
      </w:pPr>
      <w:r>
        <w:rPr>
          <w:color w:val="000000"/>
          <w:sz w:val="24"/>
        </w:rPr>
        <w:t>本报告期内，四、五月经济数据超预期，货币政策紧缩预期浓重，</w:t>
      </w:r>
      <w:r>
        <w:rPr>
          <w:color w:val="000000"/>
          <w:sz w:val="24"/>
        </w:rPr>
        <w:t>“</w:t>
      </w:r>
      <w:r>
        <w:rPr>
          <w:color w:val="000000"/>
          <w:sz w:val="24"/>
        </w:rPr>
        <w:t>防风险、去杠杆</w:t>
      </w:r>
      <w:r>
        <w:rPr>
          <w:color w:val="000000"/>
          <w:sz w:val="24"/>
        </w:rPr>
        <w:t>”</w:t>
      </w:r>
      <w:r>
        <w:rPr>
          <w:color w:val="000000"/>
          <w:sz w:val="24"/>
        </w:rPr>
        <w:t>的金融监管成为市场关注的主基调，债券市场延续调整，信用债收益率也明显上行，信用利差走扩。在市场明显表达了对金融监管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B042CF" w:rsidRDefault="00C25250">
      <w:pPr>
        <w:spacing w:before="29" w:line="288" w:lineRule="auto"/>
        <w:ind w:firstLineChars="200" w:firstLine="480"/>
        <w:rPr>
          <w:color w:val="000000"/>
          <w:sz w:val="24"/>
        </w:rPr>
      </w:pPr>
      <w:r>
        <w:rPr>
          <w:color w:val="000000"/>
          <w:sz w:val="24"/>
        </w:rPr>
        <w:t>本报告期内，本基金始终维持存单、短融为主的信用债底仓，组合控制在较短久期。在市场收益率上行的过程中获取了稳定的票息收入，且避免了资本亏损带来的净值下跌。</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我们认为随着库存周期从主动补库存向被动补库存转变，地方政府融资被进一步规范，经济仍有下行的压力，但整体看经济下行的幅度有限。货币政策仍将着力于去杠杆、防风险、中性偏紧的货币政策基调难改。海外央行态度偏鹰派，海外债券市场面临调整压力。下半年随着经济和通胀走弱，债券市场收益率将随名义增速的回落而下行，但由于货币政策难以放松，而经济下行的幅度有限，债券市场下行的空间将受到制约。信用债的信用利差仍处于历史地位，尤其是低等级信用债利差未能充分反映未来的信用风险，我们计划将一如既往的规避中低评级信用债，在利率曲线平坦的情况下，三季度我们可能将维持目前的债券久期配置，并将根据宏观及监管政策的变化择机拉长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0.996</w:t>
      </w:r>
      <w:r w:rsidRPr="007F52FA">
        <w:rPr>
          <w:color w:val="000000"/>
          <w:sz w:val="24"/>
        </w:rPr>
        <w:t>元，本报告期份额净值增长率为</w:t>
      </w:r>
      <w:r w:rsidRPr="007F52FA">
        <w:rPr>
          <w:color w:val="000000"/>
          <w:sz w:val="24"/>
        </w:rPr>
        <w:t>0.71%</w:t>
      </w:r>
      <w:r w:rsidRPr="007F52FA">
        <w:rPr>
          <w:color w:val="000000"/>
          <w:sz w:val="24"/>
        </w:rPr>
        <w:t>，同期业绩比较基准增长率为</w:t>
      </w:r>
      <w:r w:rsidRPr="007F52FA">
        <w:rPr>
          <w:color w:val="000000"/>
          <w:sz w:val="24"/>
        </w:rPr>
        <w:t>-0.88%</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0.990</w:t>
      </w:r>
      <w:r w:rsidRPr="007F52FA">
        <w:rPr>
          <w:color w:val="000000"/>
          <w:sz w:val="24"/>
        </w:rPr>
        <w:t>元，本报告期份额净值增长率为</w:t>
      </w:r>
      <w:r w:rsidRPr="007F52FA">
        <w:rPr>
          <w:color w:val="000000"/>
          <w:sz w:val="24"/>
        </w:rPr>
        <w:t>0.61%</w:t>
      </w:r>
      <w:r w:rsidRPr="007F52FA">
        <w:rPr>
          <w:color w:val="000000"/>
          <w:sz w:val="24"/>
        </w:rPr>
        <w:t>，同期业绩比较基准增长率为</w:t>
      </w:r>
      <w:r w:rsidRPr="007F52FA">
        <w:rPr>
          <w:color w:val="000000"/>
          <w:sz w:val="24"/>
        </w:rPr>
        <w:t>-0.88%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截至本报告期末，本基金已经连续二十个工作日以上出现基金份额持有人数量不满二百人的情形。</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1,167,861,960.00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97.63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1,167,861,960.00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97.63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11,661,304.68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16,706,740.46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1,196,230,005.14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AD603A" w:rsidRPr="00AD603A" w:rsidRDefault="00AD603A"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238,737,000.00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238,737,000.00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171,736,960.00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300,607,000.00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27.45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292,733,000.00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26.73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164,048,000.00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14.98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1,167,861,960.00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042CF">
        <w:trPr>
          <w:jc w:val="center"/>
        </w:trPr>
        <w:tc>
          <w:tcPr>
            <w:tcW w:w="1075" w:type="dxa"/>
            <w:vAlign w:val="center"/>
          </w:tcPr>
          <w:p w:rsidR="00B042CF" w:rsidRDefault="00C25250">
            <w:pPr>
              <w:jc w:val="center"/>
            </w:pPr>
            <w:r>
              <w:rPr>
                <w:color w:val="000000"/>
                <w:sz w:val="24"/>
              </w:rPr>
              <w:t>1</w:t>
            </w:r>
          </w:p>
        </w:tc>
        <w:tc>
          <w:tcPr>
            <w:tcW w:w="1533" w:type="dxa"/>
            <w:vAlign w:val="center"/>
          </w:tcPr>
          <w:p w:rsidR="00B042CF" w:rsidRDefault="00C25250">
            <w:pPr>
              <w:jc w:val="center"/>
            </w:pPr>
            <w:r>
              <w:rPr>
                <w:color w:val="000000"/>
                <w:sz w:val="24"/>
              </w:rPr>
              <w:t>170205</w:t>
            </w:r>
          </w:p>
        </w:tc>
        <w:tc>
          <w:tcPr>
            <w:tcW w:w="1533" w:type="dxa"/>
            <w:vAlign w:val="center"/>
          </w:tcPr>
          <w:p w:rsidR="00B042CF" w:rsidRDefault="00C25250">
            <w:pPr>
              <w:jc w:val="center"/>
            </w:pPr>
            <w:r>
              <w:rPr>
                <w:color w:val="000000"/>
                <w:sz w:val="24"/>
              </w:rPr>
              <w:t>17</w:t>
            </w:r>
            <w:r>
              <w:rPr>
                <w:color w:val="000000"/>
                <w:sz w:val="24"/>
              </w:rPr>
              <w:t>国开</w:t>
            </w:r>
            <w:r>
              <w:rPr>
                <w:color w:val="000000"/>
                <w:sz w:val="24"/>
              </w:rPr>
              <w:t>05</w:t>
            </w:r>
          </w:p>
        </w:tc>
        <w:tc>
          <w:tcPr>
            <w:tcW w:w="1394" w:type="dxa"/>
            <w:vAlign w:val="center"/>
          </w:tcPr>
          <w:p w:rsidR="00B042CF" w:rsidRDefault="00C25250">
            <w:pPr>
              <w:jc w:val="right"/>
            </w:pPr>
            <w:r>
              <w:rPr>
                <w:color w:val="000000"/>
                <w:sz w:val="24"/>
              </w:rPr>
              <w:t>1,000,000</w:t>
            </w:r>
          </w:p>
        </w:tc>
        <w:tc>
          <w:tcPr>
            <w:tcW w:w="1944" w:type="dxa"/>
            <w:vAlign w:val="center"/>
          </w:tcPr>
          <w:p w:rsidR="00B042CF" w:rsidRDefault="00C25250">
            <w:pPr>
              <w:jc w:val="right"/>
            </w:pPr>
            <w:r>
              <w:rPr>
                <w:color w:val="000000"/>
                <w:sz w:val="24"/>
              </w:rPr>
              <w:t>99,540,000.00</w:t>
            </w:r>
          </w:p>
        </w:tc>
        <w:tc>
          <w:tcPr>
            <w:tcW w:w="1389" w:type="dxa"/>
            <w:vAlign w:val="center"/>
          </w:tcPr>
          <w:p w:rsidR="00B042CF" w:rsidRDefault="00C25250">
            <w:pPr>
              <w:jc w:val="right"/>
            </w:pPr>
            <w:r>
              <w:rPr>
                <w:color w:val="000000"/>
                <w:sz w:val="24"/>
              </w:rPr>
              <w:t>9.09</w:t>
            </w:r>
          </w:p>
        </w:tc>
      </w:tr>
      <w:tr w:rsidR="00B042CF">
        <w:trPr>
          <w:jc w:val="center"/>
        </w:trPr>
        <w:tc>
          <w:tcPr>
            <w:tcW w:w="1075" w:type="dxa"/>
            <w:vAlign w:val="center"/>
          </w:tcPr>
          <w:p w:rsidR="00B042CF" w:rsidRDefault="00C25250">
            <w:pPr>
              <w:jc w:val="center"/>
            </w:pPr>
            <w:r>
              <w:rPr>
                <w:color w:val="000000"/>
                <w:sz w:val="24"/>
              </w:rPr>
              <w:t>2</w:t>
            </w:r>
          </w:p>
        </w:tc>
        <w:tc>
          <w:tcPr>
            <w:tcW w:w="1533" w:type="dxa"/>
            <w:vAlign w:val="center"/>
          </w:tcPr>
          <w:p w:rsidR="00B042CF" w:rsidRDefault="00C25250">
            <w:pPr>
              <w:jc w:val="center"/>
            </w:pPr>
            <w:r>
              <w:rPr>
                <w:color w:val="000000"/>
                <w:sz w:val="24"/>
              </w:rPr>
              <w:t>1182277</w:t>
            </w:r>
          </w:p>
        </w:tc>
        <w:tc>
          <w:tcPr>
            <w:tcW w:w="1533" w:type="dxa"/>
            <w:vAlign w:val="center"/>
          </w:tcPr>
          <w:p w:rsidR="00B042CF" w:rsidRDefault="00C25250">
            <w:pPr>
              <w:jc w:val="center"/>
            </w:pPr>
            <w:r>
              <w:rPr>
                <w:color w:val="000000"/>
                <w:sz w:val="24"/>
              </w:rPr>
              <w:t>11</w:t>
            </w:r>
            <w:r>
              <w:rPr>
                <w:color w:val="000000"/>
                <w:sz w:val="24"/>
              </w:rPr>
              <w:t>中铁建</w:t>
            </w:r>
            <w:r>
              <w:rPr>
                <w:color w:val="000000"/>
                <w:sz w:val="24"/>
              </w:rPr>
              <w:t>MTN1</w:t>
            </w:r>
          </w:p>
        </w:tc>
        <w:tc>
          <w:tcPr>
            <w:tcW w:w="1394" w:type="dxa"/>
            <w:vAlign w:val="center"/>
          </w:tcPr>
          <w:p w:rsidR="00B042CF" w:rsidRDefault="00C25250">
            <w:pPr>
              <w:jc w:val="right"/>
            </w:pPr>
            <w:r>
              <w:rPr>
                <w:color w:val="000000"/>
                <w:sz w:val="24"/>
              </w:rPr>
              <w:t>600,000</w:t>
            </w:r>
          </w:p>
        </w:tc>
        <w:tc>
          <w:tcPr>
            <w:tcW w:w="1944" w:type="dxa"/>
            <w:vAlign w:val="center"/>
          </w:tcPr>
          <w:p w:rsidR="00B042CF" w:rsidRDefault="00C25250">
            <w:pPr>
              <w:jc w:val="right"/>
            </w:pPr>
            <w:r>
              <w:rPr>
                <w:color w:val="000000"/>
                <w:sz w:val="24"/>
              </w:rPr>
              <w:t>61,896,000.00</w:t>
            </w:r>
          </w:p>
        </w:tc>
        <w:tc>
          <w:tcPr>
            <w:tcW w:w="1389" w:type="dxa"/>
            <w:vAlign w:val="center"/>
          </w:tcPr>
          <w:p w:rsidR="00B042CF" w:rsidRDefault="00C25250">
            <w:pPr>
              <w:jc w:val="right"/>
            </w:pPr>
            <w:r>
              <w:rPr>
                <w:color w:val="000000"/>
                <w:sz w:val="24"/>
              </w:rPr>
              <w:t>5.65</w:t>
            </w:r>
          </w:p>
        </w:tc>
      </w:tr>
      <w:tr w:rsidR="00B042CF">
        <w:trPr>
          <w:jc w:val="center"/>
        </w:trPr>
        <w:tc>
          <w:tcPr>
            <w:tcW w:w="1075" w:type="dxa"/>
            <w:vAlign w:val="center"/>
          </w:tcPr>
          <w:p w:rsidR="00B042CF" w:rsidRDefault="00C25250">
            <w:pPr>
              <w:jc w:val="center"/>
            </w:pPr>
            <w:r>
              <w:rPr>
                <w:color w:val="000000"/>
                <w:sz w:val="24"/>
              </w:rPr>
              <w:t>3</w:t>
            </w:r>
          </w:p>
        </w:tc>
        <w:tc>
          <w:tcPr>
            <w:tcW w:w="1533" w:type="dxa"/>
            <w:vAlign w:val="center"/>
          </w:tcPr>
          <w:p w:rsidR="00B042CF" w:rsidRDefault="00C25250">
            <w:pPr>
              <w:jc w:val="center"/>
            </w:pPr>
            <w:r>
              <w:rPr>
                <w:color w:val="000000"/>
                <w:sz w:val="24"/>
              </w:rPr>
              <w:t>170401</w:t>
            </w:r>
          </w:p>
        </w:tc>
        <w:tc>
          <w:tcPr>
            <w:tcW w:w="1533" w:type="dxa"/>
            <w:vAlign w:val="center"/>
          </w:tcPr>
          <w:p w:rsidR="00B042CF" w:rsidRDefault="00C25250">
            <w:pPr>
              <w:jc w:val="center"/>
            </w:pPr>
            <w:r>
              <w:rPr>
                <w:color w:val="000000"/>
                <w:sz w:val="24"/>
              </w:rPr>
              <w:t>17</w:t>
            </w:r>
            <w:r>
              <w:rPr>
                <w:color w:val="000000"/>
                <w:sz w:val="24"/>
              </w:rPr>
              <w:t>农发</w:t>
            </w:r>
            <w:r>
              <w:rPr>
                <w:color w:val="000000"/>
                <w:sz w:val="24"/>
              </w:rPr>
              <w:t>01</w:t>
            </w:r>
          </w:p>
        </w:tc>
        <w:tc>
          <w:tcPr>
            <w:tcW w:w="1394" w:type="dxa"/>
            <w:vAlign w:val="center"/>
          </w:tcPr>
          <w:p w:rsidR="00B042CF" w:rsidRDefault="00C25250">
            <w:pPr>
              <w:jc w:val="right"/>
            </w:pPr>
            <w:r>
              <w:rPr>
                <w:color w:val="000000"/>
                <w:sz w:val="24"/>
              </w:rPr>
              <w:t>600,000</w:t>
            </w:r>
          </w:p>
        </w:tc>
        <w:tc>
          <w:tcPr>
            <w:tcW w:w="1944" w:type="dxa"/>
            <w:vAlign w:val="center"/>
          </w:tcPr>
          <w:p w:rsidR="00B042CF" w:rsidRDefault="00C25250">
            <w:pPr>
              <w:jc w:val="right"/>
            </w:pPr>
            <w:r>
              <w:rPr>
                <w:color w:val="000000"/>
                <w:sz w:val="24"/>
              </w:rPr>
              <w:t>59,772,000.00</w:t>
            </w:r>
          </w:p>
        </w:tc>
        <w:tc>
          <w:tcPr>
            <w:tcW w:w="1389" w:type="dxa"/>
            <w:vAlign w:val="center"/>
          </w:tcPr>
          <w:p w:rsidR="00B042CF" w:rsidRDefault="00C25250">
            <w:pPr>
              <w:jc w:val="right"/>
            </w:pPr>
            <w:r>
              <w:rPr>
                <w:color w:val="000000"/>
                <w:sz w:val="24"/>
              </w:rPr>
              <w:t>5.46</w:t>
            </w:r>
          </w:p>
        </w:tc>
      </w:tr>
      <w:tr w:rsidR="00B042CF">
        <w:trPr>
          <w:jc w:val="center"/>
        </w:trPr>
        <w:tc>
          <w:tcPr>
            <w:tcW w:w="1075" w:type="dxa"/>
            <w:vAlign w:val="center"/>
          </w:tcPr>
          <w:p w:rsidR="00B042CF" w:rsidRDefault="00C25250">
            <w:pPr>
              <w:jc w:val="center"/>
            </w:pPr>
            <w:r>
              <w:rPr>
                <w:color w:val="000000"/>
                <w:sz w:val="24"/>
              </w:rPr>
              <w:t>4</w:t>
            </w:r>
          </w:p>
        </w:tc>
        <w:tc>
          <w:tcPr>
            <w:tcW w:w="1533" w:type="dxa"/>
            <w:vAlign w:val="center"/>
          </w:tcPr>
          <w:p w:rsidR="00B042CF" w:rsidRDefault="00C25250">
            <w:pPr>
              <w:jc w:val="center"/>
            </w:pPr>
            <w:r>
              <w:rPr>
                <w:color w:val="000000"/>
                <w:sz w:val="24"/>
              </w:rPr>
              <w:t>111680111</w:t>
            </w:r>
          </w:p>
        </w:tc>
        <w:tc>
          <w:tcPr>
            <w:tcW w:w="1533" w:type="dxa"/>
            <w:vAlign w:val="center"/>
          </w:tcPr>
          <w:p w:rsidR="00B042CF" w:rsidRDefault="00C25250">
            <w:pPr>
              <w:jc w:val="center"/>
            </w:pPr>
            <w:r>
              <w:rPr>
                <w:color w:val="000000"/>
                <w:sz w:val="24"/>
              </w:rPr>
              <w:t>16</w:t>
            </w:r>
            <w:r>
              <w:rPr>
                <w:color w:val="000000"/>
                <w:sz w:val="24"/>
              </w:rPr>
              <w:t>杭州银行</w:t>
            </w:r>
            <w:r>
              <w:rPr>
                <w:color w:val="000000"/>
                <w:sz w:val="24"/>
              </w:rPr>
              <w:t>CD177</w:t>
            </w:r>
          </w:p>
        </w:tc>
        <w:tc>
          <w:tcPr>
            <w:tcW w:w="1394" w:type="dxa"/>
            <w:vAlign w:val="center"/>
          </w:tcPr>
          <w:p w:rsidR="00B042CF" w:rsidRDefault="00C25250">
            <w:pPr>
              <w:jc w:val="right"/>
            </w:pPr>
            <w:r>
              <w:rPr>
                <w:color w:val="000000"/>
                <w:sz w:val="24"/>
              </w:rPr>
              <w:t>600,000</w:t>
            </w:r>
          </w:p>
        </w:tc>
        <w:tc>
          <w:tcPr>
            <w:tcW w:w="1944" w:type="dxa"/>
            <w:vAlign w:val="center"/>
          </w:tcPr>
          <w:p w:rsidR="00B042CF" w:rsidRDefault="00C25250">
            <w:pPr>
              <w:jc w:val="right"/>
            </w:pPr>
            <w:r>
              <w:rPr>
                <w:color w:val="000000"/>
                <w:sz w:val="24"/>
              </w:rPr>
              <w:t>57,834,000.00</w:t>
            </w:r>
          </w:p>
        </w:tc>
        <w:tc>
          <w:tcPr>
            <w:tcW w:w="1389" w:type="dxa"/>
            <w:vAlign w:val="center"/>
          </w:tcPr>
          <w:p w:rsidR="00B042CF" w:rsidRDefault="00C25250">
            <w:pPr>
              <w:jc w:val="right"/>
            </w:pPr>
            <w:r>
              <w:rPr>
                <w:color w:val="000000"/>
                <w:sz w:val="24"/>
              </w:rPr>
              <w:t>5.28</w:t>
            </w:r>
          </w:p>
        </w:tc>
      </w:tr>
      <w:tr w:rsidR="00B042CF">
        <w:trPr>
          <w:jc w:val="center"/>
        </w:trPr>
        <w:tc>
          <w:tcPr>
            <w:tcW w:w="1075" w:type="dxa"/>
            <w:vAlign w:val="center"/>
          </w:tcPr>
          <w:p w:rsidR="00B042CF" w:rsidRDefault="00C25250">
            <w:pPr>
              <w:jc w:val="center"/>
            </w:pPr>
            <w:r>
              <w:rPr>
                <w:color w:val="000000"/>
                <w:sz w:val="24"/>
              </w:rPr>
              <w:t>5</w:t>
            </w:r>
          </w:p>
        </w:tc>
        <w:tc>
          <w:tcPr>
            <w:tcW w:w="1533" w:type="dxa"/>
            <w:vAlign w:val="center"/>
          </w:tcPr>
          <w:p w:rsidR="00B042CF" w:rsidRDefault="00C25250">
            <w:pPr>
              <w:jc w:val="center"/>
            </w:pPr>
            <w:r>
              <w:rPr>
                <w:color w:val="000000"/>
                <w:sz w:val="24"/>
              </w:rPr>
              <w:t>011698820</w:t>
            </w:r>
          </w:p>
        </w:tc>
        <w:tc>
          <w:tcPr>
            <w:tcW w:w="1533" w:type="dxa"/>
            <w:vAlign w:val="center"/>
          </w:tcPr>
          <w:p w:rsidR="00B042CF" w:rsidRDefault="00C25250">
            <w:pPr>
              <w:jc w:val="center"/>
            </w:pPr>
            <w:r>
              <w:rPr>
                <w:color w:val="000000"/>
                <w:sz w:val="24"/>
              </w:rPr>
              <w:t>16</w:t>
            </w:r>
            <w:r>
              <w:rPr>
                <w:color w:val="000000"/>
                <w:sz w:val="24"/>
              </w:rPr>
              <w:t>陕交建</w:t>
            </w:r>
            <w:r>
              <w:rPr>
                <w:color w:val="000000"/>
                <w:sz w:val="24"/>
              </w:rPr>
              <w:t>SCP005</w:t>
            </w:r>
          </w:p>
        </w:tc>
        <w:tc>
          <w:tcPr>
            <w:tcW w:w="1394" w:type="dxa"/>
            <w:vAlign w:val="center"/>
          </w:tcPr>
          <w:p w:rsidR="00B042CF" w:rsidRDefault="00C25250">
            <w:pPr>
              <w:jc w:val="right"/>
            </w:pPr>
            <w:r>
              <w:rPr>
                <w:color w:val="000000"/>
                <w:sz w:val="24"/>
              </w:rPr>
              <w:t>500,000</w:t>
            </w:r>
          </w:p>
        </w:tc>
        <w:tc>
          <w:tcPr>
            <w:tcW w:w="1944" w:type="dxa"/>
            <w:vAlign w:val="center"/>
          </w:tcPr>
          <w:p w:rsidR="00B042CF" w:rsidRDefault="00C25250">
            <w:pPr>
              <w:jc w:val="right"/>
            </w:pPr>
            <w:r>
              <w:rPr>
                <w:color w:val="000000"/>
                <w:sz w:val="24"/>
              </w:rPr>
              <w:t>50,135,000.00</w:t>
            </w:r>
          </w:p>
        </w:tc>
        <w:tc>
          <w:tcPr>
            <w:tcW w:w="1389" w:type="dxa"/>
            <w:vAlign w:val="center"/>
          </w:tcPr>
          <w:p w:rsidR="00B042CF" w:rsidRDefault="00C25250">
            <w:pPr>
              <w:jc w:val="right"/>
            </w:pPr>
            <w:r>
              <w:rPr>
                <w:color w:val="000000"/>
                <w:sz w:val="24"/>
              </w:rPr>
              <w:t>4.58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lastRenderedPageBreak/>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18,449.65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16,688,290.81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16,706,740.46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1,103,249,023.44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749,787.46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3,871,215.81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1,090.22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1,099,377,857.99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748,707.45</w:t>
            </w:r>
          </w:p>
        </w:tc>
      </w:tr>
    </w:tbl>
    <w:p w:rsidR="00B042CF" w:rsidRDefault="00C2525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601B3"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C601B3">
        <w:rPr>
          <w:rFonts w:eastAsiaTheme="minorEastAsia"/>
          <w:color w:val="000000" w:themeColor="text1"/>
          <w:kern w:val="0"/>
          <w:sz w:val="24"/>
          <w:szCs w:val="24"/>
        </w:rPr>
        <w:t xml:space="preserve">§8 </w:t>
      </w:r>
      <w:r w:rsidRPr="00C601B3">
        <w:rPr>
          <w:rFonts w:eastAsiaTheme="minorEastAsia"/>
          <w:color w:val="000000" w:themeColor="text1"/>
          <w:kern w:val="0"/>
          <w:sz w:val="24"/>
          <w:szCs w:val="24"/>
        </w:rPr>
        <w:t>影响投资者决策的其他重要信息</w:t>
      </w:r>
    </w:p>
    <w:p w:rsidR="00ED0E09" w:rsidRPr="00C601B3" w:rsidRDefault="00ED0E09" w:rsidP="00ED0E09">
      <w:pPr>
        <w:autoSpaceDE w:val="0"/>
        <w:autoSpaceDN w:val="0"/>
        <w:adjustRightInd w:val="0"/>
        <w:spacing w:line="360" w:lineRule="auto"/>
        <w:jc w:val="left"/>
        <w:rPr>
          <w:b/>
          <w:bCs/>
          <w:color w:val="000000"/>
          <w:kern w:val="0"/>
          <w:sz w:val="24"/>
        </w:rPr>
      </w:pPr>
      <w:r w:rsidRPr="00C601B3">
        <w:rPr>
          <w:b/>
          <w:bCs/>
          <w:color w:val="000000"/>
          <w:kern w:val="0"/>
          <w:sz w:val="24"/>
        </w:rPr>
        <w:t xml:space="preserve">8.1 </w:t>
      </w:r>
      <w:r w:rsidRPr="00C601B3">
        <w:rPr>
          <w:b/>
          <w:bCs/>
          <w:color w:val="000000"/>
          <w:kern w:val="0"/>
          <w:sz w:val="24"/>
        </w:rPr>
        <w:t>报告期内单一投资者持有基金份额比例达到或超过</w:t>
      </w:r>
      <w:r w:rsidRPr="00C601B3">
        <w:rPr>
          <w:b/>
          <w:bCs/>
          <w:color w:val="000000"/>
          <w:kern w:val="0"/>
          <w:sz w:val="24"/>
        </w:rPr>
        <w:t>20%</w:t>
      </w:r>
      <w:r w:rsidRPr="00C601B3">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C601B3"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autoSpaceDE w:val="0"/>
              <w:autoSpaceDN w:val="0"/>
              <w:adjustRightInd w:val="0"/>
              <w:jc w:val="center"/>
              <w:rPr>
                <w:b/>
                <w:bCs/>
                <w:color w:val="000000"/>
                <w:kern w:val="0"/>
                <w:sz w:val="24"/>
              </w:rPr>
            </w:pPr>
            <w:r w:rsidRPr="00C601B3">
              <w:rPr>
                <w:color w:val="000000"/>
                <w:kern w:val="0"/>
                <w:sz w:val="24"/>
              </w:rPr>
              <w:t>投资者类别</w:t>
            </w:r>
            <w:r w:rsidRPr="00C601B3">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autoSpaceDE w:val="0"/>
              <w:autoSpaceDN w:val="0"/>
              <w:adjustRightInd w:val="0"/>
              <w:jc w:val="center"/>
              <w:rPr>
                <w:b/>
                <w:bCs/>
                <w:color w:val="000000"/>
                <w:kern w:val="0"/>
                <w:sz w:val="24"/>
              </w:rPr>
            </w:pPr>
            <w:r w:rsidRPr="00C601B3">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autoSpaceDE w:val="0"/>
              <w:autoSpaceDN w:val="0"/>
              <w:adjustRightInd w:val="0"/>
              <w:jc w:val="center"/>
              <w:rPr>
                <w:b/>
                <w:bCs/>
                <w:color w:val="000000"/>
                <w:kern w:val="0"/>
                <w:sz w:val="24"/>
              </w:rPr>
            </w:pPr>
            <w:r w:rsidRPr="00C601B3">
              <w:rPr>
                <w:color w:val="000000"/>
                <w:kern w:val="0"/>
                <w:sz w:val="24"/>
              </w:rPr>
              <w:t>报告期末持有基金情况</w:t>
            </w:r>
          </w:p>
        </w:tc>
      </w:tr>
      <w:tr w:rsidR="00ED0E09" w:rsidRPr="00C601B3"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autoSpaceDE w:val="0"/>
              <w:autoSpaceDN w:val="0"/>
              <w:adjustRightInd w:val="0"/>
              <w:jc w:val="center"/>
              <w:rPr>
                <w:b/>
                <w:bCs/>
                <w:color w:val="000000"/>
                <w:kern w:val="0"/>
                <w:sz w:val="24"/>
              </w:rPr>
            </w:pPr>
            <w:r w:rsidRPr="00C601B3">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autoSpaceDE w:val="0"/>
              <w:autoSpaceDN w:val="0"/>
              <w:adjustRightInd w:val="0"/>
              <w:jc w:val="center"/>
              <w:rPr>
                <w:b/>
                <w:bCs/>
                <w:color w:val="000000"/>
                <w:kern w:val="0"/>
                <w:sz w:val="24"/>
              </w:rPr>
            </w:pPr>
            <w:r w:rsidRPr="00C601B3">
              <w:rPr>
                <w:color w:val="000000"/>
                <w:kern w:val="0"/>
                <w:sz w:val="24"/>
              </w:rPr>
              <w:t>持有基金份额比例达到或者超过</w:t>
            </w:r>
            <w:r w:rsidRPr="00C601B3">
              <w:rPr>
                <w:color w:val="000000"/>
                <w:kern w:val="0"/>
                <w:sz w:val="24"/>
              </w:rPr>
              <w:t>20%</w:t>
            </w:r>
            <w:r w:rsidRPr="00C601B3">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widowControl/>
              <w:jc w:val="center"/>
              <w:rPr>
                <w:b/>
                <w:bCs/>
                <w:color w:val="000000"/>
                <w:kern w:val="0"/>
                <w:sz w:val="24"/>
              </w:rPr>
            </w:pPr>
            <w:r w:rsidRPr="00C601B3">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widowControl/>
              <w:jc w:val="center"/>
              <w:rPr>
                <w:b/>
                <w:bCs/>
                <w:color w:val="000000"/>
                <w:kern w:val="0"/>
                <w:sz w:val="24"/>
              </w:rPr>
            </w:pPr>
            <w:r w:rsidRPr="00C601B3">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widowControl/>
              <w:jc w:val="center"/>
              <w:rPr>
                <w:b/>
                <w:bCs/>
                <w:color w:val="000000"/>
                <w:kern w:val="0"/>
                <w:sz w:val="24"/>
              </w:rPr>
            </w:pPr>
            <w:r w:rsidRPr="00C601B3">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autoSpaceDE w:val="0"/>
              <w:autoSpaceDN w:val="0"/>
              <w:adjustRightInd w:val="0"/>
              <w:jc w:val="center"/>
              <w:rPr>
                <w:b/>
                <w:bCs/>
                <w:color w:val="000000"/>
                <w:kern w:val="0"/>
                <w:sz w:val="24"/>
              </w:rPr>
            </w:pPr>
            <w:r w:rsidRPr="00C601B3">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C601B3" w:rsidRDefault="00ED0E09">
            <w:pPr>
              <w:autoSpaceDE w:val="0"/>
              <w:autoSpaceDN w:val="0"/>
              <w:adjustRightInd w:val="0"/>
              <w:jc w:val="center"/>
              <w:rPr>
                <w:b/>
                <w:bCs/>
                <w:color w:val="000000"/>
                <w:kern w:val="0"/>
                <w:sz w:val="24"/>
              </w:rPr>
            </w:pPr>
            <w:r w:rsidRPr="00C601B3">
              <w:rPr>
                <w:color w:val="000000"/>
                <w:kern w:val="0"/>
                <w:sz w:val="24"/>
              </w:rPr>
              <w:t>份额占比</w:t>
            </w:r>
          </w:p>
        </w:tc>
      </w:tr>
      <w:tr w:rsidR="00B042CF" w:rsidRPr="00C601B3">
        <w:tc>
          <w:tcPr>
            <w:tcW w:w="992" w:type="dxa"/>
            <w:vMerge w:val="restart"/>
          </w:tcPr>
          <w:p w:rsidR="00B042CF" w:rsidRPr="00C601B3" w:rsidRDefault="00B042CF">
            <w:pPr>
              <w:rPr>
                <w:sz w:val="24"/>
              </w:rPr>
            </w:pPr>
          </w:p>
          <w:p w:rsidR="00B042CF" w:rsidRPr="00C601B3" w:rsidRDefault="00C25250">
            <w:pPr>
              <w:rPr>
                <w:sz w:val="24"/>
              </w:rPr>
            </w:pPr>
            <w:r w:rsidRPr="00C601B3">
              <w:rPr>
                <w:bCs/>
                <w:color w:val="000000"/>
                <w:kern w:val="0"/>
                <w:sz w:val="24"/>
              </w:rPr>
              <w:t>机构</w:t>
            </w:r>
          </w:p>
        </w:tc>
        <w:tc>
          <w:tcPr>
            <w:tcW w:w="991" w:type="dxa"/>
            <w:vAlign w:val="center"/>
          </w:tcPr>
          <w:p w:rsidR="00B042CF" w:rsidRPr="00C601B3" w:rsidRDefault="00C25250">
            <w:pPr>
              <w:jc w:val="center"/>
              <w:rPr>
                <w:sz w:val="24"/>
              </w:rPr>
            </w:pPr>
            <w:r w:rsidRPr="00C601B3">
              <w:rPr>
                <w:color w:val="000000"/>
                <w:kern w:val="0"/>
                <w:sz w:val="24"/>
              </w:rPr>
              <w:t>1</w:t>
            </w:r>
          </w:p>
        </w:tc>
        <w:tc>
          <w:tcPr>
            <w:tcW w:w="1843" w:type="dxa"/>
            <w:vAlign w:val="center"/>
          </w:tcPr>
          <w:p w:rsidR="00B042CF" w:rsidRPr="00C601B3" w:rsidRDefault="00C25250">
            <w:pPr>
              <w:jc w:val="center"/>
              <w:rPr>
                <w:sz w:val="24"/>
              </w:rPr>
            </w:pPr>
            <w:r w:rsidRPr="00C601B3">
              <w:rPr>
                <w:color w:val="000000"/>
                <w:kern w:val="0"/>
                <w:sz w:val="24"/>
              </w:rPr>
              <w:t>2017/4/1-2017/6/30</w:t>
            </w:r>
          </w:p>
        </w:tc>
        <w:tc>
          <w:tcPr>
            <w:tcW w:w="851" w:type="dxa"/>
            <w:vAlign w:val="center"/>
          </w:tcPr>
          <w:p w:rsidR="00B042CF" w:rsidRPr="00C601B3" w:rsidRDefault="00C25250">
            <w:pPr>
              <w:jc w:val="center"/>
              <w:rPr>
                <w:sz w:val="24"/>
              </w:rPr>
            </w:pPr>
            <w:r w:rsidRPr="00C601B3">
              <w:rPr>
                <w:color w:val="000000"/>
                <w:kern w:val="0"/>
                <w:sz w:val="24"/>
              </w:rPr>
              <w:t>1,093,550,141.68</w:t>
            </w:r>
          </w:p>
        </w:tc>
        <w:tc>
          <w:tcPr>
            <w:tcW w:w="850" w:type="dxa"/>
            <w:vAlign w:val="center"/>
          </w:tcPr>
          <w:p w:rsidR="00B042CF" w:rsidRPr="00C601B3" w:rsidRDefault="00C25250">
            <w:pPr>
              <w:jc w:val="center"/>
              <w:rPr>
                <w:sz w:val="24"/>
              </w:rPr>
            </w:pPr>
            <w:r w:rsidRPr="00C601B3">
              <w:rPr>
                <w:color w:val="000000"/>
                <w:kern w:val="0"/>
                <w:sz w:val="24"/>
              </w:rPr>
              <w:t>-</w:t>
            </w:r>
          </w:p>
        </w:tc>
        <w:tc>
          <w:tcPr>
            <w:tcW w:w="1134" w:type="dxa"/>
            <w:vAlign w:val="center"/>
          </w:tcPr>
          <w:p w:rsidR="00B042CF" w:rsidRPr="00C601B3" w:rsidRDefault="00C25250">
            <w:pPr>
              <w:jc w:val="center"/>
              <w:rPr>
                <w:sz w:val="24"/>
              </w:rPr>
            </w:pPr>
            <w:r w:rsidRPr="00C601B3">
              <w:rPr>
                <w:color w:val="000000"/>
                <w:kern w:val="0"/>
                <w:sz w:val="24"/>
              </w:rPr>
              <w:t>-</w:t>
            </w:r>
          </w:p>
        </w:tc>
        <w:tc>
          <w:tcPr>
            <w:tcW w:w="1419" w:type="dxa"/>
            <w:vAlign w:val="center"/>
          </w:tcPr>
          <w:p w:rsidR="00B042CF" w:rsidRPr="00C601B3" w:rsidRDefault="00C25250">
            <w:pPr>
              <w:jc w:val="center"/>
              <w:rPr>
                <w:sz w:val="24"/>
              </w:rPr>
            </w:pPr>
            <w:r w:rsidRPr="00C601B3">
              <w:rPr>
                <w:color w:val="000000"/>
                <w:kern w:val="0"/>
                <w:sz w:val="24"/>
              </w:rPr>
              <w:t>1,093,550,141.68</w:t>
            </w:r>
          </w:p>
        </w:tc>
        <w:tc>
          <w:tcPr>
            <w:tcW w:w="1130" w:type="dxa"/>
            <w:vAlign w:val="center"/>
          </w:tcPr>
          <w:p w:rsidR="00B042CF" w:rsidRPr="00C601B3" w:rsidRDefault="00C25250">
            <w:pPr>
              <w:jc w:val="center"/>
              <w:rPr>
                <w:sz w:val="24"/>
              </w:rPr>
            </w:pPr>
            <w:r w:rsidRPr="00C601B3">
              <w:rPr>
                <w:color w:val="000000"/>
                <w:kern w:val="0"/>
                <w:sz w:val="24"/>
              </w:rPr>
              <w:t>99.40%</w:t>
            </w:r>
          </w:p>
        </w:tc>
      </w:tr>
    </w:tbl>
    <w:p w:rsidR="00ED0E09" w:rsidRPr="00C601B3" w:rsidRDefault="00ED0E09" w:rsidP="00ED0E09">
      <w:pPr>
        <w:autoSpaceDE w:val="0"/>
        <w:autoSpaceDN w:val="0"/>
        <w:adjustRightInd w:val="0"/>
        <w:spacing w:line="360" w:lineRule="auto"/>
        <w:jc w:val="left"/>
        <w:rPr>
          <w:bCs/>
          <w:color w:val="000000"/>
          <w:kern w:val="0"/>
          <w:sz w:val="24"/>
        </w:rPr>
      </w:pPr>
      <w:r w:rsidRPr="00C601B3">
        <w:rPr>
          <w:bCs/>
          <w:color w:val="000000"/>
          <w:kern w:val="0"/>
          <w:sz w:val="24"/>
        </w:rPr>
        <w:t>注：本基金本报告期内出现单一投资者持有基金份额比例超过基金总份额</w:t>
      </w:r>
      <w:r w:rsidRPr="00C601B3">
        <w:rPr>
          <w:bCs/>
          <w:color w:val="000000"/>
          <w:kern w:val="0"/>
          <w:sz w:val="24"/>
        </w:rPr>
        <w:t>20%</w:t>
      </w:r>
      <w:r w:rsidRPr="00C601B3">
        <w:rPr>
          <w:bCs/>
          <w:color w:val="000000"/>
          <w:kern w:val="0"/>
          <w:sz w:val="24"/>
        </w:rPr>
        <w:t>的情况。如该类投资者集中赎回，可能会对本基金带来流动性冲击，从而影响基金的投资运作和</w:t>
      </w:r>
      <w:r w:rsidRPr="00C601B3">
        <w:rPr>
          <w:bCs/>
          <w:color w:val="000000"/>
          <w:kern w:val="0"/>
          <w:sz w:val="24"/>
        </w:rPr>
        <w:lastRenderedPageBreak/>
        <w:t>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042CF" w:rsidRDefault="00C2525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18" w:rsidRDefault="00BA3118">
      <w:r>
        <w:separator/>
      </w:r>
    </w:p>
  </w:endnote>
  <w:endnote w:type="continuationSeparator" w:id="0">
    <w:p w:rsidR="00BA3118" w:rsidRDefault="00BA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233D24">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233D24">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18" w:rsidRDefault="00BA3118">
      <w:r>
        <w:separator/>
      </w:r>
    </w:p>
  </w:footnote>
  <w:footnote w:type="continuationSeparator" w:id="0">
    <w:p w:rsidR="00BA3118" w:rsidRDefault="00BA3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A311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3D24"/>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70B"/>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B46EF"/>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120E"/>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603A"/>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2CF"/>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3118"/>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5250"/>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01B3"/>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AE3CE49-9EF5-47BB-ABF6-3F0A7F341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FE3CB-1297-4ED1-97C6-3FFB29A4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13</Pages>
  <Words>1055</Words>
  <Characters>6014</Characters>
  <Application>Microsoft Office Word</Application>
  <DocSecurity>0</DocSecurity>
  <Lines>50</Lines>
  <Paragraphs>14</Paragraphs>
  <ScaleCrop>false</ScaleCrop>
  <Company>TRT. Ltd. Co.</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373</cp:revision>
  <cp:lastPrinted>2007-07-19T00:46:00Z</cp:lastPrinted>
  <dcterms:created xsi:type="dcterms:W3CDTF">2014-01-17T06:19:00Z</dcterms:created>
  <dcterms:modified xsi:type="dcterms:W3CDTF">2017-07-18T07:20:00Z</dcterms:modified>
</cp:coreProperties>
</file>