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2017年第2季度报告</w:t>
      </w:r>
    </w:p>
    <w:p w:rsidR="004061AC" w:rsidRPr="0081286B" w:rsidRDefault="00655CD8" w:rsidP="00C15CAC">
      <w:pPr>
        <w:spacing w:before="29" w:line="288" w:lineRule="auto"/>
        <w:jc w:val="center"/>
        <w:rPr>
          <w:b/>
          <w:sz w:val="36"/>
          <w:szCs w:val="36"/>
        </w:rPr>
      </w:pPr>
      <w:r w:rsidRPr="0081286B">
        <w:rPr>
          <w:b/>
          <w:sz w:val="36"/>
          <w:szCs w:val="36"/>
        </w:rPr>
        <w:t>2017年6月30日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二〇一七年七月二十日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基金托管人中国农业银行股份有限公司根据本基金合同规定，于2017年7月19日复核了本报告中的财务指标、净值表现和投资组合报告等内容，保证复核内容不存在虚假记载、误导性陈述或者重大遗漏。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 xml:space="preserve">本报告中财务资料未经审计。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本报告期自2017年4月1日起至6月30日止。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gridSpan w:val="2"/>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2015年6月10日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1,023,188,079.13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(2017年4月1日-2017年6月30日)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3,992,737.96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-54,050,537.54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-0.0521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1,039,076,373.70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-4.78%</w:t>
            </w:r>
          </w:p>
        </w:tc>
        <w:tc>
          <w:tcPr>
            <w:vAlign w:val="center"/>
          </w:tcPr>
          <w:p>
            <w:pPr>
              <w:jc w:val="center"/>
            </w:pPr>
            <w:r>
              <w:rPr>
                <w:color w:val="000000"/>
                <w:sz w:val="24"/>
                <w:szCs w:val="24"/>
              </w:rPr>
              <w:t>0.95%</w:t>
            </w:r>
          </w:p>
        </w:tc>
        <w:tc>
          <w:tcPr>
            <w:vAlign w:val="center"/>
          </w:tcPr>
          <w:p>
            <w:pPr>
              <w:jc w:val="center"/>
            </w:pPr>
            <w:r>
              <w:rPr>
                <w:color w:val="000000"/>
                <w:sz w:val="24"/>
                <w:szCs w:val="24"/>
              </w:rPr>
              <w:t>3.75%</w:t>
            </w:r>
          </w:p>
        </w:tc>
        <w:tc>
          <w:tcPr>
            <w:vAlign w:val="center"/>
          </w:tcPr>
          <w:p>
            <w:pPr>
              <w:jc w:val="center"/>
            </w:pPr>
            <w:r>
              <w:rPr>
                <w:color w:val="000000"/>
                <w:sz w:val="24"/>
                <w:szCs w:val="24"/>
              </w:rPr>
              <w:t>0.38%</w:t>
            </w:r>
          </w:p>
        </w:tc>
        <w:tc>
          <w:tcPr>
            <w:vAlign w:val="center"/>
          </w:tcPr>
          <w:p>
            <w:pPr>
              <w:jc w:val="center"/>
            </w:pPr>
            <w:r>
              <w:rPr>
                <w:color w:val="000000"/>
                <w:sz w:val="24"/>
                <w:szCs w:val="24"/>
              </w:rPr>
              <w:t>-8.53%</w:t>
            </w:r>
          </w:p>
        </w:tc>
        <w:tc>
          <w:tcPr>
            <w:vAlign w:val="center"/>
          </w:tcPr>
          <w:p>
            <w:pPr>
              <w:jc w:val="center"/>
            </w:pPr>
            <w:r>
              <w:rPr>
                <w:color w:val="000000"/>
                <w:sz w:val="24"/>
                <w:szCs w:val="24"/>
              </w:rPr>
              <w:t>0.57%</w:t>
            </w:r>
          </w:p>
        </w:tc>
      </w:tr>
    </w:tbl>
    <w:p w:rsidR="004061AC" w:rsidRPr="00414345" w:rsidRDefault="003F39DF"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+40%×中信标普全债指数”变更为“60%×沪深300指数+40%×中证综合债券指数”，3.2.2同。详情见本基金管理人于2015年9月28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2015年6月10日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2017年6月30日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2015-06-10</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2017年二季度，国内经济略有企稳，人民币重回升值态势，整体全球宏观波动较小。市场焦点主要集中在金融监管的加强以及去杠杆进程的延续，这对国内流动性产生一定扰动。我们认为伴随联储加息落地，以及国内金融监管取得阶段性成果，中美利率水平在三季度可能难以持续上行，这或将对A股市场产生一定正面作用。</w:t>
      </w:r>
    </w:p>
    <w:p>
      <w:pPr>
        <w:spacing w:before="29" w:line="288" w:lineRule="auto"/>
        <w:ind w:firstLineChars="200" w:firstLine="480"/>
        <w:rPr>
          <w:color w:val="000000"/>
          <w:sz w:val="24"/>
          <w:szCs w:val="24"/>
        </w:rPr>
      </w:pPr>
      <w:r>
        <w:rPr>
          <w:color w:val="000000"/>
          <w:sz w:val="24"/>
          <w:szCs w:val="24"/>
        </w:rPr>
        <w:t>国企改革在部分地区如山东、天津等地仍在大力推进，央企整合也在有条不紊地继续进行。我们预期十九大前，整体改革政策将以稳定为主，预计不会有太大的实质性突破。但我们也认为目前市场对改革的预期仍然较低，未来随着各地陆续推出相关改革方案，国企改革投资仍大有可为。</w:t>
      </w:r>
    </w:p>
    <w:p>
      <w:pPr>
        <w:spacing w:before="29" w:line="288" w:lineRule="auto"/>
        <w:ind w:firstLineChars="200" w:firstLine="480"/>
        <w:rPr>
          <w:color w:val="000000"/>
          <w:sz w:val="24"/>
          <w:szCs w:val="24"/>
        </w:rPr>
      </w:pPr>
      <w:r>
        <w:rPr>
          <w:color w:val="000000"/>
          <w:sz w:val="24"/>
          <w:szCs w:val="24"/>
        </w:rPr>
        <w:t>二季度整体国企改革类上市公司除部分行业龙头外，股价均受系统性估值下移的影响而表现较差。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半年，我们认为重点区域的改革试点值得重点关注，混改和员工持股计划的实施仍是核心看点。考虑到三季度利率难以持续上行，我们对整体市场保持积极的看法。本基金仍将综合判断潜在的改革试点突破口，更多投资于上市国有企业中管理出现积极变化、机制完善、加大投入和转型的决心以及受益整体改革进程的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截至2017年6月30日，本基金份额净值为1.016元，本报告期份额净值增长率为-4.78%，同期业绩比较基准增长率为3.75%。</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810,007,693.65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810,007,693.65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49,960,000.00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172,679,342.99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11,745,465.70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1,044,392,502.34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18,444,742.00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47,462,018.78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455,773,025.86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49,601,279.00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16,022,228.84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47,149,936.66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4.54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30,332,856.12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10,412,906.88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33,080,049.71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44,686,184.32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57,000,618.36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41,847.12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810,007,693.65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77.95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000949</w:t>
            </w:r>
          </w:p>
        </w:tc>
        <w:tc>
          <w:tcPr>
            <w:vAlign w:val="center"/>
          </w:tcPr>
          <w:p>
            <w:pPr>
              <w:jc w:val="center"/>
            </w:pPr>
            <w:r>
              <w:rPr>
                <w:color w:val="000000"/>
                <w:sz w:val="24"/>
                <w:szCs w:val="24"/>
              </w:rPr>
              <w:t>新乡化纤</w:t>
            </w:r>
          </w:p>
        </w:tc>
        <w:tc>
          <w:tcPr>
            <w:vAlign w:val="center"/>
          </w:tcPr>
          <w:p>
            <w:pPr>
              <w:jc w:val="right"/>
            </w:pPr>
            <w:r>
              <w:rPr>
                <w:color w:val="000000"/>
                <w:sz w:val="24"/>
                <w:szCs w:val="24"/>
              </w:rPr>
              <w:t>10,673,143</w:t>
            </w:r>
          </w:p>
        </w:tc>
        <w:tc>
          <w:tcPr>
            <w:vAlign w:val="center"/>
          </w:tcPr>
          <w:p>
            <w:pPr>
              <w:jc w:val="right"/>
            </w:pPr>
            <w:r>
              <w:rPr>
                <w:color w:val="000000"/>
                <w:sz w:val="24"/>
                <w:szCs w:val="24"/>
              </w:rPr>
              <w:t>49,309,920.66</w:t>
            </w:r>
          </w:p>
        </w:tc>
        <w:tc>
          <w:tcPr>
            <w:vAlign w:val="center"/>
          </w:tcPr>
          <w:p>
            <w:pPr>
              <w:jc w:val="right"/>
            </w:pPr>
            <w:r>
              <w:rPr>
                <w:color w:val="000000"/>
                <w:sz w:val="24"/>
                <w:szCs w:val="24"/>
              </w:rPr>
              <w:t>4.75</w:t>
            </w:r>
          </w:p>
        </w:tc>
      </w:tr>
      <w:tr>
        <w:tc>
          <w:tcPr>
            <w:vAlign w:val="center"/>
          </w:tcPr>
          <w:p>
            <w:pPr>
              <w:jc w:val="center"/>
            </w:pPr>
            <w:r>
              <w:rPr>
                <w:color w:val="000000"/>
                <w:sz w:val="24"/>
                <w:szCs w:val="24"/>
              </w:rPr>
              <w:t>2</w:t>
            </w:r>
          </w:p>
        </w:tc>
        <w:tc>
          <w:tcPr>
            <w:vAlign w:val="center"/>
          </w:tcPr>
          <w:p>
            <w:pPr>
              <w:jc w:val="center"/>
            </w:pPr>
            <w:r>
              <w:rPr>
                <w:color w:val="000000"/>
                <w:sz w:val="24"/>
                <w:szCs w:val="24"/>
              </w:rPr>
              <w:t>600500</w:t>
            </w:r>
          </w:p>
        </w:tc>
        <w:tc>
          <w:tcPr>
            <w:vAlign w:val="center"/>
          </w:tcPr>
          <w:p>
            <w:pPr>
              <w:jc w:val="center"/>
            </w:pPr>
            <w:r>
              <w:rPr>
                <w:color w:val="000000"/>
                <w:sz w:val="24"/>
                <w:szCs w:val="24"/>
              </w:rPr>
              <w:t>中化国际</w:t>
            </w:r>
          </w:p>
        </w:tc>
        <w:tc>
          <w:tcPr>
            <w:vAlign w:val="center"/>
          </w:tcPr>
          <w:p>
            <w:pPr>
              <w:jc w:val="right"/>
            </w:pPr>
            <w:r>
              <w:rPr>
                <w:color w:val="000000"/>
                <w:sz w:val="24"/>
                <w:szCs w:val="24"/>
              </w:rPr>
              <w:t>4,645,712</w:t>
            </w:r>
          </w:p>
        </w:tc>
        <w:tc>
          <w:tcPr>
            <w:vAlign w:val="center"/>
          </w:tcPr>
          <w:p>
            <w:pPr>
              <w:jc w:val="right"/>
            </w:pPr>
            <w:r>
              <w:rPr>
                <w:color w:val="000000"/>
                <w:sz w:val="24"/>
                <w:szCs w:val="24"/>
              </w:rPr>
              <w:t>44,413,006.72</w:t>
            </w:r>
          </w:p>
        </w:tc>
        <w:tc>
          <w:tcPr>
            <w:vAlign w:val="center"/>
          </w:tcPr>
          <w:p>
            <w:pPr>
              <w:jc w:val="right"/>
            </w:pPr>
            <w:r>
              <w:rPr>
                <w:color w:val="000000"/>
                <w:sz w:val="24"/>
                <w:szCs w:val="24"/>
              </w:rPr>
              <w:t>4.27</w:t>
            </w:r>
          </w:p>
        </w:tc>
      </w:tr>
      <w:tr>
        <w:tc>
          <w:tcPr>
            <w:vAlign w:val="center"/>
          </w:tcPr>
          <w:p>
            <w:pPr>
              <w:jc w:val="center"/>
            </w:pPr>
            <w:r>
              <w:rPr>
                <w:color w:val="000000"/>
                <w:sz w:val="24"/>
                <w:szCs w:val="24"/>
              </w:rPr>
              <w:t>3</w:t>
            </w:r>
          </w:p>
        </w:tc>
        <w:tc>
          <w:tcPr>
            <w:vAlign w:val="center"/>
          </w:tcPr>
          <w:p>
            <w:pPr>
              <w:jc w:val="center"/>
            </w:pPr>
            <w:r>
              <w:rPr>
                <w:color w:val="000000"/>
                <w:sz w:val="24"/>
                <w:szCs w:val="24"/>
              </w:rPr>
              <w:t>000983</w:t>
            </w:r>
          </w:p>
        </w:tc>
        <w:tc>
          <w:tcPr>
            <w:vAlign w:val="center"/>
          </w:tcPr>
          <w:p>
            <w:pPr>
              <w:jc w:val="center"/>
            </w:pPr>
            <w:r>
              <w:rPr>
                <w:color w:val="000000"/>
                <w:sz w:val="24"/>
                <w:szCs w:val="24"/>
              </w:rPr>
              <w:t>西山煤电</w:t>
            </w:r>
          </w:p>
        </w:tc>
        <w:tc>
          <w:tcPr>
            <w:vAlign w:val="center"/>
          </w:tcPr>
          <w:p>
            <w:pPr>
              <w:jc w:val="right"/>
            </w:pPr>
            <w:r>
              <w:rPr>
                <w:color w:val="000000"/>
                <w:sz w:val="24"/>
                <w:szCs w:val="24"/>
              </w:rPr>
              <w:t>4,136,814</w:t>
            </w:r>
          </w:p>
        </w:tc>
        <w:tc>
          <w:tcPr>
            <w:vAlign w:val="center"/>
          </w:tcPr>
          <w:p>
            <w:pPr>
              <w:jc w:val="right"/>
            </w:pPr>
            <w:r>
              <w:rPr>
                <w:color w:val="000000"/>
                <w:sz w:val="24"/>
                <w:szCs w:val="24"/>
              </w:rPr>
              <w:t>36,279,858.78</w:t>
            </w:r>
          </w:p>
        </w:tc>
        <w:tc>
          <w:tcPr>
            <w:vAlign w:val="center"/>
          </w:tcPr>
          <w:p>
            <w:pPr>
              <w:jc w:val="right"/>
            </w:pPr>
            <w:r>
              <w:rPr>
                <w:color w:val="000000"/>
                <w:sz w:val="24"/>
                <w:szCs w:val="24"/>
              </w:rPr>
              <w:t>3.49</w:t>
            </w:r>
          </w:p>
        </w:tc>
      </w:tr>
      <w:tr>
        <w:tc>
          <w:tcPr>
            <w:vAlign w:val="center"/>
          </w:tcPr>
          <w:p>
            <w:pPr>
              <w:jc w:val="center"/>
            </w:pPr>
            <w:r>
              <w:rPr>
                <w:color w:val="000000"/>
                <w:sz w:val="24"/>
                <w:szCs w:val="24"/>
              </w:rPr>
              <w:t>4</w:t>
            </w:r>
          </w:p>
        </w:tc>
        <w:tc>
          <w:tcPr>
            <w:vAlign w:val="center"/>
          </w:tcPr>
          <w:p>
            <w:pPr>
              <w:jc w:val="center"/>
            </w:pPr>
            <w:r>
              <w:rPr>
                <w:color w:val="000000"/>
                <w:sz w:val="24"/>
                <w:szCs w:val="24"/>
              </w:rPr>
              <w:t>002202</w:t>
            </w:r>
          </w:p>
        </w:tc>
        <w:tc>
          <w:tcPr>
            <w:vAlign w:val="center"/>
          </w:tcPr>
          <w:p>
            <w:pPr>
              <w:jc w:val="center"/>
            </w:pPr>
            <w:r>
              <w:rPr>
                <w:color w:val="000000"/>
                <w:sz w:val="24"/>
                <w:szCs w:val="24"/>
              </w:rPr>
              <w:t>金风科技</w:t>
            </w:r>
          </w:p>
        </w:tc>
        <w:tc>
          <w:tcPr>
            <w:vAlign w:val="center"/>
          </w:tcPr>
          <w:p>
            <w:pPr>
              <w:jc w:val="right"/>
            </w:pPr>
            <w:r>
              <w:rPr>
                <w:color w:val="000000"/>
                <w:sz w:val="24"/>
                <w:szCs w:val="24"/>
              </w:rPr>
              <w:t>2,200,000</w:t>
            </w:r>
          </w:p>
        </w:tc>
        <w:tc>
          <w:tcPr>
            <w:vAlign w:val="center"/>
          </w:tcPr>
          <w:p>
            <w:pPr>
              <w:jc w:val="right"/>
            </w:pPr>
            <w:r>
              <w:rPr>
                <w:color w:val="000000"/>
                <w:sz w:val="24"/>
                <w:szCs w:val="24"/>
              </w:rPr>
              <w:t>34,034,000.00</w:t>
            </w:r>
          </w:p>
        </w:tc>
        <w:tc>
          <w:tcPr>
            <w:vAlign w:val="center"/>
          </w:tcPr>
          <w:p>
            <w:pPr>
              <w:jc w:val="right"/>
            </w:pPr>
            <w:r>
              <w:rPr>
                <w:color w:val="000000"/>
                <w:sz w:val="24"/>
                <w:szCs w:val="24"/>
              </w:rPr>
              <w:t>3.28</w:t>
            </w:r>
          </w:p>
        </w:tc>
      </w:tr>
      <w:tr>
        <w:tc>
          <w:tcPr>
            <w:vAlign w:val="center"/>
          </w:tcPr>
          <w:p>
            <w:pPr>
              <w:jc w:val="center"/>
            </w:pPr>
            <w:r>
              <w:rPr>
                <w:color w:val="000000"/>
                <w:sz w:val="24"/>
                <w:szCs w:val="24"/>
              </w:rPr>
              <w:t>5</w:t>
            </w:r>
          </w:p>
        </w:tc>
        <w:tc>
          <w:tcPr>
            <w:vAlign w:val="center"/>
          </w:tcPr>
          <w:p>
            <w:pPr>
              <w:jc w:val="center"/>
            </w:pPr>
            <w:r>
              <w:rPr>
                <w:color w:val="000000"/>
                <w:sz w:val="24"/>
                <w:szCs w:val="24"/>
              </w:rPr>
              <w:t>600310</w:t>
            </w:r>
          </w:p>
        </w:tc>
        <w:tc>
          <w:tcPr>
            <w:vAlign w:val="center"/>
          </w:tcPr>
          <w:p>
            <w:pPr>
              <w:jc w:val="center"/>
            </w:pPr>
            <w:r>
              <w:rPr>
                <w:color w:val="000000"/>
                <w:sz w:val="24"/>
                <w:szCs w:val="24"/>
              </w:rPr>
              <w:t>桂东电力</w:t>
            </w:r>
          </w:p>
        </w:tc>
        <w:tc>
          <w:tcPr>
            <w:vAlign w:val="center"/>
          </w:tcPr>
          <w:p>
            <w:pPr>
              <w:jc w:val="right"/>
            </w:pPr>
            <w:r>
              <w:rPr>
                <w:color w:val="000000"/>
                <w:sz w:val="24"/>
                <w:szCs w:val="24"/>
              </w:rPr>
              <w:t>4,337,900</w:t>
            </w:r>
          </w:p>
        </w:tc>
        <w:tc>
          <w:tcPr>
            <w:vAlign w:val="center"/>
          </w:tcPr>
          <w:p>
            <w:pPr>
              <w:jc w:val="right"/>
            </w:pPr>
            <w:r>
              <w:rPr>
                <w:color w:val="000000"/>
                <w:sz w:val="24"/>
                <w:szCs w:val="24"/>
              </w:rPr>
              <w:t>29,757,994.00</w:t>
            </w:r>
          </w:p>
        </w:tc>
        <w:tc>
          <w:tcPr>
            <w:vAlign w:val="center"/>
          </w:tcPr>
          <w:p>
            <w:pPr>
              <w:jc w:val="right"/>
            </w:pPr>
            <w:r>
              <w:rPr>
                <w:color w:val="000000"/>
                <w:sz w:val="24"/>
                <w:szCs w:val="24"/>
              </w:rPr>
              <w:t>2.86</w:t>
            </w:r>
          </w:p>
        </w:tc>
      </w:tr>
      <w:tr>
        <w:tc>
          <w:tcPr>
            <w:vAlign w:val="center"/>
          </w:tcPr>
          <w:p>
            <w:pPr>
              <w:jc w:val="center"/>
            </w:pPr>
            <w:r>
              <w:rPr>
                <w:color w:val="000000"/>
                <w:sz w:val="24"/>
                <w:szCs w:val="24"/>
              </w:rPr>
              <w:t>6</w:t>
            </w:r>
          </w:p>
        </w:tc>
        <w:tc>
          <w:tcPr>
            <w:vAlign w:val="center"/>
          </w:tcPr>
          <w:p>
            <w:pPr>
              <w:jc w:val="center"/>
            </w:pPr>
            <w:r>
              <w:rPr>
                <w:color w:val="000000"/>
                <w:sz w:val="24"/>
                <w:szCs w:val="24"/>
              </w:rPr>
              <w:t>000031</w:t>
            </w:r>
          </w:p>
        </w:tc>
        <w:tc>
          <w:tcPr>
            <w:vAlign w:val="center"/>
          </w:tcPr>
          <w:p>
            <w:pPr>
              <w:jc w:val="center"/>
            </w:pPr>
            <w:r>
              <w:rPr>
                <w:color w:val="000000"/>
                <w:sz w:val="24"/>
                <w:szCs w:val="24"/>
              </w:rPr>
              <w:t>中粮地产</w:t>
            </w:r>
          </w:p>
        </w:tc>
        <w:tc>
          <w:tcPr>
            <w:vAlign w:val="center"/>
          </w:tcPr>
          <w:p>
            <w:pPr>
              <w:jc w:val="right"/>
            </w:pPr>
            <w:r>
              <w:rPr>
                <w:color w:val="000000"/>
                <w:sz w:val="24"/>
                <w:szCs w:val="24"/>
              </w:rPr>
              <w:t>3,750,800</w:t>
            </w:r>
          </w:p>
        </w:tc>
        <w:tc>
          <w:tcPr>
            <w:vAlign w:val="center"/>
          </w:tcPr>
          <w:p>
            <w:pPr>
              <w:jc w:val="right"/>
            </w:pPr>
            <w:r>
              <w:rPr>
                <w:color w:val="000000"/>
                <w:sz w:val="24"/>
                <w:szCs w:val="24"/>
              </w:rPr>
              <w:t>28,243,524.00</w:t>
            </w:r>
          </w:p>
        </w:tc>
        <w:tc>
          <w:tcPr>
            <w:vAlign w:val="center"/>
          </w:tcPr>
          <w:p>
            <w:pPr>
              <w:jc w:val="right"/>
            </w:pPr>
            <w:r>
              <w:rPr>
                <w:color w:val="000000"/>
                <w:sz w:val="24"/>
                <w:szCs w:val="24"/>
              </w:rPr>
              <w:t>2.72</w:t>
            </w:r>
          </w:p>
        </w:tc>
      </w:tr>
      <w:tr>
        <w:tc>
          <w:tcPr>
            <w:vAlign w:val="center"/>
          </w:tcPr>
          <w:p>
            <w:pPr>
              <w:jc w:val="center"/>
            </w:pPr>
            <w:r>
              <w:rPr>
                <w:color w:val="000000"/>
                <w:sz w:val="24"/>
                <w:szCs w:val="24"/>
              </w:rPr>
              <w:t>7</w:t>
            </w:r>
          </w:p>
        </w:tc>
        <w:tc>
          <w:tcPr>
            <w:vAlign w:val="center"/>
          </w:tcPr>
          <w:p>
            <w:pPr>
              <w:jc w:val="center"/>
            </w:pPr>
            <w:r>
              <w:rPr>
                <w:color w:val="000000"/>
                <w:sz w:val="24"/>
                <w:szCs w:val="24"/>
              </w:rPr>
              <w:t>300161</w:t>
            </w:r>
          </w:p>
        </w:tc>
        <w:tc>
          <w:tcPr>
            <w:vAlign w:val="center"/>
          </w:tcPr>
          <w:p>
            <w:pPr>
              <w:jc w:val="center"/>
            </w:pPr>
            <w:r>
              <w:rPr>
                <w:color w:val="000000"/>
                <w:sz w:val="24"/>
                <w:szCs w:val="24"/>
              </w:rPr>
              <w:t>华中数控</w:t>
            </w:r>
          </w:p>
        </w:tc>
        <w:tc>
          <w:tcPr>
            <w:vAlign w:val="center"/>
          </w:tcPr>
          <w:p>
            <w:pPr>
              <w:jc w:val="right"/>
            </w:pPr>
            <w:r>
              <w:rPr>
                <w:color w:val="000000"/>
                <w:sz w:val="24"/>
                <w:szCs w:val="24"/>
              </w:rPr>
              <w:t>1,291,262</w:t>
            </w:r>
          </w:p>
        </w:tc>
        <w:tc>
          <w:tcPr>
            <w:vAlign w:val="center"/>
          </w:tcPr>
          <w:p>
            <w:pPr>
              <w:jc w:val="right"/>
            </w:pPr>
            <w:r>
              <w:rPr>
                <w:color w:val="000000"/>
                <w:sz w:val="24"/>
                <w:szCs w:val="24"/>
              </w:rPr>
              <w:t>24,637,278.96</w:t>
            </w:r>
          </w:p>
        </w:tc>
        <w:tc>
          <w:tcPr>
            <w:vAlign w:val="center"/>
          </w:tcPr>
          <w:p>
            <w:pPr>
              <w:jc w:val="right"/>
            </w:pPr>
            <w:r>
              <w:rPr>
                <w:color w:val="000000"/>
                <w:sz w:val="24"/>
                <w:szCs w:val="24"/>
              </w:rPr>
              <w:t>2.37</w:t>
            </w:r>
          </w:p>
        </w:tc>
      </w:tr>
      <w:tr>
        <w:tc>
          <w:tcPr>
            <w:vAlign w:val="center"/>
          </w:tcPr>
          <w:p>
            <w:pPr>
              <w:jc w:val="center"/>
            </w:pPr>
            <w:r>
              <w:rPr>
                <w:color w:val="000000"/>
                <w:sz w:val="24"/>
                <w:szCs w:val="24"/>
              </w:rPr>
              <w:t>8</w:t>
            </w:r>
          </w:p>
        </w:tc>
        <w:tc>
          <w:tcPr>
            <w:vAlign w:val="center"/>
          </w:tcPr>
          <w:p>
            <w:pPr>
              <w:jc w:val="center"/>
            </w:pPr>
            <w:r>
              <w:rPr>
                <w:color w:val="000000"/>
                <w:sz w:val="24"/>
                <w:szCs w:val="24"/>
              </w:rPr>
              <w:t>600153</w:t>
            </w:r>
          </w:p>
        </w:tc>
        <w:tc>
          <w:tcPr>
            <w:vAlign w:val="center"/>
          </w:tcPr>
          <w:p>
            <w:pPr>
              <w:jc w:val="center"/>
            </w:pPr>
            <w:r>
              <w:rPr>
                <w:color w:val="000000"/>
                <w:sz w:val="24"/>
                <w:szCs w:val="24"/>
              </w:rPr>
              <w:t>建发股份</w:t>
            </w:r>
          </w:p>
        </w:tc>
        <w:tc>
          <w:tcPr>
            <w:vAlign w:val="center"/>
          </w:tcPr>
          <w:p>
            <w:pPr>
              <w:jc w:val="right"/>
            </w:pPr>
            <w:r>
              <w:rPr>
                <w:color w:val="000000"/>
                <w:sz w:val="24"/>
                <w:szCs w:val="24"/>
              </w:rPr>
              <w:t>1,880,027</w:t>
            </w:r>
          </w:p>
        </w:tc>
        <w:tc>
          <w:tcPr>
            <w:vAlign w:val="center"/>
          </w:tcPr>
          <w:p>
            <w:pPr>
              <w:jc w:val="right"/>
            </w:pPr>
            <w:r>
              <w:rPr>
                <w:color w:val="000000"/>
                <w:sz w:val="24"/>
                <w:szCs w:val="24"/>
              </w:rPr>
              <w:t>24,308,749.11</w:t>
            </w:r>
          </w:p>
        </w:tc>
        <w:tc>
          <w:tcPr>
            <w:vAlign w:val="center"/>
          </w:tcPr>
          <w:p>
            <w:pPr>
              <w:jc w:val="right"/>
            </w:pPr>
            <w:r>
              <w:rPr>
                <w:color w:val="000000"/>
                <w:sz w:val="24"/>
                <w:szCs w:val="24"/>
              </w:rPr>
              <w:t>2.34</w:t>
            </w:r>
          </w:p>
        </w:tc>
      </w:tr>
      <w:tr>
        <w:tc>
          <w:tcPr>
            <w:vAlign w:val="center"/>
          </w:tcPr>
          <w:p>
            <w:pPr>
              <w:jc w:val="center"/>
            </w:pPr>
            <w:r>
              <w:rPr>
                <w:color w:val="000000"/>
                <w:sz w:val="24"/>
                <w:szCs w:val="24"/>
              </w:rPr>
              <w:t>9</w:t>
            </w:r>
          </w:p>
        </w:tc>
        <w:tc>
          <w:tcPr>
            <w:vAlign w:val="center"/>
          </w:tcPr>
          <w:p>
            <w:pPr>
              <w:jc w:val="center"/>
            </w:pPr>
            <w:r>
              <w:rPr>
                <w:color w:val="000000"/>
                <w:sz w:val="24"/>
                <w:szCs w:val="24"/>
              </w:rPr>
              <w:t>601009</w:t>
            </w:r>
          </w:p>
        </w:tc>
        <w:tc>
          <w:tcPr>
            <w:vAlign w:val="center"/>
          </w:tcPr>
          <w:p>
            <w:pPr>
              <w:jc w:val="center"/>
            </w:pPr>
            <w:r>
              <w:rPr>
                <w:color w:val="000000"/>
                <w:sz w:val="24"/>
                <w:szCs w:val="24"/>
              </w:rPr>
              <w:t>南京银行</w:t>
            </w:r>
          </w:p>
        </w:tc>
        <w:tc>
          <w:tcPr>
            <w:vAlign w:val="center"/>
          </w:tcPr>
          <w:p>
            <w:pPr>
              <w:jc w:val="right"/>
            </w:pPr>
            <w:r>
              <w:rPr>
                <w:color w:val="000000"/>
                <w:sz w:val="24"/>
                <w:szCs w:val="24"/>
              </w:rPr>
              <w:t>2,066,300</w:t>
            </w:r>
          </w:p>
        </w:tc>
        <w:tc>
          <w:tcPr>
            <w:vAlign w:val="center"/>
          </w:tcPr>
          <w:p>
            <w:pPr>
              <w:jc w:val="right"/>
            </w:pPr>
            <w:r>
              <w:rPr>
                <w:color w:val="000000"/>
                <w:sz w:val="24"/>
                <w:szCs w:val="24"/>
              </w:rPr>
              <w:t>23,163,223.00</w:t>
            </w:r>
          </w:p>
        </w:tc>
        <w:tc>
          <w:tcPr>
            <w:vAlign w:val="center"/>
          </w:tcPr>
          <w:p>
            <w:pPr>
              <w:jc w:val="right"/>
            </w:pPr>
            <w:r>
              <w:rPr>
                <w:color w:val="000000"/>
                <w:sz w:val="24"/>
                <w:szCs w:val="24"/>
              </w:rPr>
              <w:t>2.23</w:t>
            </w:r>
          </w:p>
        </w:tc>
      </w:tr>
      <w:tr>
        <w:tc>
          <w:tcPr>
            <w:vAlign w:val="center"/>
          </w:tcPr>
          <w:p>
            <w:pPr>
              <w:jc w:val="center"/>
            </w:pPr>
            <w:r>
              <w:rPr>
                <w:color w:val="000000"/>
                <w:sz w:val="24"/>
                <w:szCs w:val="24"/>
              </w:rPr>
              <w:t>10</w:t>
            </w:r>
          </w:p>
        </w:tc>
        <w:tc>
          <w:tcPr>
            <w:vAlign w:val="center"/>
          </w:tcPr>
          <w:p>
            <w:pPr>
              <w:jc w:val="center"/>
            </w:pPr>
            <w:r>
              <w:rPr>
                <w:color w:val="000000"/>
                <w:sz w:val="24"/>
                <w:szCs w:val="24"/>
              </w:rPr>
              <w:t>000050</w:t>
            </w:r>
          </w:p>
        </w:tc>
        <w:tc>
          <w:tcPr>
            <w:vAlign w:val="center"/>
          </w:tcPr>
          <w:p>
            <w:pPr>
              <w:jc w:val="center"/>
            </w:pPr>
            <w:r>
              <w:rPr>
                <w:color w:val="000000"/>
                <w:sz w:val="24"/>
                <w:szCs w:val="24"/>
              </w:rPr>
              <w:t>深天马Ａ</w:t>
            </w:r>
          </w:p>
        </w:tc>
        <w:tc>
          <w:tcPr>
            <w:vAlign w:val="center"/>
          </w:tcPr>
          <w:p>
            <w:pPr>
              <w:jc w:val="right"/>
            </w:pPr>
            <w:r>
              <w:rPr>
                <w:color w:val="000000"/>
                <w:sz w:val="24"/>
                <w:szCs w:val="24"/>
              </w:rPr>
              <w:t>1,081,300</w:t>
            </w:r>
          </w:p>
        </w:tc>
        <w:tc>
          <w:tcPr>
            <w:vAlign w:val="center"/>
          </w:tcPr>
          <w:p>
            <w:pPr>
              <w:jc w:val="right"/>
            </w:pPr>
            <w:r>
              <w:rPr>
                <w:color w:val="000000"/>
                <w:sz w:val="24"/>
                <w:szCs w:val="24"/>
              </w:rPr>
              <w:t>22,242,341.00</w:t>
            </w:r>
          </w:p>
        </w:tc>
        <w:tc>
          <w:tcPr>
            <w:vAlign w:val="center"/>
          </w:tcPr>
          <w:p>
            <w:pPr>
              <w:jc w:val="right"/>
            </w:pPr>
            <w:r>
              <w:rPr>
                <w:color w:val="000000"/>
                <w:sz w:val="24"/>
                <w:szCs w:val="24"/>
              </w:rPr>
              <w:t>2.14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160308</w:t>
            </w:r>
          </w:p>
        </w:tc>
        <w:tc>
          <w:tcPr>
            <w:vAlign w:val="center"/>
          </w:tcPr>
          <w:p>
            <w:pPr>
              <w:jc w:val="center"/>
            </w:pPr>
            <w:r>
              <w:rPr>
                <w:color w:val="000000"/>
                <w:sz w:val="24"/>
                <w:szCs w:val="24"/>
              </w:rPr>
              <w:t>16进出08</w:t>
            </w:r>
          </w:p>
        </w:tc>
        <w:tc>
          <w:tcPr>
            <w:vAlign w:val="center"/>
          </w:tcPr>
          <w:p>
            <w:pPr>
              <w:jc w:val="right"/>
            </w:pPr>
            <w:r>
              <w:rPr>
                <w:color w:val="000000"/>
                <w:sz w:val="24"/>
                <w:szCs w:val="24"/>
              </w:rPr>
              <w:t>500,000</w:t>
            </w:r>
          </w:p>
        </w:tc>
        <w:tc>
          <w:tcPr>
            <w:vAlign w:val="center"/>
          </w:tcPr>
          <w:p>
            <w:pPr>
              <w:jc w:val="right"/>
            </w:pPr>
            <w:r>
              <w:rPr>
                <w:color w:val="000000"/>
                <w:sz w:val="24"/>
                <w:szCs w:val="24"/>
              </w:rPr>
              <w:t>49,960,000.00</w:t>
            </w:r>
          </w:p>
        </w:tc>
        <w:tc>
          <w:tcPr>
            <w:vAlign w:val="center"/>
          </w:tcPr>
          <w:p>
            <w:pPr>
              <w:jc w:val="right"/>
            </w:pPr>
            <w:r>
              <w:rPr>
                <w:color w:val="000000"/>
                <w:sz w:val="24"/>
                <w:szCs w:val="24"/>
              </w:rPr>
              <w:t>4.81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A96A94" w:rsidRPr="00414345" w:rsidRDefault="00733DDD"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96A94" w:rsidRPr="00414345">
        <w:rPr>
          <w:b/>
          <w:bCs/>
          <w:color w:val="000000"/>
          <w:kern w:val="0"/>
          <w:sz w:val="24"/>
          <w:szCs w:val="24"/>
        </w:rPr>
        <w:t/>
      </w:r>
      <w:r w:rsidR="003259C8" w:rsidRPr="00414345">
        <w:rPr>
          <w:b/>
          <w:bCs/>
          <w:color w:val="000000"/>
          <w:kern w:val="0"/>
          <w:sz w:val="24"/>
          <w:szCs w:val="24"/>
        </w:rPr>
        <w:t>5</w:t>
      </w:r>
      <w:r w:rsidR="0059076B" w:rsidRPr="00414345">
        <w:rPr>
          <w:b/>
          <w:bCs/>
          <w:color w:val="000000"/>
          <w:kern w:val="0"/>
          <w:sz w:val="24"/>
          <w:szCs w:val="24"/>
        </w:rPr>
        <w:t>.9.1</w:t>
      </w:r>
      <w:r w:rsidR="00A96A94" w:rsidRPr="00414345">
        <w:rPr>
          <w:b/>
          <w:bCs/>
          <w:color w:val="000000"/>
          <w:kern w:val="0"/>
          <w:sz w:val="24"/>
          <w:szCs w:val="24"/>
        </w:rPr>
        <w:t>报告期末本基金投资的股指期货持仓和损益明细</w:t>
      </w:r>
      <w:r w:rsidR="007815D8" w:rsidRPr="00414345">
        <w:rPr>
          <w:rFonts w:eastAsiaTheme="minorEastAsia"/>
          <w:b/>
          <w:sz w:val="24"/>
        </w:rPr>
        <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r w:rsidR="00A83500" w:rsidRPr="00414345">
              <w:rPr>
                <w:rFonts w:ascii="Times New Roman" w:hAnsi="Times New Roman" w:cs="Times New Roman"/>
                <w:b/>
              </w:rPr>
              <w:t/>
            </w:r>
            <w:r w:rsidR="00A83500" w:rsidRPr="00414345">
              <w:rPr>
                <w:rFonts w:ascii="Times New Roman" w:hAnsi="Times New Roman" w:cs="Times New Roman"/>
              </w:rPr>
              <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tc>
          <w:tcPr>
            <w:vAlign w:val="center"/>
          </w:tcPr>
          <w:p>
            <w:pPr>
              <w:jc w:val="center"/>
            </w:pPr>
            <w:r>
              <w:rPr>
                <w:rFonts w:ascii="Times New Roman" w:hAnsi="Times New Roman" w:cs="Times New Roman"/>
              </w:rPr>
              <w:t>IC1709</w:t>
            </w:r>
          </w:p>
        </w:tc>
        <w:tc>
          <w:tcPr>
            <w:vAlign w:val="center"/>
          </w:tcPr>
          <w:p>
            <w:pPr>
              <w:jc w:val="left"/>
            </w:pPr>
            <w:r>
              <w:rPr>
                <w:rFonts w:ascii="Times New Roman" w:hAnsi="Times New Roman" w:cs="Times New Roman"/>
              </w:rPr>
              <w:t>IC1709</w:t>
            </w:r>
          </w:p>
        </w:tc>
        <w:tc>
          <w:tcPr>
            <w:vAlign w:val="center"/>
          </w:tcPr>
          <w:p>
            <w:pPr>
              <w:jc w:val="right"/>
            </w:pPr>
            <w:r>
              <w:rPr>
                <w:rFonts w:ascii="Times New Roman" w:hAnsi="Times New Roman" w:cs="Times New Roman"/>
              </w:rPr>
              <w:t>25.00</w:t>
            </w:r>
          </w:p>
        </w:tc>
        <w:tc>
          <w:tcPr>
            <w:vAlign w:val="center"/>
          </w:tcPr>
          <w:p>
            <w:pPr>
              <w:jc w:val="right"/>
            </w:pPr>
            <w:r>
              <w:rPr>
                <w:rFonts w:ascii="Times New Roman" w:hAnsi="Times New Roman" w:cs="Times New Roman"/>
              </w:rPr>
              <w:t>30,109,000.00</w:t>
            </w:r>
          </w:p>
        </w:tc>
        <w:tc>
          <w:tcPr>
            <w:vAlign w:val="center"/>
          </w:tcPr>
          <w:p>
            <w:pPr>
              <w:jc w:val="right"/>
            </w:pPr>
            <w:r>
              <w:rPr>
                <w:rFonts w:ascii="Times New Roman" w:hAnsi="Times New Roman" w:cs="Times New Roman"/>
              </w:rPr>
              <w:t>286,720.00</w:t>
            </w:r>
          </w:p>
        </w:tc>
        <w:tc>
          <w:tcPr>
            <w:vAlign w:val="center"/>
          </w:tcPr>
          <w:p>
            <w:pPr>
              <w:jc w:val="left"/>
            </w:pPr>
            <w:r>
              <w:rPr>
                <w:rFonts w:ascii="Times New Roman" w:hAnsi="Times New Roman" w:cs="Times New Roman"/>
              </w:rPr>
              <w:t>-</w:t>
            </w:r>
          </w:p>
        </w:tc>
      </w:tr>
      <w:tr>
        <w:tc>
          <w:tcPr>
            <w:vAlign w:val="center"/>
          </w:tcPr>
          <w:p>
            <w:pPr>
              <w:jc w:val="center"/>
            </w:pPr>
            <w:r>
              <w:rPr>
                <w:rFonts w:ascii="Times New Roman" w:hAnsi="Times New Roman" w:cs="Times New Roman"/>
              </w:rPr>
              <w:t>IC1708</w:t>
            </w:r>
          </w:p>
        </w:tc>
        <w:tc>
          <w:tcPr>
            <w:vAlign w:val="center"/>
          </w:tcPr>
          <w:p>
            <w:pPr>
              <w:jc w:val="left"/>
            </w:pPr>
            <w:r>
              <w:rPr>
                <w:rFonts w:ascii="Times New Roman" w:hAnsi="Times New Roman" w:cs="Times New Roman"/>
              </w:rPr>
              <w:t>IC1708</w:t>
            </w:r>
          </w:p>
        </w:tc>
        <w:tc>
          <w:tcPr>
            <w:vAlign w:val="center"/>
          </w:tcPr>
          <w:p>
            <w:pPr>
              <w:jc w:val="right"/>
            </w:pPr>
            <w:r>
              <w:rPr>
                <w:rFonts w:ascii="Times New Roman" w:hAnsi="Times New Roman" w:cs="Times New Roman"/>
              </w:rPr>
              <w:t>10.00</w:t>
            </w:r>
          </w:p>
        </w:tc>
        <w:tc>
          <w:tcPr>
            <w:vAlign w:val="center"/>
          </w:tcPr>
          <w:p>
            <w:pPr>
              <w:jc w:val="right"/>
            </w:pPr>
            <w:r>
              <w:rPr>
                <w:rFonts w:ascii="Times New Roman" w:hAnsi="Times New Roman" w:cs="Times New Roman"/>
              </w:rPr>
              <w:t>12,124,000.00</w:t>
            </w:r>
          </w:p>
        </w:tc>
        <w:tc>
          <w:tcPr>
            <w:vAlign w:val="center"/>
          </w:tcPr>
          <w:p>
            <w:pPr>
              <w:jc w:val="right"/>
            </w:pPr>
            <w:r>
              <w:rPr>
                <w:rFonts w:ascii="Times New Roman" w:hAnsi="Times New Roman" w:cs="Times New Roman"/>
              </w:rPr>
              <w:t>449,520.00</w:t>
            </w:r>
          </w:p>
        </w:tc>
        <w:tc>
          <w:tcPr>
            <w:vAlign w:val="center"/>
          </w:tcPr>
          <w:p>
            <w:pPr>
              <w:jc w:val="left"/>
            </w:pPr>
            <w:r>
              <w:rPr>
                <w:rFonts w:ascii="Times New Roman" w:hAnsi="Times New Roman" w:cs="Times New Roman"/>
              </w:rPr>
              <w:t>-</w:t>
            </w:r>
          </w:p>
        </w:tc>
      </w:tr>
      <w:tr>
        <w:tc>
          <w:tcPr>
            <w:vAlign w:val="center"/>
          </w:tcPr>
          <w:p>
            <w:pPr>
              <w:jc w:val="center"/>
            </w:pPr>
            <w:r>
              <w:rPr>
                <w:rFonts w:ascii="Times New Roman" w:hAnsi="Times New Roman" w:cs="Times New Roman"/>
              </w:rPr>
              <w:t>IF1709</w:t>
            </w:r>
          </w:p>
        </w:tc>
        <w:tc>
          <w:tcPr>
            <w:vAlign w:val="center"/>
          </w:tcPr>
          <w:p>
            <w:pPr>
              <w:jc w:val="left"/>
            </w:pPr>
            <w:r>
              <w:rPr>
                <w:rFonts w:ascii="Times New Roman" w:hAnsi="Times New Roman" w:cs="Times New Roman"/>
              </w:rPr>
              <w:t>IF1709</w:t>
            </w:r>
          </w:p>
        </w:tc>
        <w:tc>
          <w:tcPr>
            <w:vAlign w:val="center"/>
          </w:tcPr>
          <w:p>
            <w:pPr>
              <w:jc w:val="right"/>
            </w:pPr>
            <w:r>
              <w:rPr>
                <w:rFonts w:ascii="Times New Roman" w:hAnsi="Times New Roman" w:cs="Times New Roman"/>
              </w:rPr>
              <w:t>5.00</w:t>
            </w:r>
          </w:p>
        </w:tc>
        <w:tc>
          <w:tcPr>
            <w:vAlign w:val="center"/>
          </w:tcPr>
          <w:p>
            <w:pPr>
              <w:jc w:val="right"/>
            </w:pPr>
            <w:r>
              <w:rPr>
                <w:rFonts w:ascii="Times New Roman" w:hAnsi="Times New Roman" w:cs="Times New Roman"/>
              </w:rPr>
              <w:t>5,446,200.00</w:t>
            </w:r>
          </w:p>
        </w:tc>
        <w:tc>
          <w:tcPr>
            <w:vAlign w:val="center"/>
          </w:tcPr>
          <w:p>
            <w:pPr>
              <w:jc w:val="right"/>
            </w:pPr>
            <w:r>
              <w:rPr>
                <w:rFonts w:ascii="Times New Roman" w:hAnsi="Times New Roman" w:cs="Times New Roman"/>
              </w:rPr>
              <w:t>460,420.00</w:t>
            </w:r>
          </w:p>
        </w:tc>
        <w:tc>
          <w:tcPr>
            <w:vAlign w:val="center"/>
          </w:tcPr>
          <w:p>
            <w:pPr>
              <w:jc w:val="left"/>
            </w:pPr>
            <w:r>
              <w:rPr>
                <w:rFonts w:ascii="Times New Roman" w:hAnsi="Times New Roman" w:cs="Times New Roman"/>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
            </w:r>
            <w:r w:rsidR="001E4630" w:rsidRPr="00414345">
              <w:rPr>
                <w:rFonts w:ascii="Times New Roman" w:hAnsi="Times New Roman" w:cs="Times New Roman"/>
                <w:color w:val="auto"/>
              </w:rPr>
              <w:t/>
            </w:r>
            <w:r w:rsidRPr="00414345">
              <w:rPr>
                <w:rFonts w:ascii="Times New Roman" w:hAnsi="Times New Roman" w:cs="Times New Roman"/>
                <w:color w:val="auto"/>
              </w:rPr>
              <w:t>1,196,660.00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
            </w:r>
            <w:r w:rsidR="001E4630" w:rsidRPr="00414345">
              <w:rPr>
                <w:rFonts w:ascii="Times New Roman" w:hAnsi="Times New Roman" w:cs="Times New Roman"/>
                <w:color w:val="auto"/>
              </w:rPr>
              <w:t/>
            </w:r>
            <w:r w:rsidRPr="00414345">
              <w:rPr>
                <w:rFonts w:ascii="Times New Roman" w:hAnsi="Times New Roman" w:cs="Times New Roman"/>
                <w:color w:val="auto"/>
              </w:rPr>
              <w:t>-2,589,460.00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
            </w:r>
            <w:r w:rsidR="001E4630" w:rsidRPr="00414345">
              <w:rPr>
                <w:rFonts w:ascii="Times New Roman" w:hAnsi="Times New Roman" w:cs="Times New Roman"/>
                <w:color w:val="auto"/>
              </w:rPr>
              <w:t/>
            </w:r>
            <w:r w:rsidRPr="00414345">
              <w:rPr>
                <w:rFonts w:ascii="Times New Roman" w:hAnsi="Times New Roman" w:cs="Times New Roman"/>
                <w:color w:val="auto"/>
              </w:rPr>
              <w:t>2,563,080.00</w:t>
            </w:r>
          </w:p>
        </w:tc>
      </w:tr>
    </w:tbl>
    <w:p w:rsidR="00AA3A38" w:rsidRPr="00414345" w:rsidRDefault="00AA3A38" w:rsidP="00C15CAC">
      <w:pPr>
        <w:adjustRightInd w:val="0"/>
        <w:snapToGrid w:val="0"/>
        <w:spacing w:before="29" w:line="288" w:lineRule="auto"/>
        <w:rPr>
          <w:sz w:val="24"/>
          <w:szCs w:val="24"/>
        </w:rPr>
      </w:pPr>
    </w:p>
    <w:p w:rsidR="00275745" w:rsidRPr="00414345" w:rsidRDefault="002E52B3"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59076B" w:rsidRPr="00414345">
        <w:rPr>
          <w:b/>
          <w:bCs/>
          <w:color w:val="000000"/>
          <w:kern w:val="0"/>
          <w:sz w:val="24"/>
          <w:szCs w:val="24"/>
        </w:rPr>
        <w:t>.9.2</w:t>
      </w:r>
      <w:r w:rsidR="00275745" w:rsidRPr="00414345">
        <w:rPr>
          <w:b/>
          <w:bCs/>
          <w:color w:val="000000"/>
          <w:kern w:val="0"/>
          <w:sz w:val="24"/>
          <w:szCs w:val="24"/>
        </w:rPr>
        <w:t>本基金投资股指期货的投资政策</w:t>
      </w:r>
      <w:r w:rsidR="00ED7B83" w:rsidRPr="00414345">
        <w:rPr>
          <w:rFonts w:eastAsiaTheme="minorEastAsia"/>
          <w:b/>
          <w:bCs/>
          <w:color w:val="000000"/>
          <w:kern w:val="0"/>
          <w:sz w:val="24"/>
        </w:rPr>
        <w:t/>
      </w:r>
    </w:p>
    <w:p>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
      </w:r>
      <w:r w:rsidR="001E4630" w:rsidRPr="00414345">
        <w:rPr>
          <w:color w:val="000000"/>
          <w:sz w:val="24"/>
          <w:szCs w:val="24"/>
        </w:rPr>
        <w:t/>
      </w: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10,584,639.38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1,059,999.23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100,827.09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11,745,465.70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1,067,379,817.34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18,253,090.32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62,444,828.53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1,023,188,079.13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1、中国证监会准予交银施罗德国企改革灵活配置混合型证券投资基金募集注册的文件； </w:t>
      </w:r>
    </w:p>
    <w:p>
      <w:pPr>
        <w:spacing w:before="29" w:line="288" w:lineRule="auto"/>
        <w:ind w:firstLineChars="200" w:firstLine="480"/>
        <w:rPr>
          <w:color w:val="000000"/>
          <w:sz w:val="24"/>
          <w:szCs w:val="24"/>
        </w:rPr>
      </w:pPr>
      <w:r>
        <w:rPr>
          <w:color w:val="000000"/>
          <w:sz w:val="24"/>
          <w:szCs w:val="24"/>
        </w:rPr>
        <w:t>2、《交银施罗德国企改革灵活配置混合型证券投资基金基金合同》；</w:t>
      </w:r>
    </w:p>
    <w:p>
      <w:pPr>
        <w:spacing w:before="29" w:line="288" w:lineRule="auto"/>
        <w:ind w:firstLineChars="200" w:firstLine="480"/>
        <w:rPr>
          <w:color w:val="000000"/>
          <w:sz w:val="24"/>
          <w:szCs w:val="24"/>
        </w:rPr>
      </w:pPr>
      <w:r>
        <w:rPr>
          <w:color w:val="000000"/>
          <w:sz w:val="24"/>
          <w:szCs w:val="24"/>
        </w:rPr>
        <w:t xml:space="preserve">3、《交银施罗德国企改革灵活配置混合型证券投资基金招募说明书》； </w:t>
      </w:r>
    </w:p>
    <w:p>
      <w:pPr>
        <w:spacing w:before="29" w:line="288" w:lineRule="auto"/>
        <w:ind w:firstLineChars="200" w:firstLine="480"/>
        <w:rPr>
          <w:color w:val="000000"/>
          <w:sz w:val="24"/>
          <w:szCs w:val="24"/>
        </w:rPr>
      </w:pPr>
      <w:r>
        <w:rPr>
          <w:color w:val="000000"/>
          <w:sz w:val="24"/>
          <w:szCs w:val="24"/>
        </w:rPr>
        <w:t xml:space="preserve">4、《交银施罗德国企改革灵活配置混合型证券投资基金托管协议》； </w:t>
      </w:r>
    </w:p>
    <w:p>
      <w:pPr>
        <w:spacing w:before="29" w:line="288" w:lineRule="auto"/>
        <w:ind w:firstLineChars="200" w:firstLine="480"/>
        <w:rPr>
          <w:color w:val="000000"/>
          <w:sz w:val="24"/>
          <w:szCs w:val="24"/>
        </w:rPr>
      </w:pPr>
      <w:r>
        <w:rPr>
          <w:color w:val="000000"/>
          <w:sz w:val="24"/>
          <w:szCs w:val="24"/>
        </w:rPr>
        <w:t>5、基金管理人业务资格批件、营业执照；</w:t>
      </w:r>
    </w:p>
    <w:p>
      <w:pPr>
        <w:spacing w:before="29" w:line="288" w:lineRule="auto"/>
        <w:ind w:firstLineChars="200" w:firstLine="480"/>
        <w:rPr>
          <w:color w:val="000000"/>
          <w:sz w:val="24"/>
          <w:szCs w:val="24"/>
        </w:rPr>
      </w:pPr>
      <w:r>
        <w:rPr>
          <w:color w:val="000000"/>
          <w:sz w:val="24"/>
          <w:szCs w:val="24"/>
        </w:rPr>
        <w:t>6、基金托管人业务资格批件、营业执照；</w:t>
      </w:r>
    </w:p>
    <w:p>
      <w:pPr>
        <w:spacing w:before="29" w:line="288" w:lineRule="auto"/>
        <w:ind w:firstLineChars="200" w:firstLine="480"/>
        <w:rPr>
          <w:color w:val="000000"/>
          <w:sz w:val="24"/>
          <w:szCs w:val="24"/>
        </w:rPr>
      </w:pPr>
      <w:r>
        <w:rPr>
          <w:color w:val="000000"/>
          <w:sz w:val="24"/>
          <w:szCs w:val="24"/>
        </w:rPr>
        <w:t>7、关于申请募集注册交银施罗德国企改革灵活配置混合型证券投资基金的法律意见书；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lastModifiedBy>China</lastModifiedBy>
  <dcterms:modified xsi:type="dcterms:W3CDTF">2017-07-10T10:13:00Z</dcterms:modified>
  <revision>565</revision>
</coreProperties>
</file>