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876AB" w:rsidRDefault="003635F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876AB" w:rsidRDefault="003635F9">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876AB" w:rsidRDefault="003635F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876AB" w:rsidRDefault="003635F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876AB" w:rsidRDefault="003635F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47,961,680.88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D876AB" w:rsidRDefault="003635F9">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D876AB" w:rsidRDefault="003635F9">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025AE6">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30,031,465.29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17,930,215.59</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112,687.75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33,433.92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88,145.37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33,931.30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0.0026</w:t>
            </w:r>
          </w:p>
        </w:tc>
        <w:tc>
          <w:tcPr>
            <w:tcW w:w="2481" w:type="dxa"/>
            <w:vAlign w:val="center"/>
          </w:tcPr>
          <w:p w:rsidR="005F293E" w:rsidRPr="007F52FA" w:rsidRDefault="00FE7FBD" w:rsidP="008E1679">
            <w:pPr>
              <w:adjustRightInd w:val="0"/>
              <w:spacing w:before="29" w:line="288" w:lineRule="auto"/>
              <w:ind w:left="17"/>
              <w:jc w:val="right"/>
              <w:rPr>
                <w:color w:val="000000"/>
                <w:sz w:val="24"/>
              </w:rPr>
            </w:pPr>
            <w:r w:rsidRPr="007F52FA">
              <w:rPr>
                <w:color w:val="000000"/>
                <w:sz w:val="24"/>
              </w:rPr>
              <w:t>0.</w:t>
            </w:r>
            <w:r w:rsidR="008E1679" w:rsidRPr="007F52FA">
              <w:rPr>
                <w:color w:val="000000"/>
                <w:sz w:val="24"/>
              </w:rPr>
              <w:t>003</w:t>
            </w:r>
            <w:r w:rsidR="008E1679">
              <w:rPr>
                <w:color w:val="000000"/>
                <w:sz w:val="24"/>
              </w:rPr>
              <w:t>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30,510,929.35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18,160,950.57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1.013</w:t>
            </w:r>
          </w:p>
        </w:tc>
      </w:tr>
    </w:tbl>
    <w:p w:rsidR="00D876AB" w:rsidRDefault="003635F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w:t>
      </w:r>
      <w:r>
        <w:rPr>
          <w:rFonts w:eastAsiaTheme="minorEastAsia"/>
          <w:color w:val="000000"/>
          <w:sz w:val="24"/>
        </w:rPr>
        <w:lastRenderedPageBreak/>
        <w:t>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876AB">
        <w:trPr>
          <w:jc w:val="center"/>
        </w:trPr>
        <w:tc>
          <w:tcPr>
            <w:tcW w:w="1266" w:type="dxa"/>
            <w:vAlign w:val="center"/>
          </w:tcPr>
          <w:p w:rsidR="00D876AB" w:rsidRDefault="003635F9">
            <w:pPr>
              <w:jc w:val="left"/>
            </w:pPr>
            <w:r>
              <w:rPr>
                <w:color w:val="000000"/>
                <w:sz w:val="24"/>
              </w:rPr>
              <w:t>过去三个月</w:t>
            </w:r>
          </w:p>
        </w:tc>
        <w:tc>
          <w:tcPr>
            <w:tcW w:w="1267" w:type="dxa"/>
            <w:vAlign w:val="center"/>
          </w:tcPr>
          <w:p w:rsidR="00D876AB" w:rsidRDefault="003635F9">
            <w:pPr>
              <w:jc w:val="center"/>
            </w:pPr>
            <w:r>
              <w:rPr>
                <w:color w:val="000000"/>
                <w:sz w:val="24"/>
              </w:rPr>
              <w:t>0.30%</w:t>
            </w:r>
          </w:p>
        </w:tc>
        <w:tc>
          <w:tcPr>
            <w:tcW w:w="1267" w:type="dxa"/>
            <w:vAlign w:val="center"/>
          </w:tcPr>
          <w:p w:rsidR="00D876AB" w:rsidRDefault="003635F9">
            <w:pPr>
              <w:jc w:val="center"/>
            </w:pPr>
            <w:r>
              <w:rPr>
                <w:color w:val="000000"/>
                <w:sz w:val="24"/>
              </w:rPr>
              <w:t>0.05%</w:t>
            </w:r>
          </w:p>
        </w:tc>
        <w:tc>
          <w:tcPr>
            <w:tcW w:w="1267" w:type="dxa"/>
            <w:vAlign w:val="center"/>
          </w:tcPr>
          <w:p w:rsidR="00D876AB" w:rsidRDefault="003635F9">
            <w:pPr>
              <w:jc w:val="center"/>
            </w:pPr>
            <w:r>
              <w:rPr>
                <w:color w:val="000000"/>
                <w:sz w:val="24"/>
              </w:rPr>
              <w:t>-0.88%</w:t>
            </w:r>
          </w:p>
        </w:tc>
        <w:tc>
          <w:tcPr>
            <w:tcW w:w="1267" w:type="dxa"/>
            <w:vAlign w:val="center"/>
          </w:tcPr>
          <w:p w:rsidR="00D876AB" w:rsidRDefault="003635F9">
            <w:pPr>
              <w:jc w:val="center"/>
            </w:pPr>
            <w:r>
              <w:rPr>
                <w:color w:val="000000"/>
                <w:sz w:val="24"/>
              </w:rPr>
              <w:t>0.08%</w:t>
            </w:r>
          </w:p>
        </w:tc>
        <w:tc>
          <w:tcPr>
            <w:tcW w:w="1267" w:type="dxa"/>
            <w:vAlign w:val="center"/>
          </w:tcPr>
          <w:p w:rsidR="00D876AB" w:rsidRDefault="003635F9">
            <w:pPr>
              <w:jc w:val="center"/>
            </w:pPr>
            <w:r>
              <w:rPr>
                <w:color w:val="000000"/>
                <w:sz w:val="24"/>
              </w:rPr>
              <w:t>1.18%</w:t>
            </w:r>
          </w:p>
        </w:tc>
        <w:tc>
          <w:tcPr>
            <w:tcW w:w="1267" w:type="dxa"/>
            <w:vAlign w:val="center"/>
          </w:tcPr>
          <w:p w:rsidR="00D876AB" w:rsidRDefault="003635F9">
            <w:pPr>
              <w:jc w:val="center"/>
            </w:pPr>
            <w:r>
              <w:rPr>
                <w:color w:val="000000"/>
                <w:sz w:val="24"/>
              </w:rPr>
              <w:t>-0.03%</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876AB">
        <w:trPr>
          <w:jc w:val="center"/>
        </w:trPr>
        <w:tc>
          <w:tcPr>
            <w:tcW w:w="1266" w:type="dxa"/>
            <w:vAlign w:val="center"/>
          </w:tcPr>
          <w:p w:rsidR="00D876AB" w:rsidRDefault="003635F9">
            <w:pPr>
              <w:jc w:val="left"/>
            </w:pPr>
            <w:r>
              <w:rPr>
                <w:color w:val="000000"/>
                <w:sz w:val="24"/>
              </w:rPr>
              <w:t>过去三个月</w:t>
            </w:r>
          </w:p>
        </w:tc>
        <w:tc>
          <w:tcPr>
            <w:tcW w:w="1267" w:type="dxa"/>
            <w:vAlign w:val="center"/>
          </w:tcPr>
          <w:p w:rsidR="00D876AB" w:rsidRDefault="003635F9">
            <w:pPr>
              <w:jc w:val="center"/>
            </w:pPr>
            <w:r>
              <w:rPr>
                <w:color w:val="000000"/>
                <w:sz w:val="24"/>
              </w:rPr>
              <w:t>0.20%</w:t>
            </w:r>
          </w:p>
        </w:tc>
        <w:tc>
          <w:tcPr>
            <w:tcW w:w="1267" w:type="dxa"/>
            <w:vAlign w:val="center"/>
          </w:tcPr>
          <w:p w:rsidR="00D876AB" w:rsidRDefault="003635F9">
            <w:pPr>
              <w:jc w:val="center"/>
            </w:pPr>
            <w:r>
              <w:rPr>
                <w:color w:val="000000"/>
                <w:sz w:val="24"/>
              </w:rPr>
              <w:t>0.04%</w:t>
            </w:r>
          </w:p>
        </w:tc>
        <w:tc>
          <w:tcPr>
            <w:tcW w:w="1267" w:type="dxa"/>
            <w:vAlign w:val="center"/>
          </w:tcPr>
          <w:p w:rsidR="00D876AB" w:rsidRDefault="003635F9">
            <w:pPr>
              <w:jc w:val="center"/>
            </w:pPr>
            <w:r>
              <w:rPr>
                <w:color w:val="000000"/>
                <w:sz w:val="24"/>
              </w:rPr>
              <w:t>-0.88%</w:t>
            </w:r>
          </w:p>
        </w:tc>
        <w:tc>
          <w:tcPr>
            <w:tcW w:w="1267" w:type="dxa"/>
            <w:vAlign w:val="center"/>
          </w:tcPr>
          <w:p w:rsidR="00D876AB" w:rsidRDefault="003635F9">
            <w:pPr>
              <w:jc w:val="center"/>
            </w:pPr>
            <w:r>
              <w:rPr>
                <w:color w:val="000000"/>
                <w:sz w:val="24"/>
              </w:rPr>
              <w:t>0.08%</w:t>
            </w:r>
          </w:p>
        </w:tc>
        <w:tc>
          <w:tcPr>
            <w:tcW w:w="1267" w:type="dxa"/>
            <w:vAlign w:val="center"/>
          </w:tcPr>
          <w:p w:rsidR="00D876AB" w:rsidRDefault="003635F9">
            <w:pPr>
              <w:jc w:val="center"/>
            </w:pPr>
            <w:r>
              <w:rPr>
                <w:color w:val="000000"/>
                <w:sz w:val="24"/>
              </w:rPr>
              <w:t>1.08%</w:t>
            </w:r>
          </w:p>
        </w:tc>
        <w:tc>
          <w:tcPr>
            <w:tcW w:w="1267" w:type="dxa"/>
            <w:vAlign w:val="center"/>
          </w:tcPr>
          <w:p w:rsidR="00D876AB" w:rsidRDefault="003635F9">
            <w:pPr>
              <w:jc w:val="center"/>
            </w:pPr>
            <w:r>
              <w:rPr>
                <w:color w:val="000000"/>
                <w:sz w:val="24"/>
              </w:rPr>
              <w:t>-0.04%</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876AB">
        <w:trPr>
          <w:jc w:val="center"/>
        </w:trPr>
        <w:tc>
          <w:tcPr>
            <w:tcW w:w="946" w:type="dxa"/>
            <w:vAlign w:val="center"/>
          </w:tcPr>
          <w:p w:rsidR="00D876AB" w:rsidRDefault="003635F9">
            <w:pPr>
              <w:jc w:val="center"/>
            </w:pPr>
            <w:r>
              <w:rPr>
                <w:color w:val="000000"/>
                <w:sz w:val="24"/>
              </w:rPr>
              <w:t>连端清</w:t>
            </w:r>
          </w:p>
        </w:tc>
        <w:tc>
          <w:tcPr>
            <w:tcW w:w="924" w:type="dxa"/>
            <w:vAlign w:val="center"/>
          </w:tcPr>
          <w:p w:rsidR="00D876AB" w:rsidRDefault="003635F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w:t>
            </w:r>
            <w:r>
              <w:rPr>
                <w:color w:val="000000"/>
                <w:sz w:val="24"/>
              </w:rPr>
              <w:lastRenderedPageBreak/>
              <w:t>利纯债债券、交银裕隆纯债债券、交银天鑫宝货币、交银天益宝货币、交银境尚收益债券的基金经理</w:t>
            </w:r>
          </w:p>
        </w:tc>
        <w:tc>
          <w:tcPr>
            <w:tcW w:w="1202" w:type="dxa"/>
            <w:vAlign w:val="center"/>
          </w:tcPr>
          <w:p w:rsidR="00D876AB" w:rsidRDefault="003635F9">
            <w:pPr>
              <w:jc w:val="center"/>
            </w:pPr>
            <w:r>
              <w:rPr>
                <w:color w:val="000000"/>
                <w:sz w:val="24"/>
              </w:rPr>
              <w:lastRenderedPageBreak/>
              <w:t>2015-08-04</w:t>
            </w:r>
          </w:p>
        </w:tc>
        <w:tc>
          <w:tcPr>
            <w:tcW w:w="1300" w:type="dxa"/>
            <w:vAlign w:val="center"/>
          </w:tcPr>
          <w:p w:rsidR="00D876AB" w:rsidRDefault="003635F9">
            <w:pPr>
              <w:jc w:val="center"/>
            </w:pPr>
            <w:r>
              <w:rPr>
                <w:color w:val="000000"/>
                <w:sz w:val="24"/>
              </w:rPr>
              <w:t>-</w:t>
            </w:r>
          </w:p>
        </w:tc>
        <w:tc>
          <w:tcPr>
            <w:tcW w:w="1245" w:type="dxa"/>
            <w:vAlign w:val="center"/>
          </w:tcPr>
          <w:p w:rsidR="00D876AB" w:rsidRDefault="003635F9">
            <w:pPr>
              <w:jc w:val="center"/>
            </w:pPr>
            <w:r>
              <w:rPr>
                <w:color w:val="000000"/>
                <w:sz w:val="24"/>
              </w:rPr>
              <w:t>4</w:t>
            </w:r>
            <w:r>
              <w:rPr>
                <w:color w:val="000000"/>
                <w:sz w:val="24"/>
              </w:rPr>
              <w:t>年</w:t>
            </w:r>
          </w:p>
        </w:tc>
        <w:tc>
          <w:tcPr>
            <w:tcW w:w="3251" w:type="dxa"/>
            <w:vAlign w:val="center"/>
          </w:tcPr>
          <w:p w:rsidR="00D876AB" w:rsidRDefault="003635F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3B5B13" w:rsidRDefault="00062E1F" w:rsidP="003B5B13">
      <w:pPr>
        <w:autoSpaceDE w:val="0"/>
        <w:autoSpaceDN w:val="0"/>
        <w:adjustRightInd w:val="0"/>
        <w:spacing w:before="29" w:line="288" w:lineRule="auto"/>
        <w:jc w:val="left"/>
        <w:rPr>
          <w:color w:val="000000"/>
          <w:sz w:val="24"/>
        </w:rPr>
      </w:pPr>
      <w:r w:rsidRPr="007F52FA">
        <w:rPr>
          <w:color w:val="000000"/>
          <w:sz w:val="24"/>
        </w:rPr>
        <w:t>注：</w:t>
      </w:r>
      <w:r w:rsidR="003B5B13">
        <w:rPr>
          <w:color w:val="000000"/>
          <w:sz w:val="24"/>
        </w:rPr>
        <w:t>1</w:t>
      </w:r>
      <w:r w:rsidR="003B5B13">
        <w:rPr>
          <w:color w:val="000000"/>
          <w:sz w:val="24"/>
        </w:rPr>
        <w:t>、本表所列基金经理（助理）任职日期和离职日期均以基金合同生效日或公司作出决定并公告</w:t>
      </w:r>
      <w:r w:rsidR="003B5B13">
        <w:rPr>
          <w:color w:val="000000"/>
          <w:sz w:val="24"/>
        </w:rPr>
        <w:t>(</w:t>
      </w:r>
      <w:r w:rsidR="003B5B13">
        <w:rPr>
          <w:color w:val="000000"/>
          <w:sz w:val="24"/>
        </w:rPr>
        <w:t>如适用</w:t>
      </w:r>
      <w:r w:rsidR="003B5B13">
        <w:rPr>
          <w:color w:val="000000"/>
          <w:sz w:val="24"/>
        </w:rPr>
        <w:t>)</w:t>
      </w:r>
      <w:r w:rsidR="003B5B13">
        <w:rPr>
          <w:color w:val="000000"/>
          <w:sz w:val="24"/>
        </w:rPr>
        <w:t>之日为准；</w:t>
      </w:r>
    </w:p>
    <w:p w:rsidR="003B5B13" w:rsidRDefault="003B5B13" w:rsidP="003B5B13">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p>
    <w:p w:rsidR="009238DB" w:rsidRPr="007F52FA" w:rsidRDefault="003B5B13" w:rsidP="003B5B13">
      <w:pPr>
        <w:autoSpaceDE w:val="0"/>
        <w:autoSpaceDN w:val="0"/>
        <w:adjustRightInd w:val="0"/>
        <w:spacing w:before="29" w:line="288" w:lineRule="auto"/>
        <w:jc w:val="left"/>
        <w:rPr>
          <w:color w:val="000000"/>
          <w:sz w:val="24"/>
        </w:rPr>
      </w:pPr>
      <w:r>
        <w:rPr>
          <w:color w:val="000000"/>
          <w:sz w:val="24"/>
        </w:rPr>
        <w:t>3</w:t>
      </w:r>
      <w:r>
        <w:rPr>
          <w:rFonts w:hint="eastAsia"/>
          <w:color w:val="000000"/>
          <w:sz w:val="24"/>
        </w:rPr>
        <w:t>、</w:t>
      </w:r>
      <w:r w:rsidR="00062E1F"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D876AB" w:rsidRDefault="003635F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876AB" w:rsidRDefault="003635F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876AB" w:rsidRDefault="003635F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876AB" w:rsidRDefault="003635F9">
      <w:pPr>
        <w:spacing w:before="29" w:line="288" w:lineRule="auto"/>
        <w:ind w:firstLineChars="200" w:firstLine="480"/>
        <w:rPr>
          <w:color w:val="000000"/>
          <w:sz w:val="24"/>
        </w:rPr>
      </w:pPr>
      <w:r>
        <w:rPr>
          <w:color w:val="000000"/>
          <w:sz w:val="24"/>
        </w:rPr>
        <w:t>2017</w:t>
      </w:r>
      <w:r>
        <w:rPr>
          <w:color w:val="000000"/>
          <w:sz w:val="24"/>
        </w:rPr>
        <w:t>年二季度，国内经济整体平稳，但已运行至小周期的高点。随着楼市调控政策进一步加码，银行对住房按揭贷款趋向谨慎，房地产投资同比增速在四月份上升至</w:t>
      </w:r>
      <w:r>
        <w:rPr>
          <w:color w:val="000000"/>
          <w:sz w:val="24"/>
        </w:rPr>
        <w:t>9.3%</w:t>
      </w:r>
      <w:r>
        <w:rPr>
          <w:color w:val="000000"/>
          <w:sz w:val="24"/>
        </w:rPr>
        <w:t>的高点后开始下行。二季度，中采制造业</w:t>
      </w:r>
      <w:r>
        <w:rPr>
          <w:color w:val="000000"/>
          <w:sz w:val="24"/>
        </w:rPr>
        <w:t>PMI</w:t>
      </w:r>
      <w:r>
        <w:rPr>
          <w:color w:val="000000"/>
          <w:sz w:val="24"/>
        </w:rPr>
        <w:t>从三月份的高点下行之后出现高位震荡，</w:t>
      </w:r>
      <w:r>
        <w:rPr>
          <w:color w:val="000000"/>
          <w:sz w:val="24"/>
        </w:rPr>
        <w:t>PPI</w:t>
      </w:r>
      <w:r>
        <w:rPr>
          <w:color w:val="000000"/>
          <w:sz w:val="24"/>
        </w:rPr>
        <w:t>呈逐步下行走势。鉴于国内经济形势相对稳定，但金融泡沫较大，且美联储上半年加息节奏加快，二季度银监会等三会强化金融行业监管，旨在降低金融市场风险，给市场造成了影响。为配合三会强化金融监管，央行二季度货币政策转向</w:t>
      </w:r>
      <w:r>
        <w:rPr>
          <w:color w:val="000000"/>
          <w:sz w:val="24"/>
        </w:rPr>
        <w:t>“</w:t>
      </w:r>
      <w:r>
        <w:rPr>
          <w:color w:val="000000"/>
          <w:sz w:val="24"/>
        </w:rPr>
        <w:t>不松不紧</w:t>
      </w:r>
      <w:r>
        <w:rPr>
          <w:color w:val="000000"/>
          <w:sz w:val="24"/>
        </w:rPr>
        <w:t>”</w:t>
      </w:r>
      <w:r>
        <w:rPr>
          <w:color w:val="000000"/>
          <w:sz w:val="24"/>
        </w:rPr>
        <w:t>，加大了市场维稳力度。央行公开市场净投放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亿元，主动引导市场机构对六月资金面向好的预期。</w:t>
      </w:r>
    </w:p>
    <w:p w:rsidR="00D876AB" w:rsidRDefault="003635F9">
      <w:pPr>
        <w:spacing w:before="29" w:line="288" w:lineRule="auto"/>
        <w:ind w:firstLineChars="200" w:firstLine="480"/>
        <w:rPr>
          <w:color w:val="000000"/>
          <w:sz w:val="24"/>
        </w:rPr>
      </w:pPr>
      <w:r>
        <w:rPr>
          <w:color w:val="000000"/>
          <w:sz w:val="24"/>
        </w:rPr>
        <w:t>资金面上，受央行维稳金融市场影响，二季度市场资金面进一步好转，但是资金价格中枢继续上移，六月末</w:t>
      </w:r>
      <w:r>
        <w:rPr>
          <w:color w:val="000000"/>
          <w:sz w:val="24"/>
        </w:rPr>
        <w:t>R001</w:t>
      </w:r>
      <w:r>
        <w:rPr>
          <w:color w:val="000000"/>
          <w:sz w:val="24"/>
        </w:rPr>
        <w:t>较一季末上升</w:t>
      </w:r>
      <w:r>
        <w:rPr>
          <w:color w:val="000000"/>
          <w:sz w:val="24"/>
        </w:rPr>
        <w:t>30BP</w:t>
      </w:r>
      <w:r>
        <w:rPr>
          <w:color w:val="000000"/>
          <w:sz w:val="24"/>
        </w:rPr>
        <w:t>以上。受经济稳定、三会加强金融监管以及六月资金面显著好于市场预期等因素交替冲击，二季度债市经历四、五月份的大幅下跌之后，在六月份迎来回暖行情。其中，六月底银行间市场</w:t>
      </w:r>
      <w:r>
        <w:rPr>
          <w:color w:val="000000"/>
          <w:sz w:val="24"/>
        </w:rPr>
        <w:t>10</w:t>
      </w:r>
      <w:r>
        <w:rPr>
          <w:color w:val="000000"/>
          <w:sz w:val="24"/>
        </w:rPr>
        <w:t>年期国开债</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D876AB" w:rsidRDefault="003635F9">
      <w:pPr>
        <w:spacing w:before="29" w:line="288" w:lineRule="auto"/>
        <w:ind w:firstLineChars="200" w:firstLine="480"/>
        <w:rPr>
          <w:color w:val="000000"/>
          <w:sz w:val="24"/>
        </w:rPr>
      </w:pPr>
      <w:r>
        <w:rPr>
          <w:color w:val="000000"/>
          <w:sz w:val="24"/>
        </w:rPr>
        <w:t>基金操作方面，报告期内本基金继续加强信用风险管控，顺应市场走势调整持仓债券，降低组合杠杆与久期，努力为持有人创造稳健的回报。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尽管国内经济已处于小周期高点，但是考虑本轮楼市调控因城施策特色、国内消费对经济增长贡献的提升以及发达经济体保持向好势头等因素，除非房地产投资出现大幅下滑，否则短期内国内经济整体上保持高位企稳的概率较大。预计短期内</w:t>
      </w:r>
      <w:r w:rsidRPr="007F52FA">
        <w:rPr>
          <w:color w:val="000000"/>
          <w:sz w:val="24"/>
        </w:rPr>
        <w:lastRenderedPageBreak/>
        <w:t>央行将以</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货币政策为主，既抑制资产价格泡沫再度膨胀，又配合三会继续深化金融监管，着力维稳金融市场。二季度以来银行负债端资金成本的上升及债市发行量缩价升，可能将逐步抬升发债主体融资成本，尤其是利率敏感型企业，需警惕后续融资成本上升带来的信用风险。组合管理方面，本基金将积极研判宏观经济走势，密切跟踪央行货币政策操作动态，尽力控制信用风险，积极跟踪把握市场节奏，继续调整部分债券，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1.016</w:t>
      </w:r>
      <w:r w:rsidRPr="007F52FA">
        <w:rPr>
          <w:color w:val="000000"/>
          <w:sz w:val="24"/>
        </w:rPr>
        <w:t>元，本报告期份额净值增长率为</w:t>
      </w:r>
      <w:r w:rsidRPr="007F52FA">
        <w:rPr>
          <w:color w:val="000000"/>
          <w:sz w:val="24"/>
        </w:rPr>
        <w:t>0.30%</w:t>
      </w:r>
      <w:r w:rsidRPr="007F52FA">
        <w:rPr>
          <w:color w:val="000000"/>
          <w:sz w:val="24"/>
        </w:rPr>
        <w:t>，同期业绩比较基准增长率为</w:t>
      </w:r>
      <w:r w:rsidRPr="007F52FA">
        <w:rPr>
          <w:color w:val="000000"/>
          <w:sz w:val="24"/>
        </w:rPr>
        <w:t>-0.88%</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1.013</w:t>
      </w:r>
      <w:r w:rsidRPr="007F52FA">
        <w:rPr>
          <w:color w:val="000000"/>
          <w:sz w:val="24"/>
        </w:rPr>
        <w:t>元，本报告期份额净值增长率为</w:t>
      </w:r>
      <w:r w:rsidRPr="007F52FA">
        <w:rPr>
          <w:color w:val="000000"/>
          <w:sz w:val="24"/>
        </w:rPr>
        <w:t>0.20%</w:t>
      </w:r>
      <w:r w:rsidRPr="007F52FA">
        <w:rPr>
          <w:color w:val="000000"/>
          <w:sz w:val="24"/>
        </w:rPr>
        <w:t>，同期业绩比较基准增长率为</w:t>
      </w:r>
      <w:r w:rsidRPr="007F52FA">
        <w:rPr>
          <w:color w:val="000000"/>
          <w:sz w:val="24"/>
        </w:rPr>
        <w:t>-0.88%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00FA6" w:rsidRPr="007F52FA" w:rsidRDefault="003635F9" w:rsidP="007C14DF">
      <w:pPr>
        <w:spacing w:before="29" w:line="288" w:lineRule="auto"/>
        <w:ind w:firstLineChars="200" w:firstLine="480"/>
        <w:rPr>
          <w:color w:val="000000"/>
          <w:sz w:val="24"/>
        </w:rPr>
      </w:pPr>
      <w:r w:rsidRPr="003635F9">
        <w:rPr>
          <w:rFonts w:hint="eastAsia"/>
          <w:color w:val="000000"/>
          <w:sz w:val="24"/>
        </w:rPr>
        <w:t> </w:t>
      </w:r>
      <w:r w:rsidRPr="003635F9">
        <w:rPr>
          <w:rFonts w:hint="eastAsia"/>
          <w:color w:val="000000"/>
          <w:sz w:val="24"/>
        </w:rPr>
        <w:t>本基金本报告期内曾连续二十个工作日以上出现基金资产净值低于五千万元的情形。截至本报告期末，本基金基金资产净值仍低于五千万元。</w:t>
      </w: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44,954,500.00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89.61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44,954,500.00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89.61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5.18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409,470.18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0.82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2,203,624.73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4.39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50,167,594.91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303C6A" w:rsidRPr="00303C6A" w:rsidRDefault="00303C6A"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44,954,500.00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92.36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44,954,500.00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92.36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44,954,500.00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92.36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876AB">
        <w:trPr>
          <w:jc w:val="center"/>
        </w:trPr>
        <w:tc>
          <w:tcPr>
            <w:tcW w:w="1075" w:type="dxa"/>
            <w:vAlign w:val="center"/>
          </w:tcPr>
          <w:p w:rsidR="00D876AB" w:rsidRDefault="003635F9">
            <w:pPr>
              <w:jc w:val="center"/>
            </w:pPr>
            <w:r>
              <w:rPr>
                <w:color w:val="000000"/>
                <w:sz w:val="24"/>
              </w:rPr>
              <w:t>1</w:t>
            </w:r>
          </w:p>
        </w:tc>
        <w:tc>
          <w:tcPr>
            <w:tcW w:w="1533" w:type="dxa"/>
            <w:vAlign w:val="center"/>
          </w:tcPr>
          <w:p w:rsidR="00D876AB" w:rsidRDefault="003635F9">
            <w:pPr>
              <w:jc w:val="center"/>
            </w:pPr>
            <w:r>
              <w:rPr>
                <w:color w:val="000000"/>
                <w:sz w:val="24"/>
              </w:rPr>
              <w:t>140220</w:t>
            </w:r>
          </w:p>
        </w:tc>
        <w:tc>
          <w:tcPr>
            <w:tcW w:w="1533" w:type="dxa"/>
            <w:vAlign w:val="center"/>
          </w:tcPr>
          <w:p w:rsidR="00D876AB" w:rsidRDefault="003635F9">
            <w:pPr>
              <w:jc w:val="center"/>
            </w:pPr>
            <w:r>
              <w:rPr>
                <w:color w:val="000000"/>
                <w:sz w:val="24"/>
              </w:rPr>
              <w:t>14</w:t>
            </w:r>
            <w:r>
              <w:rPr>
                <w:color w:val="000000"/>
                <w:sz w:val="24"/>
              </w:rPr>
              <w:t>国开</w:t>
            </w:r>
            <w:r>
              <w:rPr>
                <w:color w:val="000000"/>
                <w:sz w:val="24"/>
              </w:rPr>
              <w:t>20</w:t>
            </w:r>
          </w:p>
        </w:tc>
        <w:tc>
          <w:tcPr>
            <w:tcW w:w="1394" w:type="dxa"/>
            <w:vAlign w:val="center"/>
          </w:tcPr>
          <w:p w:rsidR="00D876AB" w:rsidRDefault="003635F9">
            <w:pPr>
              <w:jc w:val="right"/>
            </w:pPr>
            <w:r>
              <w:rPr>
                <w:color w:val="000000"/>
                <w:sz w:val="24"/>
              </w:rPr>
              <w:t>200,000</w:t>
            </w:r>
          </w:p>
        </w:tc>
        <w:tc>
          <w:tcPr>
            <w:tcW w:w="1944" w:type="dxa"/>
            <w:vAlign w:val="center"/>
          </w:tcPr>
          <w:p w:rsidR="00D876AB" w:rsidRDefault="003635F9">
            <w:pPr>
              <w:jc w:val="right"/>
            </w:pPr>
            <w:r>
              <w:rPr>
                <w:color w:val="000000"/>
                <w:sz w:val="24"/>
              </w:rPr>
              <w:t>20,026,000.00</w:t>
            </w:r>
          </w:p>
        </w:tc>
        <w:tc>
          <w:tcPr>
            <w:tcW w:w="1389" w:type="dxa"/>
            <w:vAlign w:val="center"/>
          </w:tcPr>
          <w:p w:rsidR="00D876AB" w:rsidRDefault="003635F9">
            <w:pPr>
              <w:jc w:val="right"/>
            </w:pPr>
            <w:r>
              <w:rPr>
                <w:color w:val="000000"/>
                <w:sz w:val="24"/>
              </w:rPr>
              <w:t>41.14</w:t>
            </w:r>
          </w:p>
        </w:tc>
      </w:tr>
      <w:tr w:rsidR="00D876AB">
        <w:trPr>
          <w:jc w:val="center"/>
        </w:trPr>
        <w:tc>
          <w:tcPr>
            <w:tcW w:w="1075" w:type="dxa"/>
            <w:vAlign w:val="center"/>
          </w:tcPr>
          <w:p w:rsidR="00D876AB" w:rsidRDefault="003635F9">
            <w:pPr>
              <w:jc w:val="center"/>
            </w:pPr>
            <w:r>
              <w:rPr>
                <w:color w:val="000000"/>
                <w:sz w:val="24"/>
              </w:rPr>
              <w:t>2</w:t>
            </w:r>
          </w:p>
        </w:tc>
        <w:tc>
          <w:tcPr>
            <w:tcW w:w="1533" w:type="dxa"/>
            <w:vAlign w:val="center"/>
          </w:tcPr>
          <w:p w:rsidR="00D876AB" w:rsidRDefault="003635F9">
            <w:pPr>
              <w:jc w:val="center"/>
            </w:pPr>
            <w:r>
              <w:rPr>
                <w:color w:val="000000"/>
                <w:sz w:val="24"/>
              </w:rPr>
              <w:t>170204</w:t>
            </w:r>
          </w:p>
        </w:tc>
        <w:tc>
          <w:tcPr>
            <w:tcW w:w="1533" w:type="dxa"/>
            <w:vAlign w:val="center"/>
          </w:tcPr>
          <w:p w:rsidR="00D876AB" w:rsidRDefault="003635F9">
            <w:pPr>
              <w:jc w:val="center"/>
            </w:pPr>
            <w:r>
              <w:rPr>
                <w:color w:val="000000"/>
                <w:sz w:val="24"/>
              </w:rPr>
              <w:t>17</w:t>
            </w:r>
            <w:r>
              <w:rPr>
                <w:color w:val="000000"/>
                <w:sz w:val="24"/>
              </w:rPr>
              <w:t>国开</w:t>
            </w:r>
            <w:r>
              <w:rPr>
                <w:color w:val="000000"/>
                <w:sz w:val="24"/>
              </w:rPr>
              <w:t>04</w:t>
            </w:r>
          </w:p>
        </w:tc>
        <w:tc>
          <w:tcPr>
            <w:tcW w:w="1394" w:type="dxa"/>
            <w:vAlign w:val="center"/>
          </w:tcPr>
          <w:p w:rsidR="00D876AB" w:rsidRDefault="003635F9">
            <w:pPr>
              <w:jc w:val="right"/>
            </w:pPr>
            <w:r>
              <w:rPr>
                <w:color w:val="000000"/>
                <w:sz w:val="24"/>
              </w:rPr>
              <w:t>150,000</w:t>
            </w:r>
          </w:p>
        </w:tc>
        <w:tc>
          <w:tcPr>
            <w:tcW w:w="1944" w:type="dxa"/>
            <w:vAlign w:val="center"/>
          </w:tcPr>
          <w:p w:rsidR="00D876AB" w:rsidRDefault="003635F9">
            <w:pPr>
              <w:jc w:val="right"/>
            </w:pPr>
            <w:r>
              <w:rPr>
                <w:color w:val="000000"/>
                <w:sz w:val="24"/>
              </w:rPr>
              <w:t>14,935,500.00</w:t>
            </w:r>
          </w:p>
        </w:tc>
        <w:tc>
          <w:tcPr>
            <w:tcW w:w="1389" w:type="dxa"/>
            <w:vAlign w:val="center"/>
          </w:tcPr>
          <w:p w:rsidR="00D876AB" w:rsidRDefault="003635F9">
            <w:pPr>
              <w:jc w:val="right"/>
            </w:pPr>
            <w:r>
              <w:rPr>
                <w:color w:val="000000"/>
                <w:sz w:val="24"/>
              </w:rPr>
              <w:t>30.69</w:t>
            </w:r>
          </w:p>
        </w:tc>
      </w:tr>
      <w:tr w:rsidR="00D876AB">
        <w:trPr>
          <w:jc w:val="center"/>
        </w:trPr>
        <w:tc>
          <w:tcPr>
            <w:tcW w:w="1075" w:type="dxa"/>
            <w:vAlign w:val="center"/>
          </w:tcPr>
          <w:p w:rsidR="00D876AB" w:rsidRDefault="003635F9">
            <w:pPr>
              <w:jc w:val="center"/>
            </w:pPr>
            <w:r>
              <w:rPr>
                <w:color w:val="000000"/>
                <w:sz w:val="24"/>
              </w:rPr>
              <w:t>3</w:t>
            </w:r>
          </w:p>
        </w:tc>
        <w:tc>
          <w:tcPr>
            <w:tcW w:w="1533" w:type="dxa"/>
            <w:vAlign w:val="center"/>
          </w:tcPr>
          <w:p w:rsidR="00D876AB" w:rsidRDefault="003635F9">
            <w:pPr>
              <w:jc w:val="center"/>
            </w:pPr>
            <w:r>
              <w:rPr>
                <w:color w:val="000000"/>
                <w:sz w:val="24"/>
              </w:rPr>
              <w:t>160419</w:t>
            </w:r>
          </w:p>
        </w:tc>
        <w:tc>
          <w:tcPr>
            <w:tcW w:w="1533" w:type="dxa"/>
            <w:vAlign w:val="center"/>
          </w:tcPr>
          <w:p w:rsidR="00D876AB" w:rsidRDefault="003635F9">
            <w:pPr>
              <w:jc w:val="center"/>
            </w:pPr>
            <w:r>
              <w:rPr>
                <w:color w:val="000000"/>
                <w:sz w:val="24"/>
              </w:rPr>
              <w:t>16</w:t>
            </w:r>
            <w:r>
              <w:rPr>
                <w:color w:val="000000"/>
                <w:sz w:val="24"/>
              </w:rPr>
              <w:t>农发</w:t>
            </w:r>
            <w:r>
              <w:rPr>
                <w:color w:val="000000"/>
                <w:sz w:val="24"/>
              </w:rPr>
              <w:t>19</w:t>
            </w:r>
          </w:p>
        </w:tc>
        <w:tc>
          <w:tcPr>
            <w:tcW w:w="1394" w:type="dxa"/>
            <w:vAlign w:val="center"/>
          </w:tcPr>
          <w:p w:rsidR="00D876AB" w:rsidRDefault="003635F9">
            <w:pPr>
              <w:jc w:val="right"/>
            </w:pPr>
            <w:r>
              <w:rPr>
                <w:color w:val="000000"/>
                <w:sz w:val="24"/>
              </w:rPr>
              <w:t>100,000</w:t>
            </w:r>
          </w:p>
        </w:tc>
        <w:tc>
          <w:tcPr>
            <w:tcW w:w="1944" w:type="dxa"/>
            <w:vAlign w:val="center"/>
          </w:tcPr>
          <w:p w:rsidR="00D876AB" w:rsidRDefault="003635F9">
            <w:pPr>
              <w:jc w:val="right"/>
            </w:pPr>
            <w:r>
              <w:rPr>
                <w:color w:val="000000"/>
                <w:sz w:val="24"/>
              </w:rPr>
              <w:t>9,993,000.00</w:t>
            </w:r>
          </w:p>
        </w:tc>
        <w:tc>
          <w:tcPr>
            <w:tcW w:w="1389" w:type="dxa"/>
            <w:vAlign w:val="center"/>
          </w:tcPr>
          <w:p w:rsidR="00D876AB" w:rsidRDefault="003635F9">
            <w:pPr>
              <w:jc w:val="right"/>
            </w:pPr>
            <w:r>
              <w:rPr>
                <w:color w:val="000000"/>
                <w:sz w:val="24"/>
              </w:rPr>
              <w:t>20.53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w:t>
      </w:r>
      <w:r w:rsidRPr="007F52FA">
        <w:rPr>
          <w:b/>
          <w:color w:val="000000"/>
          <w:kern w:val="0"/>
          <w:sz w:val="24"/>
        </w:rPr>
        <w:lastRenderedPageBreak/>
        <w:t>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472.61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1,001,927.73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1,200,915.66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308.73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2,203,624.73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lastRenderedPageBreak/>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39,025,274.94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4,247,540.82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80,540.13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14,870,260.42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9,074,349.78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1,187,585.65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30,031,465.29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17,930,215.59</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C02940" w:rsidRDefault="00ED0E09" w:rsidP="00BE251D">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C02940">
        <w:rPr>
          <w:rFonts w:asciiTheme="minorEastAsia" w:eastAsiaTheme="minorEastAsia" w:hAnsiTheme="minorEastAsia"/>
          <w:color w:val="000000" w:themeColor="text1"/>
          <w:kern w:val="0"/>
          <w:sz w:val="24"/>
          <w:szCs w:val="24"/>
        </w:rPr>
        <w:t xml:space="preserve">§8 </w:t>
      </w:r>
      <w:r w:rsidRPr="00C02940">
        <w:rPr>
          <w:rFonts w:asciiTheme="minorEastAsia" w:eastAsiaTheme="minorEastAsia" w:hAnsiTheme="minorEastAsia" w:hint="eastAsia"/>
          <w:color w:val="000000" w:themeColor="text1"/>
          <w:kern w:val="0"/>
          <w:sz w:val="24"/>
          <w:szCs w:val="24"/>
        </w:rPr>
        <w:t>影响投资者决策的其他重要信息</w:t>
      </w:r>
    </w:p>
    <w:p w:rsidR="00ED0E09" w:rsidRPr="00C02940" w:rsidRDefault="00ED0E09" w:rsidP="00ED0E09">
      <w:pPr>
        <w:autoSpaceDE w:val="0"/>
        <w:autoSpaceDN w:val="0"/>
        <w:adjustRightInd w:val="0"/>
        <w:spacing w:line="360" w:lineRule="auto"/>
        <w:jc w:val="left"/>
        <w:rPr>
          <w:rFonts w:asciiTheme="minorEastAsia" w:eastAsiaTheme="minorEastAsia" w:hAnsiTheme="minorEastAsia"/>
          <w:b/>
          <w:bCs/>
          <w:color w:val="000000"/>
          <w:kern w:val="0"/>
          <w:sz w:val="24"/>
        </w:rPr>
      </w:pPr>
      <w:r w:rsidRPr="00C02940">
        <w:rPr>
          <w:rFonts w:asciiTheme="minorEastAsia" w:eastAsiaTheme="minorEastAsia" w:hAnsiTheme="minorEastAsia"/>
          <w:b/>
          <w:bCs/>
          <w:color w:val="000000"/>
          <w:kern w:val="0"/>
          <w:sz w:val="24"/>
        </w:rPr>
        <w:t xml:space="preserve">8.1 </w:t>
      </w:r>
      <w:r w:rsidRPr="00C02940">
        <w:rPr>
          <w:rFonts w:asciiTheme="minorEastAsia" w:eastAsiaTheme="minorEastAsia" w:hAnsiTheme="minorEastAsia" w:hint="eastAsia"/>
          <w:b/>
          <w:bCs/>
          <w:color w:val="000000"/>
          <w:kern w:val="0"/>
          <w:sz w:val="24"/>
        </w:rPr>
        <w:t>报告期内单一投资者持有基金份额比例达到或超过</w:t>
      </w:r>
      <w:r w:rsidRPr="00C02940">
        <w:rPr>
          <w:rFonts w:asciiTheme="minorEastAsia" w:eastAsiaTheme="minorEastAsia" w:hAnsiTheme="minorEastAsia"/>
          <w:b/>
          <w:bCs/>
          <w:color w:val="000000"/>
          <w:kern w:val="0"/>
          <w:sz w:val="24"/>
        </w:rPr>
        <w:t>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145AC2"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C02940" w:rsidRDefault="00ED0E09">
            <w:pPr>
              <w:autoSpaceDE w:val="0"/>
              <w:autoSpaceDN w:val="0"/>
              <w:adjustRightInd w:val="0"/>
              <w:jc w:val="center"/>
              <w:rPr>
                <w:rFonts w:eastAsiaTheme="minorEastAsia"/>
                <w:color w:val="000000"/>
                <w:sz w:val="24"/>
              </w:rPr>
            </w:pPr>
            <w:r w:rsidRPr="00C02940">
              <w:rPr>
                <w:rFonts w:eastAsiaTheme="minorEastAsia" w:hint="eastAsia"/>
                <w:color w:val="000000"/>
                <w:sz w:val="24"/>
              </w:rPr>
              <w:t>投资者类别</w:t>
            </w:r>
            <w:r w:rsidRPr="00C02940">
              <w:rPr>
                <w:rFonts w:eastAsiaTheme="minorEastAsia"/>
                <w:color w:val="00000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C02940" w:rsidRDefault="00ED0E09">
            <w:pPr>
              <w:autoSpaceDE w:val="0"/>
              <w:autoSpaceDN w:val="0"/>
              <w:adjustRightInd w:val="0"/>
              <w:jc w:val="center"/>
              <w:rPr>
                <w:rFonts w:eastAsiaTheme="minorEastAsia"/>
                <w:color w:val="000000"/>
                <w:sz w:val="24"/>
              </w:rPr>
            </w:pPr>
            <w:r w:rsidRPr="00C02940">
              <w:rPr>
                <w:rFonts w:eastAsiaTheme="minorEastAsia" w:hint="eastAsia"/>
                <w:color w:val="00000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C02940" w:rsidRDefault="00ED0E09">
            <w:pPr>
              <w:autoSpaceDE w:val="0"/>
              <w:autoSpaceDN w:val="0"/>
              <w:adjustRightInd w:val="0"/>
              <w:jc w:val="center"/>
              <w:rPr>
                <w:rFonts w:eastAsiaTheme="minorEastAsia"/>
                <w:color w:val="000000"/>
                <w:sz w:val="24"/>
              </w:rPr>
            </w:pPr>
            <w:r w:rsidRPr="00C02940">
              <w:rPr>
                <w:rFonts w:eastAsiaTheme="minorEastAsia" w:hint="eastAsia"/>
                <w:color w:val="000000"/>
                <w:sz w:val="24"/>
              </w:rPr>
              <w:t>报告期末持有基金情况</w:t>
            </w:r>
          </w:p>
        </w:tc>
      </w:tr>
      <w:tr w:rsidR="00ED0E09" w:rsidRPr="00145AC2"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C02940" w:rsidRDefault="00ED0E09">
            <w:pPr>
              <w:widowControl/>
              <w:jc w:val="left"/>
              <w:rPr>
                <w:rFonts w:eastAsiaTheme="minorEastAsia"/>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C02940" w:rsidRDefault="00ED0E09">
            <w:pPr>
              <w:autoSpaceDE w:val="0"/>
              <w:autoSpaceDN w:val="0"/>
              <w:adjustRightInd w:val="0"/>
              <w:jc w:val="center"/>
              <w:rPr>
                <w:rFonts w:eastAsiaTheme="minorEastAsia"/>
                <w:color w:val="000000"/>
                <w:sz w:val="24"/>
              </w:rPr>
            </w:pPr>
            <w:r w:rsidRPr="00C02940">
              <w:rPr>
                <w:rFonts w:eastAsiaTheme="minorEastAsia" w:hint="eastAsia"/>
                <w:color w:val="00000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C02940" w:rsidRDefault="00ED0E09">
            <w:pPr>
              <w:autoSpaceDE w:val="0"/>
              <w:autoSpaceDN w:val="0"/>
              <w:adjustRightInd w:val="0"/>
              <w:jc w:val="center"/>
              <w:rPr>
                <w:rFonts w:eastAsiaTheme="minorEastAsia"/>
                <w:color w:val="000000"/>
                <w:sz w:val="24"/>
              </w:rPr>
            </w:pPr>
            <w:r w:rsidRPr="00C02940">
              <w:rPr>
                <w:rFonts w:eastAsiaTheme="minorEastAsia" w:hint="eastAsia"/>
                <w:color w:val="000000"/>
                <w:sz w:val="24"/>
              </w:rPr>
              <w:t>持有基金份额比例达到或者超过</w:t>
            </w:r>
            <w:r w:rsidRPr="00C02940">
              <w:rPr>
                <w:rFonts w:eastAsiaTheme="minorEastAsia"/>
                <w:color w:val="000000"/>
                <w:sz w:val="24"/>
              </w:rPr>
              <w:t>20%</w:t>
            </w:r>
            <w:r w:rsidRPr="00C02940">
              <w:rPr>
                <w:rFonts w:eastAsiaTheme="minorEastAsia" w:hint="eastAsia"/>
                <w:color w:val="00000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C02940" w:rsidRDefault="00ED0E09">
            <w:pPr>
              <w:widowControl/>
              <w:jc w:val="center"/>
              <w:rPr>
                <w:rFonts w:eastAsiaTheme="minorEastAsia"/>
                <w:color w:val="000000"/>
                <w:sz w:val="24"/>
              </w:rPr>
            </w:pPr>
            <w:r w:rsidRPr="00C02940">
              <w:rPr>
                <w:rFonts w:eastAsiaTheme="minorEastAsia" w:hint="eastAsia"/>
                <w:color w:val="00000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C02940" w:rsidRDefault="00ED0E09">
            <w:pPr>
              <w:widowControl/>
              <w:jc w:val="center"/>
              <w:rPr>
                <w:rFonts w:eastAsiaTheme="minorEastAsia"/>
                <w:color w:val="000000"/>
                <w:sz w:val="24"/>
              </w:rPr>
            </w:pPr>
            <w:r w:rsidRPr="00C02940">
              <w:rPr>
                <w:rFonts w:eastAsiaTheme="minorEastAsia" w:hint="eastAsia"/>
                <w:color w:val="00000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C02940" w:rsidRDefault="00ED0E09">
            <w:pPr>
              <w:widowControl/>
              <w:jc w:val="center"/>
              <w:rPr>
                <w:rFonts w:eastAsiaTheme="minorEastAsia"/>
                <w:color w:val="000000"/>
                <w:sz w:val="24"/>
              </w:rPr>
            </w:pPr>
            <w:r w:rsidRPr="00C02940">
              <w:rPr>
                <w:rFonts w:eastAsiaTheme="minorEastAsia" w:hint="eastAsia"/>
                <w:color w:val="00000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C02940" w:rsidRDefault="00ED0E09">
            <w:pPr>
              <w:autoSpaceDE w:val="0"/>
              <w:autoSpaceDN w:val="0"/>
              <w:adjustRightInd w:val="0"/>
              <w:jc w:val="center"/>
              <w:rPr>
                <w:rFonts w:eastAsiaTheme="minorEastAsia"/>
                <w:color w:val="000000"/>
                <w:sz w:val="24"/>
              </w:rPr>
            </w:pPr>
            <w:r w:rsidRPr="00C02940">
              <w:rPr>
                <w:rFonts w:eastAsiaTheme="minorEastAsia" w:hint="eastAsia"/>
                <w:color w:val="00000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C02940" w:rsidRDefault="00ED0E09">
            <w:pPr>
              <w:autoSpaceDE w:val="0"/>
              <w:autoSpaceDN w:val="0"/>
              <w:adjustRightInd w:val="0"/>
              <w:jc w:val="center"/>
              <w:rPr>
                <w:rFonts w:eastAsiaTheme="minorEastAsia"/>
                <w:color w:val="000000"/>
                <w:sz w:val="24"/>
              </w:rPr>
            </w:pPr>
            <w:r w:rsidRPr="00C02940">
              <w:rPr>
                <w:rFonts w:eastAsiaTheme="minorEastAsia" w:hint="eastAsia"/>
                <w:color w:val="000000"/>
                <w:sz w:val="24"/>
              </w:rPr>
              <w:t>份额占比</w:t>
            </w:r>
          </w:p>
        </w:tc>
      </w:tr>
      <w:tr w:rsidR="00D876AB" w:rsidRPr="00145AC2">
        <w:tc>
          <w:tcPr>
            <w:tcW w:w="992" w:type="dxa"/>
          </w:tcPr>
          <w:p w:rsidR="00D876AB" w:rsidRPr="00C02940" w:rsidRDefault="00D876AB">
            <w:pPr>
              <w:rPr>
                <w:rFonts w:eastAsiaTheme="minorEastAsia"/>
                <w:color w:val="000000"/>
                <w:sz w:val="24"/>
              </w:rPr>
            </w:pPr>
          </w:p>
          <w:p w:rsidR="00D876AB" w:rsidRPr="00C02940" w:rsidRDefault="003635F9">
            <w:pPr>
              <w:rPr>
                <w:rFonts w:eastAsiaTheme="minorEastAsia"/>
                <w:color w:val="000000"/>
                <w:sz w:val="24"/>
              </w:rPr>
            </w:pPr>
            <w:r w:rsidRPr="00C02940">
              <w:rPr>
                <w:rFonts w:eastAsiaTheme="minorEastAsia" w:hint="eastAsia"/>
                <w:color w:val="000000"/>
                <w:sz w:val="24"/>
              </w:rPr>
              <w:t>机构</w:t>
            </w:r>
          </w:p>
        </w:tc>
        <w:tc>
          <w:tcPr>
            <w:tcW w:w="991" w:type="dxa"/>
            <w:vAlign w:val="center"/>
          </w:tcPr>
          <w:p w:rsidR="00D876AB" w:rsidRPr="00C02940" w:rsidRDefault="003635F9">
            <w:pPr>
              <w:jc w:val="center"/>
              <w:rPr>
                <w:rFonts w:eastAsiaTheme="minorEastAsia"/>
                <w:color w:val="000000"/>
                <w:sz w:val="24"/>
              </w:rPr>
            </w:pPr>
            <w:r w:rsidRPr="00C02940">
              <w:rPr>
                <w:rFonts w:eastAsiaTheme="minorEastAsia"/>
                <w:color w:val="000000"/>
                <w:sz w:val="24"/>
              </w:rPr>
              <w:t>1</w:t>
            </w:r>
          </w:p>
        </w:tc>
        <w:tc>
          <w:tcPr>
            <w:tcW w:w="1843" w:type="dxa"/>
            <w:vAlign w:val="center"/>
          </w:tcPr>
          <w:p w:rsidR="00D876AB" w:rsidRPr="00C02940" w:rsidRDefault="003635F9">
            <w:pPr>
              <w:jc w:val="center"/>
              <w:rPr>
                <w:rFonts w:eastAsiaTheme="minorEastAsia"/>
                <w:color w:val="000000"/>
                <w:sz w:val="24"/>
              </w:rPr>
            </w:pPr>
            <w:r w:rsidRPr="00C02940">
              <w:rPr>
                <w:rFonts w:eastAsiaTheme="minorEastAsia"/>
                <w:color w:val="000000"/>
                <w:sz w:val="24"/>
              </w:rPr>
              <w:t>2017/4/1-2017/6/30</w:t>
            </w:r>
          </w:p>
        </w:tc>
        <w:tc>
          <w:tcPr>
            <w:tcW w:w="851" w:type="dxa"/>
            <w:vAlign w:val="center"/>
          </w:tcPr>
          <w:p w:rsidR="00D876AB" w:rsidRPr="00C02940" w:rsidRDefault="003635F9">
            <w:pPr>
              <w:jc w:val="center"/>
              <w:rPr>
                <w:rFonts w:eastAsiaTheme="minorEastAsia"/>
                <w:color w:val="000000"/>
                <w:sz w:val="24"/>
              </w:rPr>
            </w:pPr>
            <w:r w:rsidRPr="00C02940">
              <w:rPr>
                <w:rFonts w:eastAsiaTheme="minorEastAsia"/>
                <w:color w:val="000000"/>
                <w:sz w:val="24"/>
              </w:rPr>
              <w:t>-</w:t>
            </w:r>
          </w:p>
        </w:tc>
        <w:tc>
          <w:tcPr>
            <w:tcW w:w="850" w:type="dxa"/>
            <w:vAlign w:val="center"/>
          </w:tcPr>
          <w:p w:rsidR="00D876AB" w:rsidRPr="00C02940" w:rsidRDefault="003635F9">
            <w:pPr>
              <w:jc w:val="center"/>
              <w:rPr>
                <w:rFonts w:eastAsiaTheme="minorEastAsia"/>
                <w:color w:val="000000"/>
                <w:sz w:val="24"/>
              </w:rPr>
            </w:pPr>
            <w:r w:rsidRPr="00C02940">
              <w:rPr>
                <w:rFonts w:eastAsiaTheme="minorEastAsia"/>
                <w:color w:val="000000"/>
                <w:sz w:val="24"/>
              </w:rPr>
              <w:t>14,836,795.25</w:t>
            </w:r>
          </w:p>
        </w:tc>
        <w:tc>
          <w:tcPr>
            <w:tcW w:w="1134" w:type="dxa"/>
            <w:vAlign w:val="center"/>
          </w:tcPr>
          <w:p w:rsidR="00D876AB" w:rsidRPr="00C02940" w:rsidRDefault="003635F9">
            <w:pPr>
              <w:jc w:val="center"/>
              <w:rPr>
                <w:rFonts w:eastAsiaTheme="minorEastAsia"/>
                <w:color w:val="000000"/>
                <w:sz w:val="24"/>
              </w:rPr>
            </w:pPr>
            <w:r w:rsidRPr="00C02940">
              <w:rPr>
                <w:rFonts w:eastAsiaTheme="minorEastAsia"/>
                <w:color w:val="000000"/>
                <w:sz w:val="24"/>
              </w:rPr>
              <w:t>-</w:t>
            </w:r>
          </w:p>
        </w:tc>
        <w:tc>
          <w:tcPr>
            <w:tcW w:w="1419" w:type="dxa"/>
            <w:vAlign w:val="center"/>
          </w:tcPr>
          <w:p w:rsidR="00D876AB" w:rsidRPr="00C02940" w:rsidRDefault="003635F9">
            <w:pPr>
              <w:jc w:val="center"/>
              <w:rPr>
                <w:rFonts w:eastAsiaTheme="minorEastAsia"/>
                <w:color w:val="000000"/>
                <w:sz w:val="24"/>
              </w:rPr>
            </w:pPr>
            <w:r w:rsidRPr="00C02940">
              <w:rPr>
                <w:rFonts w:eastAsiaTheme="minorEastAsia"/>
                <w:color w:val="000000"/>
                <w:sz w:val="24"/>
              </w:rPr>
              <w:t>14,836,795.25</w:t>
            </w:r>
          </w:p>
        </w:tc>
        <w:tc>
          <w:tcPr>
            <w:tcW w:w="1130" w:type="dxa"/>
            <w:vAlign w:val="center"/>
          </w:tcPr>
          <w:p w:rsidR="00D876AB" w:rsidRPr="00C02940" w:rsidRDefault="003635F9">
            <w:pPr>
              <w:jc w:val="center"/>
              <w:rPr>
                <w:rFonts w:eastAsiaTheme="minorEastAsia"/>
                <w:color w:val="000000"/>
                <w:sz w:val="24"/>
              </w:rPr>
            </w:pPr>
            <w:r w:rsidRPr="00C02940">
              <w:rPr>
                <w:rFonts w:eastAsiaTheme="minorEastAsia"/>
                <w:color w:val="000000"/>
                <w:sz w:val="24"/>
              </w:rPr>
              <w:t>30.93%</w:t>
            </w:r>
          </w:p>
        </w:tc>
      </w:tr>
    </w:tbl>
    <w:p w:rsidR="00ED0E09" w:rsidRPr="00C02940" w:rsidRDefault="00ED0E09" w:rsidP="00ED0E09">
      <w:pPr>
        <w:autoSpaceDE w:val="0"/>
        <w:autoSpaceDN w:val="0"/>
        <w:adjustRightInd w:val="0"/>
        <w:spacing w:line="360" w:lineRule="auto"/>
        <w:jc w:val="left"/>
        <w:rPr>
          <w:rFonts w:asciiTheme="minorEastAsia" w:eastAsiaTheme="minorEastAsia" w:hAnsiTheme="minorEastAsia"/>
          <w:bCs/>
          <w:color w:val="000000"/>
          <w:kern w:val="0"/>
          <w:sz w:val="24"/>
        </w:rPr>
      </w:pPr>
      <w:r w:rsidRPr="00C02940">
        <w:rPr>
          <w:rFonts w:asciiTheme="minorEastAsia" w:eastAsiaTheme="minorEastAsia" w:hAnsiTheme="minorEastAsia" w:hint="eastAsia"/>
          <w:bCs/>
          <w:color w:val="000000"/>
          <w:kern w:val="0"/>
          <w:sz w:val="24"/>
        </w:rPr>
        <w:t>注：本基金本报告期内出现单一投资者持有基金份额比例超过基金总份额</w:t>
      </w:r>
      <w:r w:rsidRPr="00C02940">
        <w:rPr>
          <w:rFonts w:asciiTheme="minorEastAsia" w:eastAsiaTheme="minorEastAsia" w:hAnsiTheme="minorEastAsia"/>
          <w:bCs/>
          <w:color w:val="000000"/>
          <w:kern w:val="0"/>
          <w:sz w:val="24"/>
        </w:rPr>
        <w:t>20%的情况。如该类投资者集中赎回，可能会对本基金带来流动性冲击，从而影响基金的投资运作和收益水平。基金管理人将加强流动性管理，防范相关风险，保护持有人利益。</w:t>
      </w: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876AB" w:rsidRDefault="003635F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D876AB" w:rsidRDefault="003635F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D876AB" w:rsidRDefault="003635F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D876AB" w:rsidRDefault="003635F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D876AB" w:rsidRDefault="003635F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D876AB" w:rsidRDefault="003635F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D876AB" w:rsidRDefault="003635F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D876AB" w:rsidRDefault="003635F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21" w:rsidRDefault="00BD3721">
      <w:r>
        <w:separator/>
      </w:r>
    </w:p>
  </w:endnote>
  <w:endnote w:type="continuationSeparator" w:id="0">
    <w:p w:rsidR="00BD3721" w:rsidRDefault="00BD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C02940">
      <w:rPr>
        <w:noProof/>
        <w:kern w:val="0"/>
        <w:szCs w:val="21"/>
      </w:rPr>
      <w:t>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C02940">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21" w:rsidRDefault="00BD3721">
      <w:r>
        <w:separator/>
      </w:r>
    </w:p>
  </w:footnote>
  <w:footnote w:type="continuationSeparator" w:id="0">
    <w:p w:rsidR="00BD3721" w:rsidRDefault="00BD3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BD372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25AE6"/>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AC2"/>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0C2A"/>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C6A"/>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35F9"/>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5B13"/>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052"/>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679"/>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3763"/>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3721"/>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94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6AB"/>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58C"/>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396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0CED3895-8690-478F-AFA4-1EC8D33F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ACCE-279A-4014-AC8F-48FD460E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199</TotalTime>
  <Pages>13</Pages>
  <Words>1139</Words>
  <Characters>6495</Characters>
  <Application>Microsoft Office Word</Application>
  <DocSecurity>0</DocSecurity>
  <Lines>54</Lines>
  <Paragraphs>15</Paragraphs>
  <ScaleCrop>false</ScaleCrop>
  <Company>TRT. Ltd. Co.</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376</cp:revision>
  <cp:lastPrinted>2007-07-19T00:46:00Z</cp:lastPrinted>
  <dcterms:created xsi:type="dcterms:W3CDTF">2014-01-17T06:19:00Z</dcterms:created>
  <dcterms:modified xsi:type="dcterms:W3CDTF">2017-07-18T07:20:00Z</dcterms:modified>
</cp:coreProperties>
</file>