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交银施罗德现金宝货币市场基金</w:t>
      </w:r>
    </w:p>
    <w:p w:rsidR="00B60E27" w:rsidRPr="001E1B20" w:rsidRDefault="00B60E27" w:rsidP="00281564">
      <w:pPr>
        <w:spacing w:before="29" w:line="288" w:lineRule="auto"/>
        <w:jc w:val="center"/>
        <w:rPr>
          <w:b/>
          <w:sz w:val="36"/>
          <w:szCs w:val="36"/>
        </w:rPr>
      </w:pPr>
      <w:r w:rsidRPr="001E1B20">
        <w:rPr>
          <w:b/>
          <w:sz w:val="36"/>
          <w:szCs w:val="36"/>
        </w:rPr>
        <w:t>2017</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2017</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二〇一七年七月二十日</w:t>
      </w:r>
    </w:p>
    <w:p w:rsidR="00902E3F" w:rsidRPr="000E4C40" w:rsidRDefault="00902E3F" w:rsidP="00DC2B52">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2A17EE" w:rsidRDefault="00725CCF">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2A17EE" w:rsidRDefault="00725CCF">
      <w:pPr>
        <w:adjustRightInd w:val="0"/>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2017</w:t>
      </w:r>
      <w:r>
        <w:rPr>
          <w:color w:val="000000"/>
          <w:sz w:val="24"/>
        </w:rPr>
        <w:t>年</w:t>
      </w:r>
      <w:r>
        <w:rPr>
          <w:color w:val="000000"/>
          <w:sz w:val="24"/>
        </w:rPr>
        <w:t>7</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2A17EE" w:rsidRDefault="00725CCF">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A17EE" w:rsidRDefault="00725CCF">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2A17EE" w:rsidRDefault="00725CCF">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2017</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DC2B5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交银现金宝货币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000710</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2014</w:t>
            </w:r>
            <w:r w:rsidRPr="000E4C40">
              <w:rPr>
                <w:color w:val="000000"/>
                <w:kern w:val="0"/>
                <w:sz w:val="24"/>
              </w:rPr>
              <w:t>年</w:t>
            </w:r>
            <w:r w:rsidRPr="000E4C40">
              <w:rPr>
                <w:color w:val="000000"/>
                <w:kern w:val="0"/>
                <w:sz w:val="24"/>
              </w:rPr>
              <w:t>9</w:t>
            </w:r>
            <w:r w:rsidRPr="000E4C40">
              <w:rPr>
                <w:color w:val="000000"/>
                <w:kern w:val="0"/>
                <w:sz w:val="24"/>
              </w:rPr>
              <w:t>月</w:t>
            </w:r>
            <w:r w:rsidRPr="000E4C40">
              <w:rPr>
                <w:color w:val="000000"/>
                <w:kern w:val="0"/>
                <w:sz w:val="24"/>
              </w:rPr>
              <w:t>12</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3,629,270,828.27</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交银现金宝货币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交银现金宝货币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000710</w:t>
            </w:r>
          </w:p>
        </w:tc>
        <w:tc>
          <w:tcPr>
            <w:tcW w:w="2923" w:type="dxa"/>
            <w:vAlign w:val="center"/>
          </w:tcPr>
          <w:p w:rsidR="00A805BC" w:rsidRPr="000E4C40" w:rsidRDefault="00A805BC" w:rsidP="00281564">
            <w:pPr>
              <w:spacing w:before="29" w:line="288" w:lineRule="auto"/>
              <w:jc w:val="left"/>
              <w:rPr>
                <w:sz w:val="24"/>
              </w:rPr>
            </w:pPr>
            <w:r w:rsidRPr="000E4C40">
              <w:rPr>
                <w:sz w:val="24"/>
              </w:rPr>
              <w:t>002918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3,619,039,196.51</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10,231,631.76</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DC2B5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(2017</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-2017</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交银现金宝货币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交银现金宝货币</w:t>
            </w:r>
            <w:r w:rsidRPr="000E4C40">
              <w:rPr>
                <w:sz w:val="24"/>
              </w:rPr>
              <w:t>E</w:t>
            </w:r>
          </w:p>
        </w:tc>
      </w:tr>
      <w:tr w:rsidR="00E8309D" w:rsidRPr="000E4C40" w:rsidTr="00E7561F">
        <w:trPr>
          <w:trHeight w:val="343"/>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30,530,686.28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90,691.12</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30,530,686.28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90,691.12</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3,619,039,196.51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10,231,631.76</w:t>
            </w:r>
          </w:p>
        </w:tc>
      </w:tr>
    </w:tbl>
    <w:p w:rsidR="002A17EE" w:rsidRDefault="00725CC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类基金份额与分类前基金连续计算，</w:t>
      </w:r>
      <w:r>
        <w:rPr>
          <w:color w:val="000000"/>
          <w:sz w:val="24"/>
        </w:rPr>
        <w:t>E</w:t>
      </w:r>
      <w:r>
        <w:rPr>
          <w:color w:val="000000"/>
          <w:sz w:val="24"/>
        </w:rPr>
        <w:t>类基金份额按新设基金计算；</w:t>
      </w:r>
    </w:p>
    <w:p w:rsidR="00893021" w:rsidRPr="000E4C40" w:rsidRDefault="00893021" w:rsidP="00E7561F">
      <w:pPr>
        <w:autoSpaceDE w:val="0"/>
        <w:autoSpaceDN w:val="0"/>
        <w:adjustRightInd w:val="0"/>
        <w:spacing w:before="29" w:line="288" w:lineRule="auto"/>
        <w:ind w:firstLineChars="200" w:firstLine="480"/>
        <w:jc w:val="left"/>
        <w:rPr>
          <w:color w:val="000000"/>
          <w:sz w:val="24"/>
        </w:rPr>
      </w:pPr>
      <w:r w:rsidRPr="000E4C40">
        <w:rPr>
          <w:color w:val="000000"/>
          <w:sz w:val="24"/>
        </w:rPr>
        <w:t>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交银现金宝货币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2A17EE">
        <w:trPr>
          <w:jc w:val="center"/>
        </w:trPr>
        <w:tc>
          <w:tcPr>
            <w:tcW w:w="1266" w:type="dxa"/>
            <w:vAlign w:val="center"/>
          </w:tcPr>
          <w:p w:rsidR="002A17EE" w:rsidRDefault="00725CCF">
            <w:pPr>
              <w:jc w:val="left"/>
            </w:pPr>
            <w:r>
              <w:rPr>
                <w:color w:val="000000"/>
              </w:rPr>
              <w:t>过去三个月</w:t>
            </w:r>
          </w:p>
        </w:tc>
        <w:tc>
          <w:tcPr>
            <w:tcW w:w="1267" w:type="dxa"/>
            <w:vAlign w:val="center"/>
          </w:tcPr>
          <w:p w:rsidR="002A17EE" w:rsidRDefault="00725CCF">
            <w:pPr>
              <w:jc w:val="center"/>
            </w:pPr>
            <w:r>
              <w:rPr>
                <w:color w:val="000000"/>
              </w:rPr>
              <w:t>0.7949%</w:t>
            </w:r>
          </w:p>
        </w:tc>
        <w:tc>
          <w:tcPr>
            <w:tcW w:w="1267" w:type="dxa"/>
            <w:vAlign w:val="center"/>
          </w:tcPr>
          <w:p w:rsidR="002A17EE" w:rsidRDefault="00725CCF">
            <w:pPr>
              <w:jc w:val="center"/>
            </w:pPr>
            <w:r>
              <w:rPr>
                <w:color w:val="000000"/>
              </w:rPr>
              <w:t>0.0008%</w:t>
            </w:r>
          </w:p>
        </w:tc>
        <w:tc>
          <w:tcPr>
            <w:tcW w:w="1267" w:type="dxa"/>
            <w:vAlign w:val="center"/>
          </w:tcPr>
          <w:p w:rsidR="002A17EE" w:rsidRDefault="00725CCF">
            <w:pPr>
              <w:jc w:val="center"/>
            </w:pPr>
            <w:r>
              <w:rPr>
                <w:color w:val="000000"/>
              </w:rPr>
              <w:t>0.0873%</w:t>
            </w:r>
          </w:p>
        </w:tc>
        <w:tc>
          <w:tcPr>
            <w:tcW w:w="1267" w:type="dxa"/>
            <w:vAlign w:val="center"/>
          </w:tcPr>
          <w:p w:rsidR="002A17EE" w:rsidRDefault="00725CCF">
            <w:pPr>
              <w:jc w:val="center"/>
            </w:pPr>
            <w:r>
              <w:rPr>
                <w:color w:val="000000"/>
              </w:rPr>
              <w:t>0.0000%</w:t>
            </w:r>
          </w:p>
        </w:tc>
        <w:tc>
          <w:tcPr>
            <w:tcW w:w="1267" w:type="dxa"/>
            <w:vAlign w:val="center"/>
          </w:tcPr>
          <w:p w:rsidR="002A17EE" w:rsidRDefault="00725CCF">
            <w:pPr>
              <w:jc w:val="center"/>
            </w:pPr>
            <w:r>
              <w:rPr>
                <w:color w:val="000000"/>
              </w:rPr>
              <w:t>0.7076%</w:t>
            </w:r>
          </w:p>
        </w:tc>
        <w:tc>
          <w:tcPr>
            <w:tcW w:w="1267" w:type="dxa"/>
            <w:vAlign w:val="center"/>
          </w:tcPr>
          <w:p w:rsidR="002A17EE" w:rsidRDefault="00725CCF">
            <w:pPr>
              <w:jc w:val="center"/>
            </w:pPr>
            <w:r>
              <w:rPr>
                <w:color w:val="000000"/>
              </w:rPr>
              <w:t>0.0008%</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交银现金宝货币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2A17EE">
        <w:trPr>
          <w:jc w:val="center"/>
        </w:trPr>
        <w:tc>
          <w:tcPr>
            <w:tcW w:w="1266" w:type="dxa"/>
            <w:vAlign w:val="center"/>
          </w:tcPr>
          <w:p w:rsidR="002A17EE" w:rsidRDefault="00725CCF">
            <w:pPr>
              <w:jc w:val="left"/>
            </w:pPr>
            <w:r>
              <w:rPr>
                <w:color w:val="000000"/>
              </w:rPr>
              <w:t>过去三个月</w:t>
            </w:r>
          </w:p>
        </w:tc>
        <w:tc>
          <w:tcPr>
            <w:tcW w:w="1267" w:type="dxa"/>
            <w:vAlign w:val="center"/>
          </w:tcPr>
          <w:p w:rsidR="002A17EE" w:rsidRDefault="00725CCF">
            <w:pPr>
              <w:jc w:val="center"/>
            </w:pPr>
            <w:r>
              <w:rPr>
                <w:color w:val="000000"/>
              </w:rPr>
              <w:t>0.8551%</w:t>
            </w:r>
          </w:p>
        </w:tc>
        <w:tc>
          <w:tcPr>
            <w:tcW w:w="1267" w:type="dxa"/>
            <w:vAlign w:val="center"/>
          </w:tcPr>
          <w:p w:rsidR="002A17EE" w:rsidRDefault="00725CCF">
            <w:pPr>
              <w:jc w:val="center"/>
            </w:pPr>
            <w:r>
              <w:rPr>
                <w:color w:val="000000"/>
              </w:rPr>
              <w:t>0.0008%</w:t>
            </w:r>
          </w:p>
        </w:tc>
        <w:tc>
          <w:tcPr>
            <w:tcW w:w="1267" w:type="dxa"/>
            <w:vAlign w:val="center"/>
          </w:tcPr>
          <w:p w:rsidR="002A17EE" w:rsidRDefault="00725CCF">
            <w:pPr>
              <w:jc w:val="center"/>
            </w:pPr>
            <w:r>
              <w:rPr>
                <w:color w:val="000000"/>
              </w:rPr>
              <w:t>0.0873%</w:t>
            </w:r>
          </w:p>
        </w:tc>
        <w:tc>
          <w:tcPr>
            <w:tcW w:w="1267" w:type="dxa"/>
            <w:vAlign w:val="center"/>
          </w:tcPr>
          <w:p w:rsidR="002A17EE" w:rsidRDefault="00725CCF">
            <w:pPr>
              <w:jc w:val="center"/>
            </w:pPr>
            <w:r>
              <w:rPr>
                <w:color w:val="000000"/>
              </w:rPr>
              <w:t>0.0000%</w:t>
            </w:r>
          </w:p>
        </w:tc>
        <w:tc>
          <w:tcPr>
            <w:tcW w:w="1267" w:type="dxa"/>
            <w:vAlign w:val="center"/>
          </w:tcPr>
          <w:p w:rsidR="002A17EE" w:rsidRDefault="00725CCF">
            <w:pPr>
              <w:jc w:val="center"/>
            </w:pPr>
            <w:r>
              <w:rPr>
                <w:color w:val="000000"/>
              </w:rPr>
              <w:t>0.7678%</w:t>
            </w:r>
          </w:p>
        </w:tc>
        <w:tc>
          <w:tcPr>
            <w:tcW w:w="1267" w:type="dxa"/>
            <w:vAlign w:val="center"/>
          </w:tcPr>
          <w:p w:rsidR="002A17EE" w:rsidRDefault="00725CCF">
            <w:pPr>
              <w:jc w:val="center"/>
            </w:pPr>
            <w:r>
              <w:rPr>
                <w:color w:val="000000"/>
              </w:rPr>
              <w:t>0.0008%</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交银施罗德现金宝货币市场基金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2014</w:t>
      </w:r>
      <w:r w:rsidR="00D87D00" w:rsidRPr="000E4C40">
        <w:rPr>
          <w:color w:val="000000"/>
          <w:kern w:val="0"/>
          <w:sz w:val="24"/>
        </w:rPr>
        <w:t>年</w:t>
      </w:r>
      <w:r w:rsidR="00D87D00" w:rsidRPr="000E4C40">
        <w:rPr>
          <w:color w:val="000000"/>
          <w:kern w:val="0"/>
          <w:sz w:val="24"/>
        </w:rPr>
        <w:t>9</w:t>
      </w:r>
      <w:r w:rsidR="00D87D00" w:rsidRPr="000E4C40">
        <w:rPr>
          <w:color w:val="000000"/>
          <w:kern w:val="0"/>
          <w:sz w:val="24"/>
        </w:rPr>
        <w:t>月</w:t>
      </w:r>
      <w:r w:rsidR="00D87D00" w:rsidRPr="000E4C40">
        <w:rPr>
          <w:color w:val="000000"/>
          <w:kern w:val="0"/>
          <w:sz w:val="24"/>
        </w:rPr>
        <w:t>12</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2017</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交银现金宝货币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2014</w:t>
      </w:r>
      <w:r w:rsidRPr="000E4C40">
        <w:rPr>
          <w:color w:val="000000"/>
          <w:sz w:val="24"/>
        </w:rPr>
        <w:t>年</w:t>
      </w:r>
      <w:r w:rsidRPr="000E4C40">
        <w:rPr>
          <w:color w:val="000000"/>
          <w:sz w:val="24"/>
        </w:rPr>
        <w:t>9</w:t>
      </w:r>
      <w:r w:rsidRPr="000E4C40">
        <w:rPr>
          <w:color w:val="000000"/>
          <w:sz w:val="24"/>
        </w:rPr>
        <w:t>月</w:t>
      </w:r>
      <w:r w:rsidRPr="000E4C40">
        <w:rPr>
          <w:color w:val="000000"/>
          <w:sz w:val="24"/>
        </w:rPr>
        <w:t>12</w:t>
      </w:r>
      <w:r w:rsidRPr="000E4C40">
        <w:rPr>
          <w:color w:val="000000"/>
          <w:sz w:val="24"/>
        </w:rPr>
        <w:t>日至</w:t>
      </w:r>
      <w:r w:rsidRPr="000E4C40">
        <w:rPr>
          <w:color w:val="000000"/>
          <w:sz w:val="24"/>
        </w:rPr>
        <w:t>2017</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交银现金宝货币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注：本基金自</w:t>
      </w:r>
      <w:r w:rsidRPr="000E4C40">
        <w:rPr>
          <w:color w:val="000000"/>
          <w:sz w:val="24"/>
        </w:rPr>
        <w:t>2016</w:t>
      </w:r>
      <w:r w:rsidRPr="000E4C40">
        <w:rPr>
          <w:color w:val="000000"/>
          <w:sz w:val="24"/>
        </w:rPr>
        <w:t>年</w:t>
      </w:r>
      <w:r w:rsidRPr="000E4C40">
        <w:rPr>
          <w:color w:val="000000"/>
          <w:sz w:val="24"/>
        </w:rPr>
        <w:t>8</w:t>
      </w:r>
      <w:r w:rsidRPr="000E4C40">
        <w:rPr>
          <w:color w:val="000000"/>
          <w:sz w:val="24"/>
        </w:rPr>
        <w:t>月</w:t>
      </w:r>
      <w:r w:rsidRPr="000E4C40">
        <w:rPr>
          <w:color w:val="000000"/>
          <w:sz w:val="24"/>
        </w:rPr>
        <w:t>15</w:t>
      </w:r>
      <w:r w:rsidRPr="000E4C40">
        <w:rPr>
          <w:color w:val="000000"/>
          <w:sz w:val="24"/>
        </w:rPr>
        <w:t>日起增加</w:t>
      </w:r>
      <w:r w:rsidRPr="000E4C40">
        <w:rPr>
          <w:color w:val="000000"/>
          <w:sz w:val="24"/>
        </w:rPr>
        <w:t>E</w:t>
      </w:r>
      <w:r w:rsidRPr="000E4C40">
        <w:rPr>
          <w:color w:val="000000"/>
          <w:sz w:val="24"/>
        </w:rPr>
        <w:t>类基金份额类别，投资者提交的申购申请于</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日被确认并将有效份额登记在册。图示日期为</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日至</w:t>
      </w:r>
      <w:r w:rsidRPr="000E4C40">
        <w:rPr>
          <w:color w:val="000000"/>
          <w:sz w:val="24"/>
        </w:rPr>
        <w:t>2017</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p>
    <w:p w:rsidR="00CA65DD" w:rsidRPr="000E4C40" w:rsidRDefault="00CA65DD" w:rsidP="00281564">
      <w:pPr>
        <w:tabs>
          <w:tab w:val="left" w:pos="1800"/>
        </w:tabs>
        <w:spacing w:before="29" w:line="288" w:lineRule="auto"/>
        <w:rPr>
          <w:color w:val="000000"/>
          <w:sz w:val="24"/>
        </w:rPr>
      </w:pPr>
    </w:p>
    <w:p w:rsidR="00902E3F" w:rsidRPr="000E4C40" w:rsidRDefault="00902E3F" w:rsidP="00DC2B5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651394">
        <w:trPr>
          <w:jc w:val="center"/>
        </w:trPr>
        <w:tc>
          <w:tcPr>
            <w:tcW w:w="945"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589"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56"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86"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3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651394">
        <w:trPr>
          <w:jc w:val="center"/>
        </w:trPr>
        <w:tc>
          <w:tcPr>
            <w:tcW w:w="945"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589"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7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7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86"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3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2A17EE">
        <w:trPr>
          <w:jc w:val="center"/>
        </w:trPr>
        <w:tc>
          <w:tcPr>
            <w:tcW w:w="945" w:type="dxa"/>
            <w:vAlign w:val="center"/>
          </w:tcPr>
          <w:p w:rsidR="002A17EE" w:rsidRDefault="00725CCF">
            <w:pPr>
              <w:jc w:val="center"/>
            </w:pPr>
            <w:r>
              <w:rPr>
                <w:color w:val="000000"/>
                <w:sz w:val="24"/>
              </w:rPr>
              <w:t>黄莹洁</w:t>
            </w:r>
          </w:p>
        </w:tc>
        <w:tc>
          <w:tcPr>
            <w:tcW w:w="1589" w:type="dxa"/>
            <w:vAlign w:val="center"/>
          </w:tcPr>
          <w:p w:rsidR="002A17EE" w:rsidRDefault="00725CCF">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天债券、交银现金宝货币、交银丰享收益债券、交银丰泽收益债券、交银裕通纯债债券、交银活期通货币、交银天利宝货币、交银裕隆纯债债券、交银天鑫宝货币、交银天益宝货币、交银境尚收益债券的基金经理</w:t>
            </w:r>
          </w:p>
        </w:tc>
        <w:tc>
          <w:tcPr>
            <w:tcW w:w="1478" w:type="dxa"/>
            <w:vAlign w:val="center"/>
          </w:tcPr>
          <w:p w:rsidR="002A17EE" w:rsidRDefault="00725CCF">
            <w:pPr>
              <w:jc w:val="center"/>
            </w:pPr>
            <w:r>
              <w:rPr>
                <w:color w:val="000000"/>
                <w:sz w:val="24"/>
              </w:rPr>
              <w:t>2015-05-27</w:t>
            </w:r>
          </w:p>
        </w:tc>
        <w:tc>
          <w:tcPr>
            <w:tcW w:w="1478" w:type="dxa"/>
            <w:vAlign w:val="center"/>
          </w:tcPr>
          <w:p w:rsidR="002A17EE" w:rsidRDefault="00725CCF">
            <w:pPr>
              <w:jc w:val="center"/>
            </w:pPr>
            <w:r>
              <w:rPr>
                <w:color w:val="000000"/>
                <w:sz w:val="24"/>
              </w:rPr>
              <w:t>-</w:t>
            </w:r>
          </w:p>
        </w:tc>
        <w:tc>
          <w:tcPr>
            <w:tcW w:w="986" w:type="dxa"/>
            <w:vAlign w:val="center"/>
          </w:tcPr>
          <w:p w:rsidR="002A17EE" w:rsidRDefault="00725CCF">
            <w:pPr>
              <w:jc w:val="center"/>
            </w:pPr>
            <w:r>
              <w:rPr>
                <w:color w:val="000000"/>
                <w:sz w:val="24"/>
              </w:rPr>
              <w:t>9</w:t>
            </w:r>
            <w:r>
              <w:rPr>
                <w:color w:val="000000"/>
                <w:sz w:val="24"/>
              </w:rPr>
              <w:t>年</w:t>
            </w:r>
          </w:p>
        </w:tc>
        <w:tc>
          <w:tcPr>
            <w:tcW w:w="2392" w:type="dxa"/>
            <w:vAlign w:val="center"/>
          </w:tcPr>
          <w:p w:rsidR="002A17EE" w:rsidRDefault="00725CCF">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p w:rsidR="002A17EE" w:rsidRDefault="002A17EE"/>
        </w:tc>
      </w:tr>
      <w:tr w:rsidR="002A17EE">
        <w:trPr>
          <w:jc w:val="center"/>
        </w:trPr>
        <w:tc>
          <w:tcPr>
            <w:tcW w:w="945" w:type="dxa"/>
            <w:vAlign w:val="center"/>
          </w:tcPr>
          <w:p w:rsidR="002A17EE" w:rsidRDefault="00725CCF">
            <w:pPr>
              <w:jc w:val="center"/>
            </w:pPr>
            <w:r>
              <w:rPr>
                <w:color w:val="000000"/>
                <w:sz w:val="24"/>
              </w:rPr>
              <w:t>连端清</w:t>
            </w:r>
          </w:p>
        </w:tc>
        <w:tc>
          <w:tcPr>
            <w:tcW w:w="1589" w:type="dxa"/>
            <w:vAlign w:val="center"/>
          </w:tcPr>
          <w:p w:rsidR="002A17EE" w:rsidRDefault="00725CCF">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的基金经理</w:t>
            </w:r>
          </w:p>
        </w:tc>
        <w:tc>
          <w:tcPr>
            <w:tcW w:w="1478" w:type="dxa"/>
            <w:vAlign w:val="center"/>
          </w:tcPr>
          <w:p w:rsidR="002A17EE" w:rsidRDefault="00725CCF">
            <w:pPr>
              <w:jc w:val="center"/>
            </w:pPr>
            <w:r>
              <w:rPr>
                <w:color w:val="000000"/>
                <w:sz w:val="24"/>
              </w:rPr>
              <w:t>2015-08-04</w:t>
            </w:r>
          </w:p>
        </w:tc>
        <w:tc>
          <w:tcPr>
            <w:tcW w:w="1478" w:type="dxa"/>
            <w:vAlign w:val="center"/>
          </w:tcPr>
          <w:p w:rsidR="002A17EE" w:rsidRDefault="00725CCF">
            <w:pPr>
              <w:jc w:val="center"/>
            </w:pPr>
            <w:r>
              <w:rPr>
                <w:color w:val="000000"/>
                <w:sz w:val="24"/>
              </w:rPr>
              <w:t>-</w:t>
            </w:r>
          </w:p>
        </w:tc>
        <w:tc>
          <w:tcPr>
            <w:tcW w:w="986" w:type="dxa"/>
            <w:vAlign w:val="center"/>
          </w:tcPr>
          <w:p w:rsidR="002A17EE" w:rsidRDefault="00725CCF">
            <w:pPr>
              <w:jc w:val="center"/>
            </w:pPr>
            <w:r>
              <w:rPr>
                <w:color w:val="000000"/>
                <w:sz w:val="24"/>
              </w:rPr>
              <w:t>4</w:t>
            </w:r>
            <w:r>
              <w:rPr>
                <w:color w:val="000000"/>
                <w:sz w:val="24"/>
              </w:rPr>
              <w:t>年</w:t>
            </w:r>
          </w:p>
        </w:tc>
        <w:tc>
          <w:tcPr>
            <w:tcW w:w="2392" w:type="dxa"/>
            <w:vAlign w:val="center"/>
          </w:tcPr>
          <w:p w:rsidR="002A17EE" w:rsidRDefault="00725CCF">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p w:rsidR="002A17EE" w:rsidRDefault="002A17EE"/>
        </w:tc>
      </w:tr>
    </w:tbl>
    <w:p w:rsidR="00651394" w:rsidRDefault="00651394" w:rsidP="002336CB">
      <w:pPr>
        <w:pStyle w:val="a9"/>
        <w:autoSpaceDE w:val="0"/>
        <w:autoSpaceDN w:val="0"/>
        <w:spacing w:before="29" w:line="288" w:lineRule="auto"/>
        <w:ind w:left="360" w:firstLineChars="0" w:firstLine="0"/>
        <w:jc w:val="left"/>
        <w:rPr>
          <w:kern w:val="0"/>
          <w:sz w:val="24"/>
        </w:rPr>
      </w:pPr>
      <w:r>
        <w:rPr>
          <w:rFonts w:ascii="宋体" w:hAnsi="宋体" w:hint="eastAsia"/>
          <w:sz w:val="24"/>
        </w:rPr>
        <w:t>注：</w:t>
      </w:r>
      <w:r>
        <w:rPr>
          <w:sz w:val="24"/>
        </w:rPr>
        <w:t>1</w:t>
      </w:r>
      <w:r>
        <w:rPr>
          <w:rFonts w:ascii="宋体" w:hAnsi="宋体" w:hint="eastAsia"/>
          <w:sz w:val="24"/>
        </w:rPr>
        <w:t>、本表所列基金经理（助理）任职日期和离职日期均以基金合同生效日或公司作出决定并公告</w:t>
      </w:r>
      <w:r>
        <w:rPr>
          <w:sz w:val="24"/>
        </w:rPr>
        <w:t>(</w:t>
      </w:r>
      <w:r>
        <w:rPr>
          <w:rFonts w:ascii="宋体" w:hAnsi="宋体" w:hint="eastAsia"/>
          <w:sz w:val="24"/>
        </w:rPr>
        <w:t>如适用</w:t>
      </w:r>
      <w:r>
        <w:rPr>
          <w:sz w:val="24"/>
        </w:rPr>
        <w:t>)</w:t>
      </w:r>
      <w:r>
        <w:rPr>
          <w:rFonts w:ascii="宋体" w:hAnsi="宋体" w:hint="eastAsia"/>
          <w:sz w:val="24"/>
        </w:rPr>
        <w:t>之日为准；</w:t>
      </w:r>
    </w:p>
    <w:p w:rsidR="00651394" w:rsidRDefault="00651394" w:rsidP="00651394">
      <w:pPr>
        <w:pStyle w:val="a9"/>
        <w:autoSpaceDE w:val="0"/>
        <w:autoSpaceDN w:val="0"/>
        <w:spacing w:before="29" w:line="288" w:lineRule="auto"/>
        <w:ind w:left="360" w:firstLine="480"/>
        <w:jc w:val="left"/>
        <w:rPr>
          <w:sz w:val="24"/>
        </w:rPr>
      </w:pPr>
      <w:r>
        <w:rPr>
          <w:sz w:val="24"/>
        </w:rPr>
        <w:t>2</w:t>
      </w:r>
      <w:r>
        <w:rPr>
          <w:rFonts w:ascii="宋体" w:hAnsi="宋体" w:hint="eastAsia"/>
          <w:sz w:val="24"/>
        </w:rPr>
        <w:t>、本表所列基金经理（助理）证券从业年限中的</w:t>
      </w:r>
      <w:r>
        <w:rPr>
          <w:sz w:val="24"/>
        </w:rPr>
        <w:t>“</w:t>
      </w:r>
      <w:r>
        <w:rPr>
          <w:rFonts w:ascii="宋体" w:hAnsi="宋体" w:hint="eastAsia"/>
          <w:sz w:val="24"/>
        </w:rPr>
        <w:t>证券从业</w:t>
      </w:r>
      <w:r>
        <w:rPr>
          <w:sz w:val="24"/>
        </w:rPr>
        <w:t>”</w:t>
      </w:r>
      <w:r>
        <w:rPr>
          <w:rFonts w:ascii="宋体" w:hAnsi="宋体" w:hint="eastAsia"/>
          <w:sz w:val="24"/>
        </w:rPr>
        <w:t>的含义遵从中国证券业协会《证券业从业人员资格管理办法》的相关规定；</w:t>
      </w:r>
      <w:r>
        <w:rPr>
          <w:sz w:val="24"/>
        </w:rPr>
        <w:t xml:space="preserve"> </w:t>
      </w:r>
    </w:p>
    <w:p w:rsidR="00651394" w:rsidRDefault="00651394" w:rsidP="00651394">
      <w:pPr>
        <w:pStyle w:val="a9"/>
        <w:autoSpaceDE w:val="0"/>
        <w:autoSpaceDN w:val="0"/>
        <w:spacing w:before="29" w:line="288" w:lineRule="auto"/>
        <w:ind w:left="360" w:firstLine="480"/>
        <w:jc w:val="left"/>
        <w:rPr>
          <w:sz w:val="24"/>
        </w:rPr>
      </w:pPr>
      <w:r>
        <w:rPr>
          <w:sz w:val="24"/>
        </w:rPr>
        <w:t>3</w:t>
      </w:r>
      <w:r>
        <w:rPr>
          <w:rFonts w:ascii="宋体" w:hAnsi="宋体" w:hint="eastAsia"/>
          <w:sz w:val="24"/>
        </w:rPr>
        <w:t>、基金经理（或基金经理小组）期后变动（如有）敬请关注基金管理人发布的相关公告。</w:t>
      </w:r>
    </w:p>
    <w:p w:rsidR="00C4627A" w:rsidRPr="00651394" w:rsidRDefault="00C4627A" w:rsidP="00281564">
      <w:pPr>
        <w:autoSpaceDE w:val="0"/>
        <w:autoSpaceDN w:val="0"/>
        <w:adjustRightInd w:val="0"/>
        <w:spacing w:before="29" w:line="288" w:lineRule="auto"/>
        <w:jc w:val="left"/>
        <w:rPr>
          <w:color w:val="000000"/>
          <w:sz w:val="24"/>
        </w:rPr>
      </w:pP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2A17EE" w:rsidRDefault="00725CC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A17EE" w:rsidRDefault="00725CC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A17EE" w:rsidRDefault="00725CC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A17EE" w:rsidRDefault="00725CCF">
      <w:pPr>
        <w:spacing w:before="29" w:line="288" w:lineRule="auto"/>
        <w:ind w:firstLineChars="200" w:firstLine="480"/>
        <w:rPr>
          <w:color w:val="000000"/>
          <w:sz w:val="24"/>
        </w:rPr>
      </w:pPr>
      <w:r>
        <w:rPr>
          <w:color w:val="000000"/>
          <w:sz w:val="24"/>
        </w:rPr>
        <w:t>报告期内本公司严格执行公平交易制度，公平对待旗下各投资组合，未发现任何违反公平交易的行为。</w:t>
      </w:r>
    </w:p>
    <w:p w:rsidR="00C4627A" w:rsidRPr="000E4C40" w:rsidRDefault="00C4627A" w:rsidP="00281564">
      <w:pPr>
        <w:spacing w:before="29" w:line="288" w:lineRule="auto"/>
        <w:ind w:firstLineChars="200" w:firstLine="480"/>
        <w:rPr>
          <w:color w:val="000000"/>
          <w:sz w:val="24"/>
        </w:rPr>
      </w:pP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2A17EE" w:rsidRDefault="00725CCF">
      <w:pPr>
        <w:spacing w:before="29" w:line="288" w:lineRule="auto"/>
        <w:ind w:firstLineChars="200" w:firstLine="480"/>
        <w:rPr>
          <w:color w:val="000000"/>
          <w:sz w:val="24"/>
        </w:rPr>
      </w:pPr>
      <w:r>
        <w:rPr>
          <w:color w:val="000000"/>
          <w:sz w:val="24"/>
        </w:rPr>
        <w:t>2017</w:t>
      </w:r>
      <w:r>
        <w:rPr>
          <w:color w:val="000000"/>
          <w:sz w:val="24"/>
        </w:rPr>
        <w:t>年二季度，国内经济整体平稳，但已运行至小周期的高点。随着楼市调控政策进一步加码，银行对住房按揭贷款趋向谨慎，房地产投资同比增速在四月份上升至</w:t>
      </w:r>
      <w:r>
        <w:rPr>
          <w:color w:val="000000"/>
          <w:sz w:val="24"/>
        </w:rPr>
        <w:t>9.3%</w:t>
      </w:r>
      <w:r>
        <w:rPr>
          <w:color w:val="000000"/>
          <w:sz w:val="24"/>
        </w:rPr>
        <w:t>的高点后开始下行。二季度，中采制造业</w:t>
      </w:r>
      <w:r>
        <w:rPr>
          <w:color w:val="000000"/>
          <w:sz w:val="24"/>
        </w:rPr>
        <w:t>PMI</w:t>
      </w:r>
      <w:r>
        <w:rPr>
          <w:color w:val="000000"/>
          <w:sz w:val="24"/>
        </w:rPr>
        <w:t>从三月份的高点下行之后出现高位震荡，</w:t>
      </w:r>
      <w:r>
        <w:rPr>
          <w:color w:val="000000"/>
          <w:sz w:val="24"/>
        </w:rPr>
        <w:t>PPI</w:t>
      </w:r>
      <w:r>
        <w:rPr>
          <w:color w:val="000000"/>
          <w:sz w:val="24"/>
        </w:rPr>
        <w:t>呈逐步下行走势。鉴于国内经济形势相对稳定，但金融泡沫较大，且美联储上半年加息节奏加快，二季度银监会等三会强化金融行业监管，旨在降低金融市场风险，给市场造成了影响。为配合三会强化金融监管，央行二季度货币政策转向</w:t>
      </w:r>
      <w:r>
        <w:rPr>
          <w:color w:val="000000"/>
          <w:sz w:val="24"/>
        </w:rPr>
        <w:t>“</w:t>
      </w:r>
      <w:r>
        <w:rPr>
          <w:color w:val="000000"/>
          <w:sz w:val="24"/>
        </w:rPr>
        <w:t>不松不紧</w:t>
      </w:r>
      <w:r>
        <w:rPr>
          <w:color w:val="000000"/>
          <w:sz w:val="24"/>
        </w:rPr>
        <w:t>”</w:t>
      </w:r>
      <w:r>
        <w:rPr>
          <w:color w:val="000000"/>
          <w:sz w:val="24"/>
        </w:rPr>
        <w:t>，加大了市场维稳力度。央行公开市场净投放</w:t>
      </w:r>
      <w:r>
        <w:rPr>
          <w:color w:val="000000"/>
          <w:sz w:val="24"/>
        </w:rPr>
        <w:t>2700</w:t>
      </w:r>
      <w:r>
        <w:rPr>
          <w:color w:val="000000"/>
          <w:sz w:val="24"/>
        </w:rPr>
        <w:t>亿元，尤其在六月初投放</w:t>
      </w:r>
      <w:r>
        <w:rPr>
          <w:color w:val="000000"/>
          <w:sz w:val="24"/>
        </w:rPr>
        <w:t>1</w:t>
      </w:r>
      <w:r>
        <w:rPr>
          <w:color w:val="000000"/>
          <w:sz w:val="24"/>
        </w:rPr>
        <w:t>年期</w:t>
      </w:r>
      <w:r>
        <w:rPr>
          <w:color w:val="000000"/>
          <w:sz w:val="24"/>
        </w:rPr>
        <w:t>MLF4980</w:t>
      </w:r>
      <w:r>
        <w:rPr>
          <w:color w:val="000000"/>
          <w:sz w:val="24"/>
        </w:rPr>
        <w:t>亿元，主动引导市场机构对六月资金面向好的预期。</w:t>
      </w:r>
    </w:p>
    <w:p w:rsidR="002A17EE" w:rsidRDefault="00725CCF">
      <w:pPr>
        <w:spacing w:before="29" w:line="288" w:lineRule="auto"/>
        <w:ind w:firstLineChars="200" w:firstLine="480"/>
        <w:rPr>
          <w:color w:val="000000"/>
          <w:sz w:val="24"/>
        </w:rPr>
      </w:pPr>
      <w:r>
        <w:rPr>
          <w:color w:val="000000"/>
          <w:sz w:val="24"/>
        </w:rPr>
        <w:t>资金面上，受央行维稳金融市场影响，二季度市场资金面进一步好转，但是资金价格中枢继续上移，六月末</w:t>
      </w:r>
      <w:r>
        <w:rPr>
          <w:color w:val="000000"/>
          <w:sz w:val="24"/>
        </w:rPr>
        <w:t>R001</w:t>
      </w:r>
      <w:r>
        <w:rPr>
          <w:color w:val="000000"/>
          <w:sz w:val="24"/>
        </w:rPr>
        <w:t>较一季末上升</w:t>
      </w:r>
      <w:r>
        <w:rPr>
          <w:color w:val="000000"/>
          <w:sz w:val="24"/>
        </w:rPr>
        <w:t>30BP</w:t>
      </w:r>
      <w:r>
        <w:rPr>
          <w:color w:val="000000"/>
          <w:sz w:val="24"/>
        </w:rPr>
        <w:t>以上。受经济稳定、三会加强金融监管以及六月资金面显著好于市场预期等因素交替冲击，二季度债市经历四、五月份的大幅下跌之后，在六月份迎来回暖行情。其中，六月底银行间市场</w:t>
      </w:r>
      <w:r>
        <w:rPr>
          <w:color w:val="000000"/>
          <w:sz w:val="24"/>
        </w:rPr>
        <w:t>10</w:t>
      </w:r>
      <w:r>
        <w:rPr>
          <w:color w:val="000000"/>
          <w:sz w:val="24"/>
        </w:rPr>
        <w:t>年期国开债</w:t>
      </w:r>
      <w:r>
        <w:rPr>
          <w:color w:val="000000"/>
          <w:sz w:val="24"/>
        </w:rPr>
        <w:t>YTM</w:t>
      </w:r>
      <w:r>
        <w:rPr>
          <w:color w:val="000000"/>
          <w:sz w:val="24"/>
        </w:rPr>
        <w:t>较一季末上升</w:t>
      </w:r>
      <w:r>
        <w:rPr>
          <w:color w:val="000000"/>
          <w:sz w:val="24"/>
        </w:rPr>
        <w:t>13</w:t>
      </w:r>
      <w:r>
        <w:rPr>
          <w:color w:val="000000"/>
          <w:sz w:val="24"/>
        </w:rPr>
        <w:t>个</w:t>
      </w:r>
      <w:r>
        <w:rPr>
          <w:color w:val="000000"/>
          <w:sz w:val="24"/>
        </w:rPr>
        <w:t>BP</w:t>
      </w:r>
      <w:r>
        <w:rPr>
          <w:color w:val="000000"/>
          <w:sz w:val="24"/>
        </w:rPr>
        <w:t>以上，较去年底上升</w:t>
      </w:r>
      <w:r>
        <w:rPr>
          <w:color w:val="000000"/>
          <w:sz w:val="24"/>
        </w:rPr>
        <w:t>51</w:t>
      </w:r>
      <w:r>
        <w:rPr>
          <w:color w:val="000000"/>
          <w:sz w:val="24"/>
        </w:rPr>
        <w:t>个</w:t>
      </w:r>
      <w:r>
        <w:rPr>
          <w:color w:val="000000"/>
          <w:sz w:val="24"/>
        </w:rPr>
        <w:t>BP</w:t>
      </w:r>
      <w:r>
        <w:rPr>
          <w:color w:val="000000"/>
          <w:sz w:val="24"/>
        </w:rPr>
        <w:t>以上；六月底</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较一季末上升</w:t>
      </w:r>
      <w:r>
        <w:rPr>
          <w:color w:val="000000"/>
          <w:sz w:val="24"/>
        </w:rPr>
        <w:t>13</w:t>
      </w:r>
      <w:r>
        <w:rPr>
          <w:color w:val="000000"/>
          <w:sz w:val="24"/>
        </w:rPr>
        <w:t>个</w:t>
      </w:r>
      <w:r>
        <w:rPr>
          <w:color w:val="000000"/>
          <w:sz w:val="24"/>
        </w:rPr>
        <w:t>BP</w:t>
      </w:r>
      <w:r>
        <w:rPr>
          <w:color w:val="000000"/>
          <w:sz w:val="24"/>
        </w:rPr>
        <w:t>以上，较去年底上升</w:t>
      </w:r>
      <w:r>
        <w:rPr>
          <w:color w:val="000000"/>
          <w:sz w:val="24"/>
        </w:rPr>
        <w:t>54</w:t>
      </w:r>
      <w:r>
        <w:rPr>
          <w:color w:val="000000"/>
          <w:sz w:val="24"/>
        </w:rPr>
        <w:t>个</w:t>
      </w:r>
      <w:r>
        <w:rPr>
          <w:color w:val="000000"/>
          <w:sz w:val="24"/>
        </w:rPr>
        <w:t>BP</w:t>
      </w:r>
      <w:r>
        <w:rPr>
          <w:color w:val="000000"/>
          <w:sz w:val="24"/>
        </w:rPr>
        <w:t>以上。</w:t>
      </w:r>
    </w:p>
    <w:p w:rsidR="002A17EE" w:rsidRDefault="00725CCF">
      <w:pPr>
        <w:spacing w:before="29" w:line="288" w:lineRule="auto"/>
        <w:ind w:firstLineChars="200" w:firstLine="480"/>
        <w:rPr>
          <w:color w:val="000000"/>
          <w:sz w:val="24"/>
        </w:rPr>
      </w:pPr>
      <w:r>
        <w:rPr>
          <w:color w:val="000000"/>
          <w:sz w:val="24"/>
        </w:rPr>
        <w:t>基金操作方面，报告期内本基金提升流动性满足客户赎回需求，管控信用风险，择机调整组合久期与杠杆；在资产类别配置上，择机加大存款存单配置力度，灵活调整存款、存单及债券配置比例，努力为持有人创造稳健的回报。</w:t>
      </w:r>
    </w:p>
    <w:p w:rsidR="00C4627A" w:rsidRPr="000E4C40" w:rsidRDefault="00C4627A" w:rsidP="00281564">
      <w:pPr>
        <w:spacing w:before="29" w:line="288" w:lineRule="auto"/>
        <w:ind w:firstLineChars="200" w:firstLine="480"/>
        <w:rPr>
          <w:color w:val="000000"/>
          <w:sz w:val="24"/>
        </w:rPr>
      </w:pPr>
      <w:r w:rsidRPr="000E4C40">
        <w:rPr>
          <w:color w:val="000000"/>
          <w:sz w:val="24"/>
        </w:rPr>
        <w:t>展望三季度，尽管国内经济已处于小周期高点，但是考虑本轮楼市调控因城施策特色、国内消费对经济增长贡献的提升以及发达经济体保持向好势头等因素，除非房地产投资出现大幅下滑，否则短期内国内经济整体上保持高位企稳的概率较大。预计短期内央行将以</w:t>
      </w:r>
      <w:r w:rsidRPr="000E4C40">
        <w:rPr>
          <w:color w:val="000000"/>
          <w:sz w:val="24"/>
        </w:rPr>
        <w:t>“</w:t>
      </w:r>
      <w:r w:rsidRPr="000E4C40">
        <w:rPr>
          <w:color w:val="000000"/>
          <w:sz w:val="24"/>
        </w:rPr>
        <w:t>不松不紧</w:t>
      </w:r>
      <w:r w:rsidRPr="000E4C40">
        <w:rPr>
          <w:color w:val="000000"/>
          <w:sz w:val="24"/>
        </w:rPr>
        <w:t>”</w:t>
      </w:r>
      <w:r w:rsidRPr="000E4C40">
        <w:rPr>
          <w:color w:val="000000"/>
          <w:sz w:val="24"/>
        </w:rPr>
        <w:t>的货币政策为主，既抑制资产价格泡沫再度膨胀，又配合三会继续深化金融监管，着力维稳金融市场。组合管理方面，本基金将积极研判宏观经济走势，密切跟踪央行货币政策操作动态，尽力保持产品较好的流动性，努力把握市场机会，尽力控制信用风险，努力为投资者创造稳健的回报。</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本报告期内，本基金</w:t>
      </w:r>
      <w:r w:rsidRPr="000E4C40">
        <w:rPr>
          <w:color w:val="000000"/>
          <w:sz w:val="24"/>
        </w:rPr>
        <w:t>A</w:t>
      </w:r>
      <w:r w:rsidRPr="000E4C40">
        <w:rPr>
          <w:color w:val="000000"/>
          <w:sz w:val="24"/>
        </w:rPr>
        <w:t>类基金份额净值收益率为</w:t>
      </w:r>
      <w:r w:rsidRPr="000E4C40">
        <w:rPr>
          <w:color w:val="000000"/>
          <w:sz w:val="24"/>
        </w:rPr>
        <w:t>0.7949%</w:t>
      </w:r>
      <w:r w:rsidRPr="000E4C40">
        <w:rPr>
          <w:color w:val="000000"/>
          <w:sz w:val="24"/>
        </w:rPr>
        <w:t>，同期业绩比较基准收益率为</w:t>
      </w:r>
      <w:r w:rsidRPr="000E4C40">
        <w:rPr>
          <w:color w:val="000000"/>
          <w:sz w:val="24"/>
        </w:rPr>
        <w:t>0.0873%</w:t>
      </w:r>
      <w:r w:rsidRPr="000E4C40">
        <w:rPr>
          <w:color w:val="000000"/>
          <w:sz w:val="24"/>
        </w:rPr>
        <w:t>；本基金</w:t>
      </w:r>
      <w:r w:rsidRPr="000E4C40">
        <w:rPr>
          <w:color w:val="000000"/>
          <w:sz w:val="24"/>
        </w:rPr>
        <w:t>E</w:t>
      </w:r>
      <w:r w:rsidRPr="000E4C40">
        <w:rPr>
          <w:color w:val="000000"/>
          <w:sz w:val="24"/>
        </w:rPr>
        <w:t>类基金份额净值收益率为</w:t>
      </w:r>
      <w:r w:rsidRPr="000E4C40">
        <w:rPr>
          <w:color w:val="000000"/>
          <w:sz w:val="24"/>
        </w:rPr>
        <w:t>0.8551%</w:t>
      </w:r>
      <w:r w:rsidRPr="000E4C40">
        <w:rPr>
          <w:color w:val="000000"/>
          <w:sz w:val="24"/>
        </w:rPr>
        <w:t>，同期业绩比较基准收益率为</w:t>
      </w:r>
      <w:r w:rsidRPr="000E4C40">
        <w:rPr>
          <w:color w:val="000000"/>
          <w:sz w:val="24"/>
        </w:rPr>
        <w:t>0.0873%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DC2B5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1,785,729,647.00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43.76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1,755,519,647.00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43.02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30,210,000.00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0.74</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413,622,000.00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10.14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1,552,641,974.05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38.05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328,780,855.07</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8.06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4,080,774,476.12</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725CCF" w:rsidP="00281564">
            <w:pPr>
              <w:spacing w:before="29" w:line="288" w:lineRule="auto"/>
              <w:jc w:val="right"/>
              <w:rPr>
                <w:sz w:val="24"/>
              </w:rPr>
            </w:pPr>
            <w:r>
              <w:rPr>
                <w:rFonts w:hint="eastAsia"/>
                <w:sz w:val="24"/>
              </w:rPr>
              <w:t>4.08</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448,798,848.80</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12.37</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103</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110</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53</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120</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6B6A9C" w:rsidP="00281564">
            <w:pPr>
              <w:autoSpaceDE w:val="0"/>
              <w:autoSpaceDN w:val="0"/>
              <w:adjustRightInd w:val="0"/>
              <w:spacing w:before="29" w:line="288" w:lineRule="auto"/>
              <w:ind w:left="15"/>
              <w:jc w:val="right"/>
              <w:rPr>
                <w:color w:val="000000"/>
                <w:kern w:val="0"/>
                <w:sz w:val="24"/>
              </w:rPr>
            </w:pPr>
            <w:r>
              <w:rPr>
                <w:color w:val="000000"/>
                <w:sz w:val="24"/>
              </w:rPr>
              <w:t>19.09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12.37</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6.06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43.52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8.51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26.20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6B6A9C" w:rsidP="00DC2B52">
            <w:pPr>
              <w:autoSpaceDE w:val="0"/>
              <w:autoSpaceDN w:val="0"/>
              <w:adjustRightInd w:val="0"/>
              <w:spacing w:before="29" w:line="288" w:lineRule="auto"/>
              <w:ind w:left="15"/>
              <w:jc w:val="right"/>
              <w:rPr>
                <w:color w:val="000000"/>
                <w:kern w:val="0"/>
                <w:sz w:val="24"/>
              </w:rPr>
            </w:pPr>
            <w:r>
              <w:rPr>
                <w:color w:val="000000"/>
                <w:sz w:val="24"/>
              </w:rPr>
              <w:t>103.38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12.37</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bookmarkStart w:id="2" w:name="_GoBack"/>
      <w:bookmarkEnd w:id="2"/>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19,841,748.09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0.55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199,898,985.32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5.51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199,898,985.32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5.51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239,831,977.86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6.61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1,295,946,935.73</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35.71</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0C75DE">
        <w:trPr>
          <w:jc w:val="center"/>
        </w:trPr>
        <w:tc>
          <w:tcPr>
            <w:tcW w:w="786" w:type="dxa"/>
            <w:tcBorders>
              <w:bottom w:val="single" w:sz="4" w:space="0" w:color="auto"/>
            </w:tcBorders>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tcBorders>
              <w:bottom w:val="single" w:sz="4" w:space="0" w:color="auto"/>
            </w:tcBorders>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tcBorders>
              <w:bottom w:val="single" w:sz="4" w:space="0" w:color="auto"/>
            </w:tcBorders>
            <w:vAlign w:val="center"/>
          </w:tcPr>
          <w:p w:rsidR="007521F9" w:rsidRPr="000E4C40" w:rsidRDefault="007521F9" w:rsidP="00281564">
            <w:pPr>
              <w:spacing w:before="29" w:line="288" w:lineRule="auto"/>
              <w:ind w:left="17"/>
              <w:jc w:val="right"/>
              <w:rPr>
                <w:color w:val="000000"/>
                <w:sz w:val="24"/>
              </w:rPr>
            </w:pPr>
            <w:r w:rsidRPr="000E4C40">
              <w:rPr>
                <w:color w:val="000000"/>
                <w:sz w:val="24"/>
              </w:rPr>
              <w:t>1,755,519,647.00</w:t>
            </w:r>
          </w:p>
        </w:tc>
        <w:tc>
          <w:tcPr>
            <w:tcW w:w="1889" w:type="dxa"/>
            <w:tcBorders>
              <w:bottom w:val="single" w:sz="4" w:space="0" w:color="auto"/>
            </w:tcBorders>
            <w:vAlign w:val="center"/>
          </w:tcPr>
          <w:p w:rsidR="007521F9" w:rsidRPr="000E4C40" w:rsidRDefault="007521F9" w:rsidP="00281564">
            <w:pPr>
              <w:spacing w:before="29" w:line="288" w:lineRule="auto"/>
              <w:ind w:left="17"/>
              <w:jc w:val="right"/>
              <w:rPr>
                <w:color w:val="000000"/>
                <w:sz w:val="24"/>
              </w:rPr>
            </w:pPr>
            <w:r w:rsidRPr="000E4C40">
              <w:rPr>
                <w:color w:val="000000"/>
                <w:sz w:val="24"/>
              </w:rPr>
              <w:t>48.37</w:t>
            </w:r>
          </w:p>
        </w:tc>
      </w:tr>
      <w:tr w:rsidR="00813897" w:rsidRPr="000E4C40" w:rsidTr="000C75DE">
        <w:trPr>
          <w:jc w:val="center"/>
        </w:trPr>
        <w:tc>
          <w:tcPr>
            <w:tcW w:w="786" w:type="dxa"/>
            <w:tcBorders>
              <w:bottom w:val="single" w:sz="4" w:space="0" w:color="auto"/>
            </w:tcBorders>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tcBorders>
              <w:bottom w:val="single" w:sz="4" w:space="0" w:color="auto"/>
            </w:tcBorders>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tcBorders>
              <w:bottom w:val="single" w:sz="4" w:space="0" w:color="auto"/>
            </w:tcBorders>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tcBorders>
              <w:bottom w:val="single" w:sz="4" w:space="0" w:color="auto"/>
            </w:tcBorders>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98"/>
        <w:gridCol w:w="1296"/>
        <w:gridCol w:w="1982"/>
        <w:gridCol w:w="1211"/>
        <w:gridCol w:w="2100"/>
        <w:gridCol w:w="1381"/>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2A17EE">
        <w:trPr>
          <w:jc w:val="center"/>
        </w:trPr>
        <w:tc>
          <w:tcPr>
            <w:tcW w:w="0" w:type="auto"/>
            <w:vAlign w:val="center"/>
          </w:tcPr>
          <w:p w:rsidR="002A17EE" w:rsidRDefault="00725CCF">
            <w:pPr>
              <w:jc w:val="center"/>
            </w:pPr>
            <w:r>
              <w:rPr>
                <w:color w:val="000000"/>
                <w:sz w:val="24"/>
              </w:rPr>
              <w:t>1</w:t>
            </w:r>
          </w:p>
        </w:tc>
        <w:tc>
          <w:tcPr>
            <w:tcW w:w="0" w:type="auto"/>
            <w:vAlign w:val="center"/>
          </w:tcPr>
          <w:p w:rsidR="002A17EE" w:rsidRDefault="00725CCF">
            <w:pPr>
              <w:jc w:val="center"/>
            </w:pPr>
            <w:r>
              <w:rPr>
                <w:color w:val="000000"/>
                <w:sz w:val="24"/>
              </w:rPr>
              <w:t>111780064</w:t>
            </w:r>
          </w:p>
        </w:tc>
        <w:tc>
          <w:tcPr>
            <w:tcW w:w="0" w:type="auto"/>
            <w:vAlign w:val="center"/>
          </w:tcPr>
          <w:p w:rsidR="002A17EE" w:rsidRDefault="00725CCF">
            <w:pPr>
              <w:jc w:val="center"/>
            </w:pPr>
            <w:r>
              <w:rPr>
                <w:color w:val="000000"/>
                <w:sz w:val="24"/>
              </w:rPr>
              <w:t>17</w:t>
            </w:r>
            <w:r>
              <w:rPr>
                <w:color w:val="000000"/>
                <w:sz w:val="24"/>
              </w:rPr>
              <w:t>中原银行</w:t>
            </w:r>
            <w:r>
              <w:rPr>
                <w:color w:val="000000"/>
                <w:sz w:val="24"/>
              </w:rPr>
              <w:t>CD135</w:t>
            </w:r>
          </w:p>
        </w:tc>
        <w:tc>
          <w:tcPr>
            <w:tcW w:w="0" w:type="auto"/>
            <w:vAlign w:val="center"/>
          </w:tcPr>
          <w:p w:rsidR="002A17EE" w:rsidRDefault="00725CCF">
            <w:pPr>
              <w:jc w:val="right"/>
            </w:pPr>
            <w:r>
              <w:rPr>
                <w:color w:val="000000"/>
                <w:sz w:val="24"/>
              </w:rPr>
              <w:t>1,500,000</w:t>
            </w:r>
          </w:p>
        </w:tc>
        <w:tc>
          <w:tcPr>
            <w:tcW w:w="0" w:type="auto"/>
            <w:vAlign w:val="center"/>
          </w:tcPr>
          <w:p w:rsidR="002A17EE" w:rsidRDefault="00725CCF">
            <w:pPr>
              <w:jc w:val="right"/>
            </w:pPr>
            <w:r>
              <w:rPr>
                <w:color w:val="000000"/>
                <w:sz w:val="24"/>
              </w:rPr>
              <w:t>146,665,465.42</w:t>
            </w:r>
          </w:p>
        </w:tc>
        <w:tc>
          <w:tcPr>
            <w:tcW w:w="0" w:type="auto"/>
            <w:vAlign w:val="center"/>
          </w:tcPr>
          <w:p w:rsidR="002A17EE" w:rsidRDefault="00725CCF">
            <w:pPr>
              <w:jc w:val="right"/>
            </w:pPr>
            <w:r>
              <w:rPr>
                <w:color w:val="000000"/>
                <w:sz w:val="24"/>
              </w:rPr>
              <w:t>4.04</w:t>
            </w:r>
          </w:p>
        </w:tc>
      </w:tr>
      <w:tr w:rsidR="002A17EE">
        <w:trPr>
          <w:jc w:val="center"/>
        </w:trPr>
        <w:tc>
          <w:tcPr>
            <w:tcW w:w="0" w:type="auto"/>
            <w:vAlign w:val="center"/>
          </w:tcPr>
          <w:p w:rsidR="002A17EE" w:rsidRDefault="00725CCF">
            <w:pPr>
              <w:jc w:val="center"/>
            </w:pPr>
            <w:r>
              <w:rPr>
                <w:color w:val="000000"/>
                <w:sz w:val="24"/>
              </w:rPr>
              <w:t>2</w:t>
            </w:r>
          </w:p>
        </w:tc>
        <w:tc>
          <w:tcPr>
            <w:tcW w:w="0" w:type="auto"/>
            <w:vAlign w:val="center"/>
          </w:tcPr>
          <w:p w:rsidR="002A17EE" w:rsidRDefault="00725CCF">
            <w:pPr>
              <w:jc w:val="center"/>
            </w:pPr>
            <w:r>
              <w:rPr>
                <w:color w:val="000000"/>
                <w:sz w:val="24"/>
              </w:rPr>
              <w:t>170401</w:t>
            </w:r>
          </w:p>
        </w:tc>
        <w:tc>
          <w:tcPr>
            <w:tcW w:w="0" w:type="auto"/>
            <w:vAlign w:val="center"/>
          </w:tcPr>
          <w:p w:rsidR="002A17EE" w:rsidRDefault="00725CCF">
            <w:pPr>
              <w:jc w:val="center"/>
            </w:pPr>
            <w:r>
              <w:rPr>
                <w:color w:val="000000"/>
                <w:sz w:val="24"/>
              </w:rPr>
              <w:t>17</w:t>
            </w:r>
            <w:r>
              <w:rPr>
                <w:color w:val="000000"/>
                <w:sz w:val="24"/>
              </w:rPr>
              <w:t>农发</w:t>
            </w:r>
            <w:r>
              <w:rPr>
                <w:color w:val="000000"/>
                <w:sz w:val="24"/>
              </w:rPr>
              <w:t>01</w:t>
            </w:r>
          </w:p>
        </w:tc>
        <w:tc>
          <w:tcPr>
            <w:tcW w:w="0" w:type="auto"/>
            <w:vAlign w:val="center"/>
          </w:tcPr>
          <w:p w:rsidR="002A17EE" w:rsidRDefault="00725CCF">
            <w:pPr>
              <w:jc w:val="right"/>
            </w:pPr>
            <w:r>
              <w:rPr>
                <w:color w:val="000000"/>
                <w:sz w:val="24"/>
              </w:rPr>
              <w:t>1,100,000</w:t>
            </w:r>
          </w:p>
        </w:tc>
        <w:tc>
          <w:tcPr>
            <w:tcW w:w="0" w:type="auto"/>
            <w:vAlign w:val="center"/>
          </w:tcPr>
          <w:p w:rsidR="002A17EE" w:rsidRDefault="00725CCF">
            <w:pPr>
              <w:jc w:val="right"/>
            </w:pPr>
            <w:r>
              <w:rPr>
                <w:color w:val="000000"/>
                <w:sz w:val="24"/>
              </w:rPr>
              <w:t>109,896,521.72</w:t>
            </w:r>
          </w:p>
        </w:tc>
        <w:tc>
          <w:tcPr>
            <w:tcW w:w="0" w:type="auto"/>
            <w:vAlign w:val="center"/>
          </w:tcPr>
          <w:p w:rsidR="002A17EE" w:rsidRDefault="00725CCF">
            <w:pPr>
              <w:jc w:val="right"/>
            </w:pPr>
            <w:r>
              <w:rPr>
                <w:color w:val="000000"/>
                <w:sz w:val="24"/>
              </w:rPr>
              <w:t>3.03</w:t>
            </w:r>
          </w:p>
        </w:tc>
      </w:tr>
      <w:tr w:rsidR="002A17EE">
        <w:trPr>
          <w:jc w:val="center"/>
        </w:trPr>
        <w:tc>
          <w:tcPr>
            <w:tcW w:w="0" w:type="auto"/>
            <w:vAlign w:val="center"/>
          </w:tcPr>
          <w:p w:rsidR="002A17EE" w:rsidRDefault="00725CCF">
            <w:pPr>
              <w:jc w:val="center"/>
            </w:pPr>
            <w:r>
              <w:rPr>
                <w:color w:val="000000"/>
                <w:sz w:val="24"/>
              </w:rPr>
              <w:t>3</w:t>
            </w:r>
          </w:p>
        </w:tc>
        <w:tc>
          <w:tcPr>
            <w:tcW w:w="0" w:type="auto"/>
            <w:vAlign w:val="center"/>
          </w:tcPr>
          <w:p w:rsidR="002A17EE" w:rsidRDefault="00725CCF">
            <w:pPr>
              <w:jc w:val="center"/>
            </w:pPr>
            <w:r>
              <w:rPr>
                <w:color w:val="000000"/>
                <w:sz w:val="24"/>
              </w:rPr>
              <w:t>111799907</w:t>
            </w:r>
          </w:p>
        </w:tc>
        <w:tc>
          <w:tcPr>
            <w:tcW w:w="0" w:type="auto"/>
            <w:vAlign w:val="center"/>
          </w:tcPr>
          <w:p w:rsidR="002A17EE" w:rsidRDefault="00725CCF">
            <w:pPr>
              <w:jc w:val="center"/>
            </w:pPr>
            <w:r>
              <w:rPr>
                <w:color w:val="000000"/>
                <w:sz w:val="24"/>
              </w:rPr>
              <w:t>17</w:t>
            </w:r>
            <w:r>
              <w:rPr>
                <w:color w:val="000000"/>
                <w:sz w:val="24"/>
              </w:rPr>
              <w:t>苏州银行</w:t>
            </w:r>
            <w:r>
              <w:rPr>
                <w:color w:val="000000"/>
                <w:sz w:val="24"/>
              </w:rPr>
              <w:t>CD052</w:t>
            </w:r>
          </w:p>
        </w:tc>
        <w:tc>
          <w:tcPr>
            <w:tcW w:w="0" w:type="auto"/>
            <w:vAlign w:val="center"/>
          </w:tcPr>
          <w:p w:rsidR="002A17EE" w:rsidRDefault="00725CCF">
            <w:pPr>
              <w:jc w:val="right"/>
            </w:pPr>
            <w:r>
              <w:rPr>
                <w:color w:val="000000"/>
                <w:sz w:val="24"/>
              </w:rPr>
              <w:t>1,000,000</w:t>
            </w:r>
          </w:p>
        </w:tc>
        <w:tc>
          <w:tcPr>
            <w:tcW w:w="0" w:type="auto"/>
            <w:vAlign w:val="center"/>
          </w:tcPr>
          <w:p w:rsidR="002A17EE" w:rsidRDefault="00725CCF">
            <w:pPr>
              <w:jc w:val="right"/>
            </w:pPr>
            <w:r>
              <w:rPr>
                <w:color w:val="000000"/>
                <w:sz w:val="24"/>
              </w:rPr>
              <w:t>98,938,282.43</w:t>
            </w:r>
          </w:p>
        </w:tc>
        <w:tc>
          <w:tcPr>
            <w:tcW w:w="0" w:type="auto"/>
            <w:vAlign w:val="center"/>
          </w:tcPr>
          <w:p w:rsidR="002A17EE" w:rsidRDefault="00725CCF">
            <w:pPr>
              <w:jc w:val="right"/>
            </w:pPr>
            <w:r>
              <w:rPr>
                <w:color w:val="000000"/>
                <w:sz w:val="24"/>
              </w:rPr>
              <w:t>2.73</w:t>
            </w:r>
          </w:p>
        </w:tc>
      </w:tr>
      <w:tr w:rsidR="002A17EE">
        <w:trPr>
          <w:jc w:val="center"/>
        </w:trPr>
        <w:tc>
          <w:tcPr>
            <w:tcW w:w="0" w:type="auto"/>
            <w:vAlign w:val="center"/>
          </w:tcPr>
          <w:p w:rsidR="002A17EE" w:rsidRDefault="00725CCF">
            <w:pPr>
              <w:jc w:val="center"/>
            </w:pPr>
            <w:r>
              <w:rPr>
                <w:color w:val="000000"/>
                <w:sz w:val="24"/>
              </w:rPr>
              <w:t>4</w:t>
            </w:r>
          </w:p>
        </w:tc>
        <w:tc>
          <w:tcPr>
            <w:tcW w:w="0" w:type="auto"/>
            <w:vAlign w:val="center"/>
          </w:tcPr>
          <w:p w:rsidR="002A17EE" w:rsidRDefault="00725CCF">
            <w:pPr>
              <w:jc w:val="center"/>
            </w:pPr>
            <w:r>
              <w:rPr>
                <w:color w:val="000000"/>
                <w:sz w:val="24"/>
              </w:rPr>
              <w:t>111794781</w:t>
            </w:r>
          </w:p>
        </w:tc>
        <w:tc>
          <w:tcPr>
            <w:tcW w:w="0" w:type="auto"/>
            <w:vAlign w:val="center"/>
          </w:tcPr>
          <w:p w:rsidR="002A17EE" w:rsidRDefault="00725CCF">
            <w:pPr>
              <w:jc w:val="center"/>
            </w:pPr>
            <w:r>
              <w:rPr>
                <w:color w:val="000000"/>
                <w:sz w:val="24"/>
              </w:rPr>
              <w:t>17</w:t>
            </w:r>
            <w:r>
              <w:rPr>
                <w:color w:val="000000"/>
                <w:sz w:val="24"/>
              </w:rPr>
              <w:t>重庆农村商行</w:t>
            </w:r>
            <w:r>
              <w:rPr>
                <w:color w:val="000000"/>
                <w:sz w:val="24"/>
              </w:rPr>
              <w:t>CD068</w:t>
            </w:r>
          </w:p>
        </w:tc>
        <w:tc>
          <w:tcPr>
            <w:tcW w:w="0" w:type="auto"/>
            <w:vAlign w:val="center"/>
          </w:tcPr>
          <w:p w:rsidR="002A17EE" w:rsidRDefault="00725CCF">
            <w:pPr>
              <w:jc w:val="right"/>
            </w:pPr>
            <w:r>
              <w:rPr>
                <w:color w:val="000000"/>
                <w:sz w:val="24"/>
              </w:rPr>
              <w:t>1,000,000</w:t>
            </w:r>
          </w:p>
        </w:tc>
        <w:tc>
          <w:tcPr>
            <w:tcW w:w="0" w:type="auto"/>
            <w:vAlign w:val="center"/>
          </w:tcPr>
          <w:p w:rsidR="002A17EE" w:rsidRDefault="00725CCF">
            <w:pPr>
              <w:jc w:val="right"/>
            </w:pPr>
            <w:r>
              <w:rPr>
                <w:color w:val="000000"/>
                <w:sz w:val="24"/>
              </w:rPr>
              <w:t>98,897,312.69</w:t>
            </w:r>
          </w:p>
        </w:tc>
        <w:tc>
          <w:tcPr>
            <w:tcW w:w="0" w:type="auto"/>
            <w:vAlign w:val="center"/>
          </w:tcPr>
          <w:p w:rsidR="002A17EE" w:rsidRDefault="00725CCF">
            <w:pPr>
              <w:jc w:val="right"/>
            </w:pPr>
            <w:r>
              <w:rPr>
                <w:color w:val="000000"/>
                <w:sz w:val="24"/>
              </w:rPr>
              <w:t>2.72</w:t>
            </w:r>
          </w:p>
        </w:tc>
      </w:tr>
      <w:tr w:rsidR="002A17EE">
        <w:trPr>
          <w:jc w:val="center"/>
        </w:trPr>
        <w:tc>
          <w:tcPr>
            <w:tcW w:w="0" w:type="auto"/>
            <w:vAlign w:val="center"/>
          </w:tcPr>
          <w:p w:rsidR="002A17EE" w:rsidRDefault="00725CCF">
            <w:pPr>
              <w:jc w:val="center"/>
            </w:pPr>
            <w:r>
              <w:rPr>
                <w:color w:val="000000"/>
                <w:sz w:val="24"/>
              </w:rPr>
              <w:t>5</w:t>
            </w:r>
          </w:p>
        </w:tc>
        <w:tc>
          <w:tcPr>
            <w:tcW w:w="0" w:type="auto"/>
            <w:vAlign w:val="center"/>
          </w:tcPr>
          <w:p w:rsidR="002A17EE" w:rsidRDefault="00725CCF">
            <w:pPr>
              <w:jc w:val="center"/>
            </w:pPr>
            <w:r>
              <w:rPr>
                <w:color w:val="000000"/>
                <w:sz w:val="24"/>
              </w:rPr>
              <w:t>111780274</w:t>
            </w:r>
          </w:p>
        </w:tc>
        <w:tc>
          <w:tcPr>
            <w:tcW w:w="0" w:type="auto"/>
            <w:vAlign w:val="center"/>
          </w:tcPr>
          <w:p w:rsidR="002A17EE" w:rsidRDefault="00725CCF">
            <w:pPr>
              <w:jc w:val="center"/>
            </w:pPr>
            <w:r>
              <w:rPr>
                <w:color w:val="000000"/>
                <w:sz w:val="24"/>
              </w:rPr>
              <w:t>17</w:t>
            </w:r>
            <w:r>
              <w:rPr>
                <w:color w:val="000000"/>
                <w:sz w:val="24"/>
              </w:rPr>
              <w:t>贵阳银行</w:t>
            </w:r>
            <w:r>
              <w:rPr>
                <w:color w:val="000000"/>
                <w:sz w:val="24"/>
              </w:rPr>
              <w:t>CD085</w:t>
            </w:r>
          </w:p>
        </w:tc>
        <w:tc>
          <w:tcPr>
            <w:tcW w:w="0" w:type="auto"/>
            <w:vAlign w:val="center"/>
          </w:tcPr>
          <w:p w:rsidR="002A17EE" w:rsidRDefault="00725CCF">
            <w:pPr>
              <w:jc w:val="right"/>
            </w:pPr>
            <w:r>
              <w:rPr>
                <w:color w:val="000000"/>
                <w:sz w:val="24"/>
              </w:rPr>
              <w:t>1,000,000</w:t>
            </w:r>
          </w:p>
        </w:tc>
        <w:tc>
          <w:tcPr>
            <w:tcW w:w="0" w:type="auto"/>
            <w:vAlign w:val="center"/>
          </w:tcPr>
          <w:p w:rsidR="002A17EE" w:rsidRDefault="00725CCF">
            <w:pPr>
              <w:jc w:val="right"/>
            </w:pPr>
            <w:r>
              <w:rPr>
                <w:color w:val="000000"/>
                <w:sz w:val="24"/>
              </w:rPr>
              <w:t>97,770,939.66</w:t>
            </w:r>
          </w:p>
        </w:tc>
        <w:tc>
          <w:tcPr>
            <w:tcW w:w="0" w:type="auto"/>
            <w:vAlign w:val="center"/>
          </w:tcPr>
          <w:p w:rsidR="002A17EE" w:rsidRDefault="00725CCF">
            <w:pPr>
              <w:jc w:val="right"/>
            </w:pPr>
            <w:r>
              <w:rPr>
                <w:color w:val="000000"/>
                <w:sz w:val="24"/>
              </w:rPr>
              <w:t>2.69</w:t>
            </w:r>
          </w:p>
        </w:tc>
      </w:tr>
      <w:tr w:rsidR="002A17EE">
        <w:trPr>
          <w:jc w:val="center"/>
        </w:trPr>
        <w:tc>
          <w:tcPr>
            <w:tcW w:w="0" w:type="auto"/>
            <w:vAlign w:val="center"/>
          </w:tcPr>
          <w:p w:rsidR="002A17EE" w:rsidRDefault="00725CCF">
            <w:pPr>
              <w:jc w:val="center"/>
            </w:pPr>
            <w:r>
              <w:rPr>
                <w:color w:val="000000"/>
                <w:sz w:val="24"/>
              </w:rPr>
              <w:t>6</w:t>
            </w:r>
          </w:p>
        </w:tc>
        <w:tc>
          <w:tcPr>
            <w:tcW w:w="0" w:type="auto"/>
            <w:vAlign w:val="center"/>
          </w:tcPr>
          <w:p w:rsidR="002A17EE" w:rsidRDefault="00725CCF">
            <w:pPr>
              <w:jc w:val="center"/>
            </w:pPr>
            <w:r>
              <w:rPr>
                <w:color w:val="000000"/>
                <w:sz w:val="24"/>
              </w:rPr>
              <w:t>111714189</w:t>
            </w:r>
          </w:p>
        </w:tc>
        <w:tc>
          <w:tcPr>
            <w:tcW w:w="0" w:type="auto"/>
            <w:vAlign w:val="center"/>
          </w:tcPr>
          <w:p w:rsidR="002A17EE" w:rsidRDefault="00725CCF">
            <w:pPr>
              <w:jc w:val="center"/>
            </w:pPr>
            <w:r>
              <w:rPr>
                <w:color w:val="000000"/>
                <w:sz w:val="24"/>
              </w:rPr>
              <w:t>17</w:t>
            </w:r>
            <w:r>
              <w:rPr>
                <w:color w:val="000000"/>
                <w:sz w:val="24"/>
              </w:rPr>
              <w:t>江苏银行</w:t>
            </w:r>
            <w:r>
              <w:rPr>
                <w:color w:val="000000"/>
                <w:sz w:val="24"/>
              </w:rPr>
              <w:t>CD189</w:t>
            </w:r>
          </w:p>
        </w:tc>
        <w:tc>
          <w:tcPr>
            <w:tcW w:w="0" w:type="auto"/>
            <w:vAlign w:val="center"/>
          </w:tcPr>
          <w:p w:rsidR="002A17EE" w:rsidRDefault="00725CCF">
            <w:pPr>
              <w:jc w:val="right"/>
            </w:pPr>
            <w:r>
              <w:rPr>
                <w:color w:val="000000"/>
                <w:sz w:val="24"/>
              </w:rPr>
              <w:t>1,000,000</w:t>
            </w:r>
          </w:p>
        </w:tc>
        <w:tc>
          <w:tcPr>
            <w:tcW w:w="0" w:type="auto"/>
            <w:vAlign w:val="center"/>
          </w:tcPr>
          <w:p w:rsidR="002A17EE" w:rsidRDefault="00725CCF">
            <w:pPr>
              <w:jc w:val="right"/>
            </w:pPr>
            <w:r>
              <w:rPr>
                <w:color w:val="000000"/>
                <w:sz w:val="24"/>
              </w:rPr>
              <w:t>96,692,672.00</w:t>
            </w:r>
          </w:p>
        </w:tc>
        <w:tc>
          <w:tcPr>
            <w:tcW w:w="0" w:type="auto"/>
            <w:vAlign w:val="center"/>
          </w:tcPr>
          <w:p w:rsidR="002A17EE" w:rsidRDefault="00725CCF">
            <w:pPr>
              <w:jc w:val="right"/>
            </w:pPr>
            <w:r>
              <w:rPr>
                <w:color w:val="000000"/>
                <w:sz w:val="24"/>
              </w:rPr>
              <w:t>2.66</w:t>
            </w:r>
          </w:p>
        </w:tc>
      </w:tr>
      <w:tr w:rsidR="002A17EE">
        <w:trPr>
          <w:jc w:val="center"/>
        </w:trPr>
        <w:tc>
          <w:tcPr>
            <w:tcW w:w="0" w:type="auto"/>
            <w:vAlign w:val="center"/>
          </w:tcPr>
          <w:p w:rsidR="002A17EE" w:rsidRDefault="00725CCF">
            <w:pPr>
              <w:jc w:val="center"/>
            </w:pPr>
            <w:r>
              <w:rPr>
                <w:color w:val="000000"/>
                <w:sz w:val="24"/>
              </w:rPr>
              <w:t>7</w:t>
            </w:r>
          </w:p>
        </w:tc>
        <w:tc>
          <w:tcPr>
            <w:tcW w:w="0" w:type="auto"/>
            <w:vAlign w:val="center"/>
          </w:tcPr>
          <w:p w:rsidR="002A17EE" w:rsidRDefault="00725CCF">
            <w:pPr>
              <w:jc w:val="center"/>
            </w:pPr>
            <w:r>
              <w:rPr>
                <w:color w:val="000000"/>
                <w:sz w:val="24"/>
              </w:rPr>
              <w:t>111780069</w:t>
            </w:r>
          </w:p>
        </w:tc>
        <w:tc>
          <w:tcPr>
            <w:tcW w:w="0" w:type="auto"/>
            <w:vAlign w:val="center"/>
          </w:tcPr>
          <w:p w:rsidR="002A17EE" w:rsidRDefault="00725CCF">
            <w:pPr>
              <w:jc w:val="center"/>
            </w:pPr>
            <w:r>
              <w:rPr>
                <w:color w:val="000000"/>
                <w:sz w:val="24"/>
              </w:rPr>
              <w:t>17</w:t>
            </w:r>
            <w:r>
              <w:rPr>
                <w:color w:val="000000"/>
                <w:sz w:val="24"/>
              </w:rPr>
              <w:t>锦州银行</w:t>
            </w:r>
            <w:r>
              <w:rPr>
                <w:color w:val="000000"/>
                <w:sz w:val="24"/>
              </w:rPr>
              <w:t>CD172</w:t>
            </w:r>
          </w:p>
        </w:tc>
        <w:tc>
          <w:tcPr>
            <w:tcW w:w="0" w:type="auto"/>
            <w:vAlign w:val="center"/>
          </w:tcPr>
          <w:p w:rsidR="002A17EE" w:rsidRDefault="00725CCF">
            <w:pPr>
              <w:jc w:val="right"/>
            </w:pPr>
            <w:r>
              <w:rPr>
                <w:color w:val="000000"/>
                <w:sz w:val="24"/>
              </w:rPr>
              <w:t>1,000,000</w:t>
            </w:r>
          </w:p>
        </w:tc>
        <w:tc>
          <w:tcPr>
            <w:tcW w:w="0" w:type="auto"/>
            <w:vAlign w:val="center"/>
          </w:tcPr>
          <w:p w:rsidR="002A17EE" w:rsidRDefault="00725CCF">
            <w:pPr>
              <w:jc w:val="right"/>
            </w:pPr>
            <w:r>
              <w:rPr>
                <w:color w:val="000000"/>
                <w:sz w:val="24"/>
              </w:rPr>
              <w:t>96,591,869.04</w:t>
            </w:r>
          </w:p>
        </w:tc>
        <w:tc>
          <w:tcPr>
            <w:tcW w:w="0" w:type="auto"/>
            <w:vAlign w:val="center"/>
          </w:tcPr>
          <w:p w:rsidR="002A17EE" w:rsidRDefault="00725CCF">
            <w:pPr>
              <w:jc w:val="right"/>
            </w:pPr>
            <w:r>
              <w:rPr>
                <w:color w:val="000000"/>
                <w:sz w:val="24"/>
              </w:rPr>
              <w:t>2.66</w:t>
            </w:r>
          </w:p>
        </w:tc>
      </w:tr>
      <w:tr w:rsidR="002A17EE">
        <w:trPr>
          <w:jc w:val="center"/>
        </w:trPr>
        <w:tc>
          <w:tcPr>
            <w:tcW w:w="0" w:type="auto"/>
            <w:vAlign w:val="center"/>
          </w:tcPr>
          <w:p w:rsidR="002A17EE" w:rsidRDefault="00725CCF">
            <w:pPr>
              <w:jc w:val="center"/>
            </w:pPr>
            <w:r>
              <w:rPr>
                <w:color w:val="000000"/>
                <w:sz w:val="24"/>
              </w:rPr>
              <w:t>8</w:t>
            </w:r>
          </w:p>
        </w:tc>
        <w:tc>
          <w:tcPr>
            <w:tcW w:w="0" w:type="auto"/>
            <w:vAlign w:val="center"/>
          </w:tcPr>
          <w:p w:rsidR="002A17EE" w:rsidRDefault="00725CCF">
            <w:pPr>
              <w:jc w:val="center"/>
            </w:pPr>
            <w:r>
              <w:rPr>
                <w:color w:val="000000"/>
                <w:sz w:val="24"/>
              </w:rPr>
              <w:t>111780048</w:t>
            </w:r>
          </w:p>
        </w:tc>
        <w:tc>
          <w:tcPr>
            <w:tcW w:w="0" w:type="auto"/>
            <w:vAlign w:val="center"/>
          </w:tcPr>
          <w:p w:rsidR="002A17EE" w:rsidRDefault="00725CCF">
            <w:pPr>
              <w:jc w:val="center"/>
            </w:pPr>
            <w:r>
              <w:rPr>
                <w:color w:val="000000"/>
                <w:sz w:val="24"/>
              </w:rPr>
              <w:t>17</w:t>
            </w:r>
            <w:r>
              <w:rPr>
                <w:color w:val="000000"/>
                <w:sz w:val="24"/>
              </w:rPr>
              <w:t>乌鲁木齐银行</w:t>
            </w:r>
            <w:r>
              <w:rPr>
                <w:color w:val="000000"/>
                <w:sz w:val="24"/>
              </w:rPr>
              <w:t>CD026</w:t>
            </w:r>
          </w:p>
        </w:tc>
        <w:tc>
          <w:tcPr>
            <w:tcW w:w="0" w:type="auto"/>
            <w:vAlign w:val="center"/>
          </w:tcPr>
          <w:p w:rsidR="002A17EE" w:rsidRDefault="00725CCF">
            <w:pPr>
              <w:jc w:val="right"/>
            </w:pPr>
            <w:r>
              <w:rPr>
                <w:color w:val="000000"/>
                <w:sz w:val="24"/>
              </w:rPr>
              <w:t>1,000,000</w:t>
            </w:r>
          </w:p>
        </w:tc>
        <w:tc>
          <w:tcPr>
            <w:tcW w:w="0" w:type="auto"/>
            <w:vAlign w:val="center"/>
          </w:tcPr>
          <w:p w:rsidR="002A17EE" w:rsidRDefault="00725CCF">
            <w:pPr>
              <w:jc w:val="right"/>
            </w:pPr>
            <w:r>
              <w:rPr>
                <w:color w:val="000000"/>
                <w:sz w:val="24"/>
              </w:rPr>
              <w:t>96,558,395.78</w:t>
            </w:r>
          </w:p>
        </w:tc>
        <w:tc>
          <w:tcPr>
            <w:tcW w:w="0" w:type="auto"/>
            <w:vAlign w:val="center"/>
          </w:tcPr>
          <w:p w:rsidR="002A17EE" w:rsidRDefault="00725CCF">
            <w:pPr>
              <w:jc w:val="right"/>
            </w:pPr>
            <w:r>
              <w:rPr>
                <w:color w:val="000000"/>
                <w:sz w:val="24"/>
              </w:rPr>
              <w:t>2.66</w:t>
            </w:r>
          </w:p>
        </w:tc>
      </w:tr>
      <w:tr w:rsidR="002A17EE">
        <w:trPr>
          <w:jc w:val="center"/>
        </w:trPr>
        <w:tc>
          <w:tcPr>
            <w:tcW w:w="0" w:type="auto"/>
            <w:vAlign w:val="center"/>
          </w:tcPr>
          <w:p w:rsidR="002A17EE" w:rsidRDefault="00725CCF">
            <w:pPr>
              <w:jc w:val="center"/>
            </w:pPr>
            <w:r>
              <w:rPr>
                <w:color w:val="000000"/>
                <w:sz w:val="24"/>
              </w:rPr>
              <w:t>9</w:t>
            </w:r>
          </w:p>
        </w:tc>
        <w:tc>
          <w:tcPr>
            <w:tcW w:w="0" w:type="auto"/>
            <w:vAlign w:val="center"/>
          </w:tcPr>
          <w:p w:rsidR="002A17EE" w:rsidRDefault="00725CCF">
            <w:pPr>
              <w:jc w:val="center"/>
            </w:pPr>
            <w:r>
              <w:rPr>
                <w:color w:val="000000"/>
                <w:sz w:val="24"/>
              </w:rPr>
              <w:t>111780057</w:t>
            </w:r>
          </w:p>
        </w:tc>
        <w:tc>
          <w:tcPr>
            <w:tcW w:w="0" w:type="auto"/>
            <w:vAlign w:val="center"/>
          </w:tcPr>
          <w:p w:rsidR="002A17EE" w:rsidRDefault="00725CCF">
            <w:pPr>
              <w:jc w:val="center"/>
            </w:pPr>
            <w:r>
              <w:rPr>
                <w:color w:val="000000"/>
                <w:sz w:val="24"/>
              </w:rPr>
              <w:t>17</w:t>
            </w:r>
            <w:r>
              <w:rPr>
                <w:color w:val="000000"/>
                <w:sz w:val="24"/>
              </w:rPr>
              <w:t>华融湘江银行</w:t>
            </w:r>
            <w:r>
              <w:rPr>
                <w:color w:val="000000"/>
                <w:sz w:val="24"/>
              </w:rPr>
              <w:t>CD065</w:t>
            </w:r>
          </w:p>
        </w:tc>
        <w:tc>
          <w:tcPr>
            <w:tcW w:w="0" w:type="auto"/>
            <w:vAlign w:val="center"/>
          </w:tcPr>
          <w:p w:rsidR="002A17EE" w:rsidRDefault="00725CCF">
            <w:pPr>
              <w:jc w:val="right"/>
            </w:pPr>
            <w:r>
              <w:rPr>
                <w:color w:val="000000"/>
                <w:sz w:val="24"/>
              </w:rPr>
              <w:t>700,000</w:t>
            </w:r>
          </w:p>
        </w:tc>
        <w:tc>
          <w:tcPr>
            <w:tcW w:w="0" w:type="auto"/>
            <w:vAlign w:val="center"/>
          </w:tcPr>
          <w:p w:rsidR="002A17EE" w:rsidRDefault="00725CCF">
            <w:pPr>
              <w:jc w:val="right"/>
            </w:pPr>
            <w:r>
              <w:rPr>
                <w:color w:val="000000"/>
                <w:sz w:val="24"/>
              </w:rPr>
              <w:t>67,623,694.26</w:t>
            </w:r>
          </w:p>
        </w:tc>
        <w:tc>
          <w:tcPr>
            <w:tcW w:w="0" w:type="auto"/>
            <w:vAlign w:val="center"/>
          </w:tcPr>
          <w:p w:rsidR="002A17EE" w:rsidRDefault="00725CCF">
            <w:pPr>
              <w:jc w:val="right"/>
            </w:pPr>
            <w:r>
              <w:rPr>
                <w:color w:val="000000"/>
                <w:sz w:val="24"/>
              </w:rPr>
              <w:t>1.86</w:t>
            </w:r>
          </w:p>
        </w:tc>
      </w:tr>
      <w:tr w:rsidR="002A17EE">
        <w:trPr>
          <w:jc w:val="center"/>
        </w:trPr>
        <w:tc>
          <w:tcPr>
            <w:tcW w:w="0" w:type="auto"/>
            <w:vAlign w:val="center"/>
          </w:tcPr>
          <w:p w:rsidR="002A17EE" w:rsidRDefault="00725CCF">
            <w:pPr>
              <w:jc w:val="center"/>
            </w:pPr>
            <w:r>
              <w:rPr>
                <w:color w:val="000000"/>
                <w:sz w:val="24"/>
              </w:rPr>
              <w:t>10</w:t>
            </w:r>
          </w:p>
        </w:tc>
        <w:tc>
          <w:tcPr>
            <w:tcW w:w="0" w:type="auto"/>
            <w:vAlign w:val="center"/>
          </w:tcPr>
          <w:p w:rsidR="002A17EE" w:rsidRDefault="00725CCF">
            <w:pPr>
              <w:jc w:val="center"/>
            </w:pPr>
            <w:r>
              <w:rPr>
                <w:color w:val="000000"/>
                <w:sz w:val="24"/>
              </w:rPr>
              <w:t>041664042</w:t>
            </w:r>
          </w:p>
        </w:tc>
        <w:tc>
          <w:tcPr>
            <w:tcW w:w="0" w:type="auto"/>
            <w:vAlign w:val="center"/>
          </w:tcPr>
          <w:p w:rsidR="002A17EE" w:rsidRDefault="00725CCF">
            <w:pPr>
              <w:jc w:val="center"/>
            </w:pPr>
            <w:r>
              <w:rPr>
                <w:color w:val="000000"/>
                <w:sz w:val="24"/>
              </w:rPr>
              <w:t>16</w:t>
            </w:r>
            <w:r>
              <w:rPr>
                <w:color w:val="000000"/>
                <w:sz w:val="24"/>
              </w:rPr>
              <w:t>中航租赁</w:t>
            </w:r>
            <w:r>
              <w:rPr>
                <w:color w:val="000000"/>
                <w:sz w:val="24"/>
              </w:rPr>
              <w:t>CP002</w:t>
            </w:r>
          </w:p>
        </w:tc>
        <w:tc>
          <w:tcPr>
            <w:tcW w:w="0" w:type="auto"/>
            <w:vAlign w:val="center"/>
          </w:tcPr>
          <w:p w:rsidR="002A17EE" w:rsidRDefault="00725CCF">
            <w:pPr>
              <w:jc w:val="right"/>
            </w:pPr>
            <w:r>
              <w:rPr>
                <w:color w:val="000000"/>
                <w:sz w:val="24"/>
              </w:rPr>
              <w:t>600,000</w:t>
            </w:r>
          </w:p>
        </w:tc>
        <w:tc>
          <w:tcPr>
            <w:tcW w:w="0" w:type="auto"/>
            <w:vAlign w:val="center"/>
          </w:tcPr>
          <w:p w:rsidR="002A17EE" w:rsidRDefault="00725CCF">
            <w:pPr>
              <w:jc w:val="right"/>
            </w:pPr>
            <w:r>
              <w:rPr>
                <w:color w:val="000000"/>
                <w:sz w:val="24"/>
              </w:rPr>
              <w:t>59,908,422.99</w:t>
            </w:r>
          </w:p>
        </w:tc>
        <w:tc>
          <w:tcPr>
            <w:tcW w:w="0" w:type="auto"/>
            <w:vAlign w:val="center"/>
          </w:tcPr>
          <w:p w:rsidR="002A17EE" w:rsidRDefault="00725CCF">
            <w:pPr>
              <w:jc w:val="right"/>
            </w:pPr>
            <w:r>
              <w:rPr>
                <w:color w:val="000000"/>
                <w:sz w:val="24"/>
              </w:rPr>
              <w:t>1.65</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0.0269%</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-0.0354%</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8E1557" w:rsidP="00281564">
            <w:pPr>
              <w:spacing w:before="29" w:line="288" w:lineRule="auto"/>
              <w:jc w:val="right"/>
              <w:rPr>
                <w:sz w:val="24"/>
              </w:rPr>
            </w:pPr>
            <w:r w:rsidRPr="008E1557">
              <w:rPr>
                <w:color w:val="000000"/>
                <w:sz w:val="24"/>
              </w:rPr>
              <w:t>0.0226%</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tbl>
      <w:tblPr>
        <w:tblStyle w:val="aa"/>
        <w:tblW w:w="8868" w:type="dxa"/>
        <w:jc w:val="center"/>
        <w:tblCellMar>
          <w:top w:w="57" w:type="dxa"/>
          <w:bottom w:w="57" w:type="dxa"/>
        </w:tblCellMar>
        <w:tblLook w:val="04A0" w:firstRow="1" w:lastRow="0" w:firstColumn="1" w:lastColumn="0" w:noHBand="0" w:noVBand="1"/>
      </w:tblPr>
      <w:tblGrid>
        <w:gridCol w:w="1409"/>
        <w:gridCol w:w="1485"/>
        <w:gridCol w:w="1430"/>
        <w:gridCol w:w="1477"/>
        <w:gridCol w:w="1596"/>
        <w:gridCol w:w="1471"/>
      </w:tblGrid>
      <w:tr w:rsidR="00BF1111" w:rsidRPr="000E4C40" w:rsidTr="00B13F60">
        <w:trPr>
          <w:jc w:val="center"/>
        </w:trPr>
        <w:tc>
          <w:tcPr>
            <w:tcW w:w="1547"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数量</w:t>
            </w:r>
            <w:r w:rsidRPr="000E4C40">
              <w:rPr>
                <w:color w:val="000000"/>
                <w:kern w:val="0"/>
                <w:sz w:val="24"/>
              </w:rPr>
              <w:t>(</w:t>
            </w:r>
            <w:r w:rsidRPr="000E4C40">
              <w:rPr>
                <w:rFonts w:hAnsi="宋体"/>
                <w:color w:val="000000"/>
                <w:kern w:val="0"/>
                <w:sz w:val="24"/>
              </w:rPr>
              <w:t>份</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r w:rsidRPr="000E4C40">
              <w:rPr>
                <w:color w:val="000000"/>
                <w:kern w:val="0"/>
                <w:sz w:val="24"/>
              </w:rPr>
              <w:t>(</w:t>
            </w:r>
            <w:r w:rsidRPr="000E4C40">
              <w:rPr>
                <w:rFonts w:hAnsi="宋体"/>
                <w:color w:val="000000"/>
                <w:kern w:val="0"/>
                <w:sz w:val="24"/>
              </w:rPr>
              <w:t>元</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2A17EE">
        <w:trPr>
          <w:jc w:val="center"/>
        </w:trPr>
        <w:tc>
          <w:tcPr>
            <w:tcW w:w="0" w:type="auto"/>
            <w:vAlign w:val="center"/>
          </w:tcPr>
          <w:p w:rsidR="002A17EE" w:rsidRDefault="00725CCF">
            <w:pPr>
              <w:jc w:val="center"/>
            </w:pPr>
            <w:r>
              <w:rPr>
                <w:color w:val="000000"/>
                <w:sz w:val="24"/>
              </w:rPr>
              <w:t>1</w:t>
            </w:r>
          </w:p>
        </w:tc>
        <w:tc>
          <w:tcPr>
            <w:tcW w:w="0" w:type="auto"/>
            <w:vAlign w:val="center"/>
          </w:tcPr>
          <w:p w:rsidR="002A17EE" w:rsidRDefault="00725CCF">
            <w:pPr>
              <w:jc w:val="center"/>
            </w:pPr>
            <w:r>
              <w:rPr>
                <w:color w:val="000000"/>
                <w:sz w:val="24"/>
              </w:rPr>
              <w:t>1789045</w:t>
            </w:r>
          </w:p>
        </w:tc>
        <w:tc>
          <w:tcPr>
            <w:tcW w:w="0" w:type="auto"/>
            <w:vAlign w:val="center"/>
          </w:tcPr>
          <w:p w:rsidR="002A17EE" w:rsidRDefault="00725CCF">
            <w:pPr>
              <w:jc w:val="center"/>
            </w:pPr>
            <w:r>
              <w:rPr>
                <w:color w:val="000000"/>
                <w:sz w:val="24"/>
              </w:rPr>
              <w:t>17</w:t>
            </w:r>
            <w:r>
              <w:rPr>
                <w:color w:val="000000"/>
                <w:sz w:val="24"/>
              </w:rPr>
              <w:t>上和</w:t>
            </w:r>
            <w:r>
              <w:rPr>
                <w:color w:val="000000"/>
                <w:sz w:val="24"/>
              </w:rPr>
              <w:t>1A1</w:t>
            </w:r>
          </w:p>
        </w:tc>
        <w:tc>
          <w:tcPr>
            <w:tcW w:w="0" w:type="auto"/>
            <w:vAlign w:val="center"/>
          </w:tcPr>
          <w:p w:rsidR="002A17EE" w:rsidRDefault="00725CCF">
            <w:pPr>
              <w:jc w:val="right"/>
            </w:pPr>
            <w:r>
              <w:rPr>
                <w:color w:val="000000"/>
                <w:sz w:val="24"/>
              </w:rPr>
              <w:t>500,000</w:t>
            </w:r>
          </w:p>
        </w:tc>
        <w:tc>
          <w:tcPr>
            <w:tcW w:w="0" w:type="auto"/>
            <w:vAlign w:val="center"/>
          </w:tcPr>
          <w:p w:rsidR="002A17EE" w:rsidRDefault="00725CCF">
            <w:pPr>
              <w:jc w:val="right"/>
            </w:pPr>
            <w:r>
              <w:rPr>
                <w:color w:val="000000"/>
                <w:sz w:val="24"/>
              </w:rPr>
              <w:t>30,210,000.00</w:t>
            </w:r>
          </w:p>
        </w:tc>
        <w:tc>
          <w:tcPr>
            <w:tcW w:w="0" w:type="auto"/>
            <w:vAlign w:val="center"/>
          </w:tcPr>
          <w:p w:rsidR="002A17EE" w:rsidRDefault="00725CCF">
            <w:pPr>
              <w:jc w:val="right"/>
            </w:pPr>
            <w:r>
              <w:rPr>
                <w:color w:val="000000"/>
                <w:sz w:val="24"/>
              </w:rPr>
              <w:t>0.83</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14,899,264.73</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313,881,590.34</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328,780,855.07</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DC2B5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3,079,322,173.44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10,143,593.14</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26,703,343,458.87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18,490,428.93</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26,163,626,435.80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18,402,390.31</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3,619,039,196.51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10,231,631.76</w:t>
            </w:r>
          </w:p>
        </w:tc>
      </w:tr>
    </w:tbl>
    <w:p w:rsidR="002A17EE" w:rsidRDefault="00725CC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DC2B5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0F2DA3" w:rsidRPr="000E4C40" w:rsidTr="00E7561F">
        <w:trPr>
          <w:trHeight w:val="65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185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70" w:type="dxa"/>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70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397"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2A17EE">
        <w:trPr>
          <w:jc w:val="center"/>
        </w:trPr>
        <w:tc>
          <w:tcPr>
            <w:tcW w:w="1454" w:type="dxa"/>
            <w:vAlign w:val="center"/>
          </w:tcPr>
          <w:p w:rsidR="002A17EE" w:rsidRDefault="00725CCF">
            <w:pPr>
              <w:jc w:val="center"/>
            </w:pPr>
            <w:r>
              <w:rPr>
                <w:color w:val="000000"/>
                <w:sz w:val="24"/>
              </w:rPr>
              <w:t>1</w:t>
            </w:r>
          </w:p>
        </w:tc>
        <w:tc>
          <w:tcPr>
            <w:tcW w:w="1678" w:type="dxa"/>
            <w:vAlign w:val="center"/>
          </w:tcPr>
          <w:p w:rsidR="002A17EE" w:rsidRDefault="00725CCF">
            <w:pPr>
              <w:jc w:val="center"/>
            </w:pPr>
            <w:r>
              <w:rPr>
                <w:color w:val="000000"/>
                <w:sz w:val="24"/>
              </w:rPr>
              <w:t>A</w:t>
            </w:r>
            <w:r>
              <w:rPr>
                <w:color w:val="000000"/>
                <w:sz w:val="24"/>
              </w:rPr>
              <w:t>类份额红利再投</w:t>
            </w:r>
          </w:p>
        </w:tc>
        <w:tc>
          <w:tcPr>
            <w:tcW w:w="1249" w:type="dxa"/>
            <w:vAlign w:val="center"/>
          </w:tcPr>
          <w:p w:rsidR="002A17EE" w:rsidRDefault="00725CCF">
            <w:pPr>
              <w:jc w:val="center"/>
            </w:pPr>
            <w:r>
              <w:rPr>
                <w:color w:val="000000"/>
                <w:sz w:val="24"/>
              </w:rPr>
              <w:t>-</w:t>
            </w:r>
          </w:p>
        </w:tc>
        <w:tc>
          <w:tcPr>
            <w:tcW w:w="1544" w:type="dxa"/>
            <w:vAlign w:val="center"/>
          </w:tcPr>
          <w:p w:rsidR="002A17EE" w:rsidRDefault="00725CCF">
            <w:pPr>
              <w:jc w:val="right"/>
            </w:pPr>
            <w:r>
              <w:rPr>
                <w:color w:val="000000"/>
                <w:sz w:val="24"/>
              </w:rPr>
              <w:t>136,408.98</w:t>
            </w:r>
          </w:p>
        </w:tc>
        <w:tc>
          <w:tcPr>
            <w:tcW w:w="1670" w:type="dxa"/>
            <w:vAlign w:val="center"/>
          </w:tcPr>
          <w:p w:rsidR="002A17EE" w:rsidRDefault="00725CCF">
            <w:pPr>
              <w:jc w:val="right"/>
            </w:pPr>
            <w:r>
              <w:rPr>
                <w:color w:val="000000"/>
                <w:sz w:val="24"/>
              </w:rPr>
              <w:t>136,408.98</w:t>
            </w:r>
          </w:p>
        </w:tc>
        <w:tc>
          <w:tcPr>
            <w:tcW w:w="1273" w:type="dxa"/>
            <w:vAlign w:val="center"/>
          </w:tcPr>
          <w:p w:rsidR="002A17EE" w:rsidRDefault="00725CCF">
            <w:pPr>
              <w:jc w:val="center"/>
            </w:pPr>
            <w:r>
              <w:rPr>
                <w:color w:val="000000"/>
                <w:sz w:val="24"/>
              </w:rPr>
              <w:t>-</w:t>
            </w:r>
          </w:p>
        </w:tc>
      </w:tr>
      <w:tr w:rsidR="002A17EE">
        <w:trPr>
          <w:jc w:val="center"/>
        </w:trPr>
        <w:tc>
          <w:tcPr>
            <w:tcW w:w="1454" w:type="dxa"/>
            <w:vAlign w:val="center"/>
          </w:tcPr>
          <w:p w:rsidR="002A17EE" w:rsidRDefault="00725CCF">
            <w:pPr>
              <w:jc w:val="center"/>
            </w:pPr>
            <w:r>
              <w:rPr>
                <w:color w:val="000000"/>
                <w:sz w:val="24"/>
              </w:rPr>
              <w:t>2</w:t>
            </w:r>
          </w:p>
        </w:tc>
        <w:tc>
          <w:tcPr>
            <w:tcW w:w="1678" w:type="dxa"/>
            <w:vAlign w:val="center"/>
          </w:tcPr>
          <w:p w:rsidR="002A17EE" w:rsidRDefault="00725CCF">
            <w:pPr>
              <w:jc w:val="center"/>
            </w:pPr>
            <w:r>
              <w:rPr>
                <w:color w:val="000000"/>
                <w:sz w:val="24"/>
              </w:rPr>
              <w:t>E</w:t>
            </w:r>
            <w:r>
              <w:rPr>
                <w:color w:val="000000"/>
                <w:sz w:val="24"/>
              </w:rPr>
              <w:t>类份额红利再投</w:t>
            </w:r>
          </w:p>
        </w:tc>
        <w:tc>
          <w:tcPr>
            <w:tcW w:w="1249" w:type="dxa"/>
            <w:vAlign w:val="center"/>
          </w:tcPr>
          <w:p w:rsidR="002A17EE" w:rsidRDefault="00725CCF">
            <w:pPr>
              <w:jc w:val="center"/>
            </w:pPr>
            <w:r>
              <w:rPr>
                <w:color w:val="000000"/>
                <w:sz w:val="24"/>
              </w:rPr>
              <w:t>-</w:t>
            </w:r>
          </w:p>
        </w:tc>
        <w:tc>
          <w:tcPr>
            <w:tcW w:w="1544" w:type="dxa"/>
            <w:vAlign w:val="center"/>
          </w:tcPr>
          <w:p w:rsidR="002A17EE" w:rsidRDefault="00725CCF">
            <w:pPr>
              <w:jc w:val="right"/>
            </w:pPr>
            <w:r>
              <w:rPr>
                <w:color w:val="000000"/>
                <w:sz w:val="24"/>
              </w:rPr>
              <w:t>86,483.45</w:t>
            </w:r>
          </w:p>
        </w:tc>
        <w:tc>
          <w:tcPr>
            <w:tcW w:w="1670" w:type="dxa"/>
            <w:vAlign w:val="center"/>
          </w:tcPr>
          <w:p w:rsidR="002A17EE" w:rsidRDefault="00725CCF">
            <w:pPr>
              <w:jc w:val="right"/>
            </w:pPr>
            <w:r>
              <w:rPr>
                <w:color w:val="000000"/>
                <w:sz w:val="24"/>
              </w:rPr>
              <w:t>86,483.45</w:t>
            </w:r>
          </w:p>
        </w:tc>
        <w:tc>
          <w:tcPr>
            <w:tcW w:w="1273" w:type="dxa"/>
            <w:vAlign w:val="center"/>
          </w:tcPr>
          <w:p w:rsidR="002A17EE" w:rsidRDefault="00725CCF">
            <w:pPr>
              <w:jc w:val="center"/>
            </w:pPr>
            <w:r>
              <w:rPr>
                <w:color w:val="000000"/>
                <w:sz w:val="24"/>
              </w:rPr>
              <w:t>-</w:t>
            </w:r>
          </w:p>
        </w:tc>
      </w:tr>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1851"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370"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701"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222,892.43</w:t>
            </w:r>
          </w:p>
        </w:tc>
        <w:tc>
          <w:tcPr>
            <w:tcW w:w="1842"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222,892.43</w:t>
            </w:r>
          </w:p>
        </w:tc>
        <w:tc>
          <w:tcPr>
            <w:tcW w:w="1397" w:type="dxa"/>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2A17EE" w:rsidRDefault="00725CC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w:t>
      </w:r>
      <w:r>
        <w:rPr>
          <w:color w:val="000000"/>
          <w:sz w:val="24"/>
        </w:rPr>
        <w:t>A</w:t>
      </w:r>
      <w:r>
        <w:rPr>
          <w:color w:val="000000"/>
          <w:sz w:val="24"/>
        </w:rPr>
        <w:t>类份额</w:t>
      </w:r>
      <w:r>
        <w:rPr>
          <w:color w:val="000000"/>
          <w:sz w:val="24"/>
        </w:rPr>
        <w:t>17,352,389.54</w:t>
      </w:r>
      <w:r>
        <w:rPr>
          <w:color w:val="000000"/>
          <w:sz w:val="24"/>
        </w:rPr>
        <w:t>份，占本基金期末</w:t>
      </w:r>
      <w:r>
        <w:rPr>
          <w:color w:val="000000"/>
          <w:sz w:val="24"/>
        </w:rPr>
        <w:t>A</w:t>
      </w:r>
      <w:r>
        <w:rPr>
          <w:color w:val="000000"/>
          <w:sz w:val="24"/>
        </w:rPr>
        <w:t>类基金总份额的</w:t>
      </w:r>
      <w:r>
        <w:rPr>
          <w:color w:val="000000"/>
          <w:sz w:val="24"/>
        </w:rPr>
        <w:t>0.48%</w:t>
      </w:r>
      <w:r>
        <w:rPr>
          <w:color w:val="000000"/>
          <w:sz w:val="24"/>
        </w:rPr>
        <w:t>；持有本基金</w:t>
      </w:r>
      <w:r>
        <w:rPr>
          <w:color w:val="000000"/>
          <w:sz w:val="24"/>
        </w:rPr>
        <w:t>E</w:t>
      </w:r>
      <w:r>
        <w:rPr>
          <w:color w:val="000000"/>
          <w:sz w:val="24"/>
        </w:rPr>
        <w:t>类份额</w:t>
      </w:r>
      <w:r>
        <w:rPr>
          <w:color w:val="000000"/>
          <w:sz w:val="24"/>
        </w:rPr>
        <w:t>10,230,076.59</w:t>
      </w:r>
      <w:r>
        <w:rPr>
          <w:color w:val="000000"/>
          <w:sz w:val="24"/>
        </w:rPr>
        <w:t>份，占本基金期末</w:t>
      </w:r>
      <w:r>
        <w:rPr>
          <w:color w:val="000000"/>
          <w:sz w:val="24"/>
        </w:rPr>
        <w:t>E</w:t>
      </w:r>
      <w:r>
        <w:rPr>
          <w:color w:val="000000"/>
          <w:sz w:val="24"/>
        </w:rPr>
        <w:t>类基金总份额的</w:t>
      </w:r>
      <w:r>
        <w:rPr>
          <w:color w:val="000000"/>
          <w:sz w:val="24"/>
        </w:rPr>
        <w:t>99.98%</w:t>
      </w:r>
      <w:r>
        <w:rPr>
          <w:color w:val="000000"/>
          <w:sz w:val="24"/>
        </w:rPr>
        <w:t>。</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、本基金收益分配按日结转份额。</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DC2B52">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2A17EE" w:rsidRDefault="00725CCF">
      <w:pPr>
        <w:spacing w:before="29" w:line="288" w:lineRule="auto"/>
        <w:ind w:firstLineChars="200" w:firstLine="480"/>
        <w:rPr>
          <w:color w:val="000000"/>
          <w:sz w:val="24"/>
        </w:rPr>
      </w:pPr>
      <w:r>
        <w:rPr>
          <w:color w:val="000000"/>
          <w:sz w:val="24"/>
        </w:rPr>
        <w:t>1</w:t>
      </w:r>
      <w:r>
        <w:rPr>
          <w:color w:val="000000"/>
          <w:sz w:val="24"/>
        </w:rPr>
        <w:t>、中国证监会准予交银施罗德现金宝货币市场基金募集注册的文件；</w:t>
      </w:r>
      <w:r>
        <w:rPr>
          <w:color w:val="000000"/>
          <w:sz w:val="24"/>
        </w:rPr>
        <w:t xml:space="preserve"> </w:t>
      </w:r>
    </w:p>
    <w:p w:rsidR="002A17EE" w:rsidRDefault="00725CCF">
      <w:pPr>
        <w:spacing w:before="29" w:line="288" w:lineRule="auto"/>
        <w:ind w:firstLineChars="200" w:firstLine="480"/>
        <w:rPr>
          <w:color w:val="000000"/>
          <w:sz w:val="24"/>
        </w:rPr>
      </w:pPr>
      <w:r>
        <w:rPr>
          <w:color w:val="000000"/>
          <w:sz w:val="24"/>
        </w:rPr>
        <w:t>2</w:t>
      </w:r>
      <w:r>
        <w:rPr>
          <w:color w:val="000000"/>
          <w:sz w:val="24"/>
        </w:rPr>
        <w:t>、《交银施罗德现金宝货币市场基金基金合同》；</w:t>
      </w:r>
      <w:r>
        <w:rPr>
          <w:color w:val="000000"/>
          <w:sz w:val="24"/>
        </w:rPr>
        <w:t xml:space="preserve"> </w:t>
      </w:r>
    </w:p>
    <w:p w:rsidR="002A17EE" w:rsidRDefault="00725CCF">
      <w:pPr>
        <w:spacing w:before="29" w:line="288" w:lineRule="auto"/>
        <w:ind w:firstLineChars="200" w:firstLine="480"/>
        <w:rPr>
          <w:color w:val="000000"/>
          <w:sz w:val="24"/>
        </w:rPr>
      </w:pPr>
      <w:r>
        <w:rPr>
          <w:color w:val="000000"/>
          <w:sz w:val="24"/>
        </w:rPr>
        <w:t>3</w:t>
      </w:r>
      <w:r>
        <w:rPr>
          <w:color w:val="000000"/>
          <w:sz w:val="24"/>
        </w:rPr>
        <w:t>、《交银施罗德现金宝货币市场基金招募说明书》；</w:t>
      </w:r>
      <w:r>
        <w:rPr>
          <w:color w:val="000000"/>
          <w:sz w:val="24"/>
        </w:rPr>
        <w:t xml:space="preserve"> </w:t>
      </w:r>
    </w:p>
    <w:p w:rsidR="002A17EE" w:rsidRDefault="00725CCF">
      <w:pPr>
        <w:spacing w:before="29" w:line="288" w:lineRule="auto"/>
        <w:ind w:firstLineChars="200" w:firstLine="480"/>
        <w:rPr>
          <w:color w:val="000000"/>
          <w:sz w:val="24"/>
        </w:rPr>
      </w:pPr>
      <w:r>
        <w:rPr>
          <w:color w:val="000000"/>
          <w:sz w:val="24"/>
        </w:rPr>
        <w:t>4</w:t>
      </w:r>
      <w:r>
        <w:rPr>
          <w:color w:val="000000"/>
          <w:sz w:val="24"/>
        </w:rPr>
        <w:t>、《交银施罗德现金宝货币市场基金托管协议》；</w:t>
      </w:r>
    </w:p>
    <w:p w:rsidR="002A17EE" w:rsidRDefault="00725CCF">
      <w:pPr>
        <w:spacing w:before="29" w:line="288" w:lineRule="auto"/>
        <w:ind w:firstLineChars="200" w:firstLine="480"/>
        <w:rPr>
          <w:color w:val="000000"/>
          <w:sz w:val="24"/>
        </w:rPr>
      </w:pPr>
      <w:r>
        <w:rPr>
          <w:color w:val="000000"/>
          <w:sz w:val="24"/>
        </w:rPr>
        <w:t>5</w:t>
      </w:r>
      <w:r>
        <w:rPr>
          <w:color w:val="000000"/>
          <w:sz w:val="24"/>
        </w:rPr>
        <w:t>、关于申请募集交银施罗德现金宝货币市场基金的法律意见书；</w:t>
      </w:r>
    </w:p>
    <w:p w:rsidR="002A17EE" w:rsidRDefault="00725CCF">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2A17EE" w:rsidRDefault="00725CCF">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、报告期内交银施罗德现金宝货币市场基金在指定报刊上各项公告的原稿。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2A17EE" w:rsidRDefault="00725CCF">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2A17EE" w:rsidRDefault="00725CCF">
      <w:pPr>
        <w:spacing w:before="29" w:line="288" w:lineRule="auto"/>
        <w:ind w:firstLineChars="200" w:firstLine="480"/>
        <w:rPr>
          <w:color w:val="000000"/>
          <w:sz w:val="24"/>
        </w:rPr>
      </w:pPr>
      <w:r>
        <w:rPr>
          <w:color w:val="000000"/>
          <w:sz w:val="24"/>
        </w:rPr>
        <w:t>投资者对本报告书如有疑问，可咨询本基金管理人交银施罗德基金管理有限公司。本公司客户服务中心电话：</w:t>
      </w:r>
      <w:r>
        <w:rPr>
          <w:color w:val="000000"/>
          <w:sz w:val="24"/>
        </w:rPr>
        <w:t>400-700-5000</w:t>
      </w:r>
      <w:r>
        <w:rPr>
          <w:color w:val="000000"/>
          <w:sz w:val="24"/>
        </w:rPr>
        <w:t>（免长途话费），</w:t>
      </w:r>
      <w:r>
        <w:rPr>
          <w:color w:val="000000"/>
          <w:sz w:val="24"/>
        </w:rPr>
        <w:t>021-61055000</w:t>
      </w:r>
      <w:r>
        <w:rPr>
          <w:color w:val="000000"/>
          <w:sz w:val="24"/>
        </w:rPr>
        <w:t>，电子邮件：</w:t>
      </w:r>
      <w:r>
        <w:rPr>
          <w:color w:val="000000"/>
          <w:sz w:val="24"/>
        </w:rPr>
        <w:t>services@jysld.com</w:t>
      </w:r>
      <w:r>
        <w:rPr>
          <w:color w:val="000000"/>
          <w:sz w:val="24"/>
        </w:rPr>
        <w:t>。</w:t>
      </w:r>
    </w:p>
    <w:p w:rsidR="009D74FC" w:rsidRPr="000E4C40" w:rsidRDefault="009D74FC" w:rsidP="00281564">
      <w:pPr>
        <w:spacing w:before="29" w:line="288" w:lineRule="auto"/>
        <w:ind w:firstLineChars="200" w:firstLine="480"/>
        <w:rPr>
          <w:color w:val="000000"/>
          <w:sz w:val="24"/>
        </w:rPr>
      </w:pP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7AE" w:rsidRDefault="003277AE">
      <w:r>
        <w:separator/>
      </w:r>
    </w:p>
  </w:endnote>
  <w:endnote w:type="continuationSeparator" w:id="0">
    <w:p w:rsidR="003277AE" w:rsidRDefault="0032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8D3BF2">
      <w:rPr>
        <w:kern w:val="0"/>
        <w:szCs w:val="21"/>
      </w:rPr>
      <w:fldChar w:fldCharType="begin"/>
    </w:r>
    <w:r>
      <w:rPr>
        <w:kern w:val="0"/>
        <w:szCs w:val="21"/>
      </w:rPr>
      <w:instrText xml:space="preserve"> PAGE </w:instrText>
    </w:r>
    <w:r w:rsidR="008D3BF2">
      <w:rPr>
        <w:kern w:val="0"/>
        <w:szCs w:val="21"/>
      </w:rPr>
      <w:fldChar w:fldCharType="separate"/>
    </w:r>
    <w:r w:rsidR="000C75DE">
      <w:rPr>
        <w:noProof/>
        <w:kern w:val="0"/>
        <w:szCs w:val="21"/>
      </w:rPr>
      <w:t>11</w:t>
    </w:r>
    <w:r w:rsidR="008D3BF2">
      <w:rPr>
        <w:kern w:val="0"/>
        <w:szCs w:val="21"/>
      </w:rPr>
      <w:fldChar w:fldCharType="end"/>
    </w:r>
    <w:r>
      <w:rPr>
        <w:rFonts w:hint="eastAsia"/>
        <w:kern w:val="0"/>
        <w:szCs w:val="21"/>
      </w:rPr>
      <w:t>页共</w:t>
    </w:r>
    <w:r w:rsidR="008D3BF2">
      <w:rPr>
        <w:rFonts w:hint="eastAsia"/>
        <w:kern w:val="0"/>
        <w:szCs w:val="21"/>
      </w:rPr>
      <w:fldChar w:fldCharType="begin"/>
    </w:r>
    <w:r>
      <w:rPr>
        <w:kern w:val="0"/>
        <w:szCs w:val="21"/>
      </w:rPr>
      <w:instrText xml:space="preserve"> NUMPAGES </w:instrText>
    </w:r>
    <w:r w:rsidR="008D3BF2">
      <w:rPr>
        <w:rFonts w:hint="eastAsia"/>
        <w:kern w:val="0"/>
        <w:szCs w:val="21"/>
      </w:rPr>
      <w:fldChar w:fldCharType="separate"/>
    </w:r>
    <w:r w:rsidR="000C75DE">
      <w:rPr>
        <w:noProof/>
        <w:kern w:val="0"/>
        <w:szCs w:val="21"/>
      </w:rPr>
      <w:t>15</w:t>
    </w:r>
    <w:r w:rsidR="008D3BF2">
      <w:rPr>
        <w:rFonts w:hint="eastAsia"/>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7AE" w:rsidRDefault="003277AE">
      <w:r>
        <w:separator/>
      </w:r>
    </w:p>
  </w:footnote>
  <w:footnote w:type="continuationSeparator" w:id="0">
    <w:p w:rsidR="003277AE" w:rsidRDefault="00327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970B5"/>
    <w:rsid w:val="000A2D74"/>
    <w:rsid w:val="000A6B57"/>
    <w:rsid w:val="000A7480"/>
    <w:rsid w:val="000B2044"/>
    <w:rsid w:val="000B2266"/>
    <w:rsid w:val="000B6615"/>
    <w:rsid w:val="000C469F"/>
    <w:rsid w:val="000C75DE"/>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18AA"/>
    <w:rsid w:val="001321B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336CB"/>
    <w:rsid w:val="0024424F"/>
    <w:rsid w:val="002473A1"/>
    <w:rsid w:val="0025028B"/>
    <w:rsid w:val="002507FE"/>
    <w:rsid w:val="002525C7"/>
    <w:rsid w:val="00254E7F"/>
    <w:rsid w:val="002611C3"/>
    <w:rsid w:val="002622E8"/>
    <w:rsid w:val="002648B5"/>
    <w:rsid w:val="00267283"/>
    <w:rsid w:val="00274FAC"/>
    <w:rsid w:val="00281564"/>
    <w:rsid w:val="0029349C"/>
    <w:rsid w:val="002A17EE"/>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7AE"/>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51394"/>
    <w:rsid w:val="00664834"/>
    <w:rsid w:val="006724A2"/>
    <w:rsid w:val="00672BEF"/>
    <w:rsid w:val="00672C2D"/>
    <w:rsid w:val="00673BA5"/>
    <w:rsid w:val="00684A5A"/>
    <w:rsid w:val="0069018A"/>
    <w:rsid w:val="006911A1"/>
    <w:rsid w:val="00693EE6"/>
    <w:rsid w:val="006A1E40"/>
    <w:rsid w:val="006A2D00"/>
    <w:rsid w:val="006B4C67"/>
    <w:rsid w:val="006B6A9C"/>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5CCF"/>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D3BF2"/>
    <w:rsid w:val="008E1557"/>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2B52"/>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561F"/>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42A7B"/>
    <w:rsid w:val="00F5114E"/>
    <w:rsid w:val="00F518C0"/>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0EE1769C-2952-4CAB-9441-19D47E41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786391600">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6168071">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39B8FDF-96AD-4CF7-A31A-0D64E0913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15</Pages>
  <Words>1267</Words>
  <Characters>7228</Characters>
  <Application>Microsoft Office Word</Application>
  <DocSecurity>0</DocSecurity>
  <Lines>60</Lines>
  <Paragraphs>16</Paragraphs>
  <ScaleCrop>false</ScaleCrop>
  <Company>jysld</Company>
  <LinksUpToDate>false</LinksUpToDate>
  <CharactersWithSpaces>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323</cp:revision>
  <cp:lastPrinted>2009-01-22T10:11:00Z</cp:lastPrinted>
  <dcterms:created xsi:type="dcterms:W3CDTF">2012-11-21T05:49:00Z</dcterms:created>
  <dcterms:modified xsi:type="dcterms:W3CDTF">2017-07-18T09:56:00Z</dcterms:modified>
</cp:coreProperties>
</file>