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交银施罗德丰盈收益债券型证券投资基金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年第</w:t>
      </w:r>
      <w:r w:rsidRPr="00087F8A">
        <w:rPr>
          <w:rFonts w:eastAsiaTheme="minorEastAsia"/>
          <w:b/>
          <w:sz w:val="36"/>
          <w:szCs w:val="36"/>
        </w:rPr>
        <w:t>2</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w:t>
      </w:r>
      <w:r w:rsidRPr="00087F8A">
        <w:rPr>
          <w:rFonts w:eastAsiaTheme="minorEastAsia"/>
          <w:b/>
          <w:sz w:val="36"/>
          <w:szCs w:val="36"/>
        </w:rPr>
        <w:t>6</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二〇一七年七月二十日</w:t>
      </w: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EE23AD" w:rsidRDefault="00A3555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E23AD" w:rsidRDefault="00A3555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E23AD" w:rsidRDefault="00A3555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E23AD" w:rsidRDefault="00A3555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E23AD" w:rsidRDefault="00A3555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交银丰盈收益债券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A731AA" w:rsidRPr="00405493" w:rsidTr="00046BB8">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A731AA" w:rsidRPr="00405493" w:rsidRDefault="00A731AA" w:rsidP="009D139A">
            <w:pPr>
              <w:adjustRightInd w:val="0"/>
              <w:spacing w:before="29" w:line="288" w:lineRule="auto"/>
              <w:ind w:left="17"/>
              <w:jc w:val="left"/>
              <w:rPr>
                <w:kern w:val="0"/>
                <w:sz w:val="24"/>
              </w:rPr>
            </w:pPr>
            <w:r w:rsidRPr="00405493">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A731AA" w:rsidRPr="00405493" w:rsidRDefault="00A731AA" w:rsidP="00A731A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2014</w:t>
            </w:r>
            <w:r w:rsidRPr="00405493">
              <w:rPr>
                <w:rFonts w:eastAsiaTheme="minorEastAsia"/>
                <w:color w:val="000000"/>
                <w:kern w:val="0"/>
                <w:sz w:val="24"/>
              </w:rPr>
              <w:t>年</w:t>
            </w:r>
            <w:r w:rsidRPr="00405493">
              <w:rPr>
                <w:rFonts w:eastAsiaTheme="minorEastAsia"/>
                <w:color w:val="000000"/>
                <w:kern w:val="0"/>
                <w:sz w:val="24"/>
              </w:rPr>
              <w:t>8</w:t>
            </w:r>
            <w:r w:rsidRPr="00405493">
              <w:rPr>
                <w:rFonts w:eastAsiaTheme="minorEastAsia"/>
                <w:color w:val="000000"/>
                <w:kern w:val="0"/>
                <w:sz w:val="24"/>
              </w:rPr>
              <w:t>月</w:t>
            </w:r>
            <w:r w:rsidRPr="00405493">
              <w:rPr>
                <w:rFonts w:eastAsiaTheme="minorEastAsia"/>
                <w:color w:val="000000"/>
                <w:kern w:val="0"/>
                <w:sz w:val="24"/>
              </w:rPr>
              <w:t>11</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510,658,140.93</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追求在有效控制风险的前提下，力争为基金资产获得稳健的投资收益和超额回报。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三年期银行定期存款税后收益率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注：本基金在基金合同生效之日起三年</w:t>
      </w:r>
      <w:r w:rsidRPr="00405493">
        <w:rPr>
          <w:rFonts w:eastAsiaTheme="minorEastAsia"/>
          <w:color w:val="000000"/>
          <w:sz w:val="24"/>
        </w:rPr>
        <w:t>(</w:t>
      </w:r>
      <w:r w:rsidRPr="00405493">
        <w:rPr>
          <w:rFonts w:eastAsiaTheme="minorEastAsia"/>
          <w:color w:val="000000"/>
          <w:sz w:val="24"/>
        </w:rPr>
        <w:t>含三年</w:t>
      </w:r>
      <w:r w:rsidRPr="00405493">
        <w:rPr>
          <w:rFonts w:eastAsiaTheme="minorEastAsia"/>
          <w:color w:val="000000"/>
          <w:sz w:val="24"/>
        </w:rPr>
        <w:t>)</w:t>
      </w:r>
      <w:r w:rsidRPr="00405493">
        <w:rPr>
          <w:rFonts w:eastAsiaTheme="minorEastAsia"/>
          <w:color w:val="000000"/>
          <w:sz w:val="24"/>
        </w:rPr>
        <w:t>的期间内，采取封闭式运作（按照基金合同的约定提前转换基金运作方式的除外）。封闭期内，基金投资者不能申购、赎回本基金基金份额，即</w:t>
      </w:r>
      <w:r w:rsidRPr="00405493">
        <w:rPr>
          <w:rFonts w:eastAsiaTheme="minorEastAsia"/>
          <w:color w:val="000000"/>
          <w:sz w:val="24"/>
        </w:rPr>
        <w:t>A</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F16893" w:rsidRPr="00405493" w:rsidTr="00F16893">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F16893" w:rsidRPr="00405493" w:rsidTr="00F1689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-4,259,311.66</w:t>
            </w:r>
          </w:p>
        </w:tc>
      </w:tr>
      <w:tr w:rsidR="00F16893" w:rsidRPr="00405493" w:rsidTr="00F1689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4,889,369.53</w:t>
            </w:r>
          </w:p>
        </w:tc>
      </w:tr>
      <w:tr w:rsidR="00F16893" w:rsidRPr="00405493" w:rsidTr="00F1689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0.0096</w:t>
            </w:r>
          </w:p>
        </w:tc>
      </w:tr>
      <w:tr w:rsidR="00F16893" w:rsidRPr="00405493" w:rsidTr="00F1689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522,164,746.30</w:t>
            </w:r>
          </w:p>
        </w:tc>
      </w:tr>
      <w:tr w:rsidR="00F16893" w:rsidRPr="00405493" w:rsidTr="00F16893">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1.023</w:t>
            </w:r>
          </w:p>
        </w:tc>
      </w:tr>
    </w:tbl>
    <w:p w:rsidR="00EE23AD" w:rsidRDefault="00A3555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EE23AD">
        <w:trPr>
          <w:jc w:val="center"/>
        </w:trPr>
        <w:tc>
          <w:tcPr>
            <w:tcW w:w="1448" w:type="dxa"/>
            <w:vAlign w:val="center"/>
          </w:tcPr>
          <w:p w:rsidR="00EE23AD" w:rsidRDefault="00A3555E">
            <w:pPr>
              <w:jc w:val="left"/>
            </w:pPr>
            <w:r>
              <w:rPr>
                <w:rFonts w:eastAsiaTheme="minorEastAsia"/>
                <w:color w:val="000000"/>
                <w:sz w:val="24"/>
              </w:rPr>
              <w:lastRenderedPageBreak/>
              <w:t>过去三个月</w:t>
            </w:r>
          </w:p>
        </w:tc>
        <w:tc>
          <w:tcPr>
            <w:tcW w:w="1134" w:type="dxa"/>
            <w:vAlign w:val="center"/>
          </w:tcPr>
          <w:p w:rsidR="00EE23AD" w:rsidRDefault="00A3555E">
            <w:pPr>
              <w:jc w:val="center"/>
            </w:pPr>
            <w:r>
              <w:rPr>
                <w:rFonts w:eastAsiaTheme="minorEastAsia"/>
                <w:color w:val="000000"/>
                <w:sz w:val="24"/>
              </w:rPr>
              <w:t>0.99%</w:t>
            </w:r>
          </w:p>
        </w:tc>
        <w:tc>
          <w:tcPr>
            <w:tcW w:w="1206" w:type="dxa"/>
            <w:vAlign w:val="center"/>
          </w:tcPr>
          <w:p w:rsidR="00EE23AD" w:rsidRDefault="00A3555E">
            <w:pPr>
              <w:jc w:val="center"/>
            </w:pPr>
            <w:r>
              <w:rPr>
                <w:rFonts w:eastAsiaTheme="minorEastAsia"/>
                <w:color w:val="000000"/>
                <w:sz w:val="24"/>
              </w:rPr>
              <w:t>0.04%</w:t>
            </w:r>
          </w:p>
        </w:tc>
        <w:tc>
          <w:tcPr>
            <w:tcW w:w="1227" w:type="dxa"/>
            <w:vAlign w:val="center"/>
          </w:tcPr>
          <w:p w:rsidR="00EE23AD" w:rsidRDefault="00A3555E">
            <w:pPr>
              <w:jc w:val="center"/>
            </w:pPr>
            <w:r>
              <w:rPr>
                <w:rFonts w:eastAsiaTheme="minorEastAsia"/>
                <w:color w:val="000000"/>
                <w:sz w:val="24"/>
              </w:rPr>
              <w:t>0.70%</w:t>
            </w:r>
          </w:p>
        </w:tc>
        <w:tc>
          <w:tcPr>
            <w:tcW w:w="1234" w:type="dxa"/>
            <w:vAlign w:val="center"/>
          </w:tcPr>
          <w:p w:rsidR="00EE23AD" w:rsidRDefault="00A3555E">
            <w:pPr>
              <w:jc w:val="center"/>
            </w:pPr>
            <w:r>
              <w:rPr>
                <w:rFonts w:eastAsiaTheme="minorEastAsia"/>
                <w:color w:val="000000"/>
                <w:sz w:val="24"/>
              </w:rPr>
              <w:t>0.01%</w:t>
            </w:r>
          </w:p>
        </w:tc>
        <w:tc>
          <w:tcPr>
            <w:tcW w:w="1246" w:type="dxa"/>
            <w:vAlign w:val="center"/>
          </w:tcPr>
          <w:p w:rsidR="00EE23AD" w:rsidRDefault="00A3555E">
            <w:pPr>
              <w:jc w:val="center"/>
            </w:pPr>
            <w:r>
              <w:rPr>
                <w:rFonts w:eastAsiaTheme="minorEastAsia"/>
                <w:color w:val="000000"/>
                <w:sz w:val="24"/>
              </w:rPr>
              <w:t>0.29%</w:t>
            </w:r>
          </w:p>
        </w:tc>
        <w:tc>
          <w:tcPr>
            <w:tcW w:w="1373" w:type="dxa"/>
            <w:vAlign w:val="center"/>
          </w:tcPr>
          <w:p w:rsidR="00EE23AD" w:rsidRDefault="00A3555E">
            <w:pPr>
              <w:jc w:val="center"/>
            </w:pPr>
            <w:r>
              <w:rPr>
                <w:rFonts w:eastAsiaTheme="minorEastAsia"/>
                <w:color w:val="000000"/>
                <w:sz w:val="24"/>
              </w:rPr>
              <w:t>0.03%</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交银施罗德丰盈收益债券型证券投资基金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2014</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8</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2017</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6</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EE23AD">
        <w:trPr>
          <w:jc w:val="center"/>
        </w:trPr>
        <w:tc>
          <w:tcPr>
            <w:tcW w:w="846" w:type="dxa"/>
            <w:vAlign w:val="center"/>
          </w:tcPr>
          <w:p w:rsidR="00EE23AD" w:rsidRDefault="00A3555E">
            <w:pPr>
              <w:jc w:val="center"/>
            </w:pPr>
            <w:r>
              <w:rPr>
                <w:rFonts w:eastAsiaTheme="minorEastAsia"/>
                <w:color w:val="000000"/>
                <w:sz w:val="24"/>
              </w:rPr>
              <w:t>连端清</w:t>
            </w:r>
          </w:p>
        </w:tc>
        <w:tc>
          <w:tcPr>
            <w:tcW w:w="845" w:type="dxa"/>
            <w:vAlign w:val="center"/>
          </w:tcPr>
          <w:p w:rsidR="00EE23AD" w:rsidRDefault="00A3555E">
            <w:pPr>
              <w:jc w:val="center"/>
            </w:pPr>
            <w:r>
              <w:rPr>
                <w:rFonts w:eastAsiaTheme="minorEastAsia"/>
                <w:color w:val="000000"/>
                <w:sz w:val="24"/>
              </w:rPr>
              <w:t>交银货币、交银理财</w:t>
            </w:r>
            <w:r>
              <w:rPr>
                <w:rFonts w:eastAsiaTheme="minorEastAsia"/>
                <w:color w:val="000000"/>
                <w:sz w:val="24"/>
              </w:rPr>
              <w:t>60</w:t>
            </w:r>
            <w:r>
              <w:rPr>
                <w:rFonts w:eastAsiaTheme="minorEastAsia"/>
                <w:color w:val="000000"/>
                <w:sz w:val="24"/>
              </w:rPr>
              <w:t>天债券、交银</w:t>
            </w:r>
            <w:r>
              <w:rPr>
                <w:rFonts w:eastAsiaTheme="minorEastAsia"/>
                <w:color w:val="000000"/>
                <w:sz w:val="24"/>
              </w:rPr>
              <w:lastRenderedPageBreak/>
              <w:t>丰盈收益债券、交银现金宝货币、交银丰润收益债券、交银活期通货币、交银天利宝货币、交银裕兴纯债债券、交银裕盈纯债债券、交银裕利纯债债券、交银裕隆纯债债券、交银天鑫宝货币、交银天益宝货币、交银境尚收益债</w:t>
            </w:r>
            <w:r>
              <w:rPr>
                <w:rFonts w:eastAsiaTheme="minorEastAsia"/>
                <w:color w:val="000000"/>
                <w:sz w:val="24"/>
              </w:rPr>
              <w:lastRenderedPageBreak/>
              <w:t>券的基金经理</w:t>
            </w:r>
          </w:p>
        </w:tc>
        <w:tc>
          <w:tcPr>
            <w:tcW w:w="1549" w:type="dxa"/>
            <w:vAlign w:val="center"/>
          </w:tcPr>
          <w:p w:rsidR="00EE23AD" w:rsidRDefault="00A3555E">
            <w:pPr>
              <w:jc w:val="center"/>
            </w:pPr>
            <w:r>
              <w:rPr>
                <w:rFonts w:eastAsiaTheme="minorEastAsia"/>
                <w:color w:val="000000"/>
                <w:sz w:val="24"/>
              </w:rPr>
              <w:lastRenderedPageBreak/>
              <w:t>2015-08-04</w:t>
            </w:r>
          </w:p>
        </w:tc>
        <w:tc>
          <w:tcPr>
            <w:tcW w:w="1548" w:type="dxa"/>
            <w:vAlign w:val="center"/>
          </w:tcPr>
          <w:p w:rsidR="00EE23AD" w:rsidRDefault="00A3555E">
            <w:pPr>
              <w:jc w:val="center"/>
            </w:pPr>
            <w:r>
              <w:rPr>
                <w:rFonts w:eastAsiaTheme="minorEastAsia"/>
                <w:color w:val="000000"/>
                <w:sz w:val="24"/>
              </w:rPr>
              <w:t>-</w:t>
            </w:r>
          </w:p>
        </w:tc>
        <w:tc>
          <w:tcPr>
            <w:tcW w:w="1407" w:type="dxa"/>
            <w:vAlign w:val="center"/>
          </w:tcPr>
          <w:p w:rsidR="00EE23AD" w:rsidRDefault="00A3555E">
            <w:pPr>
              <w:jc w:val="center"/>
            </w:pPr>
            <w:r>
              <w:rPr>
                <w:rFonts w:eastAsiaTheme="minorEastAsia"/>
                <w:color w:val="000000"/>
                <w:sz w:val="24"/>
              </w:rPr>
              <w:t>4</w:t>
            </w:r>
            <w:r>
              <w:rPr>
                <w:rFonts w:eastAsiaTheme="minorEastAsia"/>
                <w:color w:val="000000"/>
                <w:sz w:val="24"/>
              </w:rPr>
              <w:t>年</w:t>
            </w:r>
          </w:p>
        </w:tc>
        <w:tc>
          <w:tcPr>
            <w:tcW w:w="2673" w:type="dxa"/>
            <w:vAlign w:val="center"/>
          </w:tcPr>
          <w:p w:rsidR="00EE23AD" w:rsidRDefault="00A3555E">
            <w:r>
              <w:rPr>
                <w:rFonts w:eastAsiaTheme="minorEastAsia"/>
                <w:color w:val="000000"/>
                <w:sz w:val="24"/>
              </w:rPr>
              <w:t>连端清先生，复旦大学经济学博士。历任交通银行总行金融市场部、湘财证券研究所研究员、中航信托资产管理部投资经理。</w:t>
            </w:r>
            <w:r>
              <w:rPr>
                <w:rFonts w:eastAsiaTheme="minorEastAsia"/>
                <w:color w:val="000000"/>
                <w:sz w:val="24"/>
              </w:rPr>
              <w:t>2015</w:t>
            </w:r>
            <w:r>
              <w:rPr>
                <w:rFonts w:eastAsiaTheme="minorEastAsia"/>
                <w:color w:val="000000"/>
                <w:sz w:val="24"/>
              </w:rPr>
              <w:t>年加入交银施罗德基金管理</w:t>
            </w:r>
            <w:r>
              <w:rPr>
                <w:rFonts w:eastAsiaTheme="minorEastAsia"/>
                <w:color w:val="000000"/>
                <w:sz w:val="24"/>
              </w:rPr>
              <w:lastRenderedPageBreak/>
              <w:t>有限公司。</w:t>
            </w:r>
          </w:p>
        </w:tc>
      </w:tr>
      <w:tr w:rsidR="00EE23AD">
        <w:trPr>
          <w:jc w:val="center"/>
        </w:trPr>
        <w:tc>
          <w:tcPr>
            <w:tcW w:w="846" w:type="dxa"/>
            <w:vAlign w:val="center"/>
          </w:tcPr>
          <w:p w:rsidR="00EE23AD" w:rsidRDefault="00A3555E">
            <w:pPr>
              <w:jc w:val="center"/>
            </w:pPr>
            <w:r>
              <w:rPr>
                <w:rFonts w:eastAsiaTheme="minorEastAsia"/>
                <w:color w:val="000000"/>
                <w:sz w:val="24"/>
              </w:rPr>
              <w:lastRenderedPageBreak/>
              <w:t>于海颖</w:t>
            </w:r>
          </w:p>
        </w:tc>
        <w:tc>
          <w:tcPr>
            <w:tcW w:w="845" w:type="dxa"/>
            <w:vAlign w:val="center"/>
          </w:tcPr>
          <w:p w:rsidR="00EE23AD" w:rsidRDefault="00A3555E">
            <w:pPr>
              <w:jc w:val="center"/>
            </w:pPr>
            <w:r>
              <w:rPr>
                <w:rFonts w:eastAsiaTheme="minorEastAsia"/>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w:t>
            </w:r>
            <w:r>
              <w:rPr>
                <w:rFonts w:eastAsiaTheme="minorEastAsia"/>
                <w:color w:val="000000"/>
                <w:sz w:val="24"/>
              </w:rPr>
              <w:lastRenderedPageBreak/>
              <w:t>基金经理，公司固定收益（公募）投资总监</w:t>
            </w:r>
          </w:p>
        </w:tc>
        <w:tc>
          <w:tcPr>
            <w:tcW w:w="1549" w:type="dxa"/>
            <w:vAlign w:val="center"/>
          </w:tcPr>
          <w:p w:rsidR="00EE23AD" w:rsidRDefault="00A3555E">
            <w:pPr>
              <w:jc w:val="center"/>
            </w:pPr>
            <w:r>
              <w:rPr>
                <w:rFonts w:eastAsiaTheme="minorEastAsia"/>
                <w:color w:val="000000"/>
                <w:sz w:val="24"/>
              </w:rPr>
              <w:lastRenderedPageBreak/>
              <w:t>2016-12-29</w:t>
            </w:r>
          </w:p>
        </w:tc>
        <w:tc>
          <w:tcPr>
            <w:tcW w:w="1548" w:type="dxa"/>
            <w:vAlign w:val="center"/>
          </w:tcPr>
          <w:p w:rsidR="00EE23AD" w:rsidRDefault="00A3555E">
            <w:pPr>
              <w:jc w:val="center"/>
            </w:pPr>
            <w:r>
              <w:rPr>
                <w:rFonts w:eastAsiaTheme="minorEastAsia"/>
                <w:color w:val="000000"/>
                <w:sz w:val="24"/>
              </w:rPr>
              <w:t>-</w:t>
            </w:r>
          </w:p>
        </w:tc>
        <w:tc>
          <w:tcPr>
            <w:tcW w:w="1407" w:type="dxa"/>
            <w:vAlign w:val="center"/>
          </w:tcPr>
          <w:p w:rsidR="00EE23AD" w:rsidRDefault="00A3555E">
            <w:pPr>
              <w:jc w:val="center"/>
            </w:pPr>
            <w:r>
              <w:rPr>
                <w:rFonts w:eastAsiaTheme="minorEastAsia"/>
                <w:color w:val="000000"/>
                <w:sz w:val="24"/>
              </w:rPr>
              <w:t>11</w:t>
            </w:r>
            <w:r>
              <w:rPr>
                <w:rFonts w:eastAsiaTheme="minorEastAsia"/>
                <w:color w:val="000000"/>
                <w:sz w:val="24"/>
              </w:rPr>
              <w:t>年</w:t>
            </w:r>
          </w:p>
        </w:tc>
        <w:tc>
          <w:tcPr>
            <w:tcW w:w="2673" w:type="dxa"/>
            <w:vAlign w:val="center"/>
          </w:tcPr>
          <w:p w:rsidR="00EE23AD" w:rsidRDefault="00A3555E" w:rsidP="001F1DCB">
            <w:r>
              <w:rPr>
                <w:rFonts w:eastAsiaTheme="minorEastAsia"/>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rFonts w:eastAsiaTheme="minorEastAsia"/>
                <w:color w:val="000000"/>
                <w:sz w:val="24"/>
              </w:rPr>
              <w:t>2007</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2010</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30</w:t>
            </w:r>
            <w:r>
              <w:rPr>
                <w:rFonts w:eastAsiaTheme="minorEastAsia"/>
                <w:color w:val="000000"/>
                <w:sz w:val="24"/>
              </w:rPr>
              <w:t>日任光大保德信货币市场基金基金经理，</w:t>
            </w:r>
            <w:r>
              <w:rPr>
                <w:rFonts w:eastAsiaTheme="minorEastAsia"/>
                <w:color w:val="000000"/>
                <w:sz w:val="24"/>
              </w:rPr>
              <w:t>2008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29</w:t>
            </w:r>
            <w:r>
              <w:rPr>
                <w:rFonts w:eastAsiaTheme="minorEastAsia"/>
                <w:color w:val="000000"/>
                <w:sz w:val="24"/>
              </w:rPr>
              <w:t>日至</w:t>
            </w:r>
            <w:r>
              <w:rPr>
                <w:rFonts w:eastAsiaTheme="minorEastAsia"/>
                <w:color w:val="000000"/>
                <w:sz w:val="24"/>
              </w:rPr>
              <w:t>2010</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30</w:t>
            </w:r>
            <w:r>
              <w:rPr>
                <w:rFonts w:eastAsiaTheme="minorEastAsia"/>
                <w:color w:val="000000"/>
                <w:sz w:val="24"/>
              </w:rPr>
              <w:t>日任光大保德信增利收益债券型证券投资基金基金经理，</w:t>
            </w:r>
            <w:r>
              <w:rPr>
                <w:rFonts w:eastAsiaTheme="minorEastAsia"/>
                <w:color w:val="000000"/>
                <w:sz w:val="24"/>
              </w:rPr>
              <w:t>2011</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28</w:t>
            </w:r>
            <w:r>
              <w:rPr>
                <w:rFonts w:eastAsiaTheme="minorEastAsia"/>
                <w:color w:val="000000"/>
                <w:sz w:val="24"/>
              </w:rPr>
              <w:t>日至</w:t>
            </w:r>
            <w:r>
              <w:rPr>
                <w:rFonts w:eastAsiaTheme="minorEastAsia"/>
                <w:color w:val="000000"/>
                <w:sz w:val="24"/>
              </w:rPr>
              <w:t>2013</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16</w:t>
            </w:r>
            <w:r>
              <w:rPr>
                <w:rFonts w:eastAsiaTheme="minorEastAsia"/>
                <w:color w:val="000000"/>
                <w:sz w:val="24"/>
              </w:rPr>
              <w:t>日任银华永祥保本混合型证券投资基金基金经理，</w:t>
            </w:r>
            <w:r>
              <w:rPr>
                <w:rFonts w:eastAsiaTheme="minorEastAsia"/>
                <w:color w:val="000000"/>
                <w:sz w:val="24"/>
              </w:rPr>
              <w:t>2011</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24</w:t>
            </w:r>
            <w:r>
              <w:rPr>
                <w:rFonts w:eastAsiaTheme="minorEastAsia"/>
                <w:color w:val="000000"/>
                <w:sz w:val="24"/>
              </w:rPr>
              <w:t>日任银华货币市场证券投资基金基金经理，</w:t>
            </w:r>
            <w:r>
              <w:rPr>
                <w:rFonts w:eastAsiaTheme="minorEastAsia"/>
                <w:color w:val="000000"/>
                <w:sz w:val="24"/>
              </w:rPr>
              <w:t>2012</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日任银华纯债信用主题债券型证券投资基金（</w:t>
            </w:r>
            <w:r>
              <w:rPr>
                <w:rFonts w:eastAsiaTheme="minorEastAsia"/>
                <w:color w:val="000000"/>
                <w:sz w:val="24"/>
              </w:rPr>
              <w:t>LOF</w:t>
            </w:r>
            <w:r>
              <w:rPr>
                <w:rFonts w:eastAsiaTheme="minorEastAsia"/>
                <w:color w:val="000000"/>
                <w:sz w:val="24"/>
              </w:rPr>
              <w:t>）基金经理，</w:t>
            </w:r>
            <w:r>
              <w:rPr>
                <w:rFonts w:eastAsiaTheme="minorEastAsia"/>
                <w:color w:val="000000"/>
                <w:sz w:val="24"/>
              </w:rPr>
              <w:t>2013</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24</w:t>
            </w:r>
            <w:r>
              <w:rPr>
                <w:rFonts w:eastAsiaTheme="minorEastAsia"/>
                <w:color w:val="000000"/>
                <w:sz w:val="24"/>
              </w:rPr>
              <w:t>日任银华交易型货币市场基金基金经理，</w:t>
            </w:r>
            <w:r>
              <w:rPr>
                <w:rFonts w:eastAsiaTheme="minorEastAsia"/>
                <w:color w:val="000000"/>
                <w:sz w:val="24"/>
              </w:rPr>
              <w:t>2013</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日任银华信用四季红债券型证券投资基金基金经理，</w:t>
            </w:r>
            <w:r>
              <w:rPr>
                <w:rFonts w:eastAsiaTheme="minorEastAsia"/>
                <w:color w:val="000000"/>
                <w:sz w:val="24"/>
              </w:rPr>
              <w:t>2013</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18</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日任银华信用季季红债券型证</w:t>
            </w:r>
            <w:r>
              <w:rPr>
                <w:rFonts w:eastAsiaTheme="minorEastAsia"/>
                <w:color w:val="000000"/>
                <w:sz w:val="24"/>
              </w:rPr>
              <w:lastRenderedPageBreak/>
              <w:t>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8</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日任银华信用债券型证券投资基金</w:t>
            </w:r>
            <w:r>
              <w:rPr>
                <w:rFonts w:eastAsiaTheme="minorEastAsia"/>
                <w:color w:val="000000"/>
                <w:sz w:val="24"/>
              </w:rPr>
              <w:t>(LOF)</w:t>
            </w:r>
            <w:r>
              <w:rPr>
                <w:rFonts w:eastAsiaTheme="minorEastAsia"/>
                <w:color w:val="000000"/>
                <w:sz w:val="24"/>
              </w:rPr>
              <w:t>基金经理。</w:t>
            </w:r>
            <w:r>
              <w:rPr>
                <w:rFonts w:eastAsiaTheme="minorEastAsia"/>
                <w:color w:val="000000"/>
                <w:sz w:val="24"/>
              </w:rPr>
              <w:t>2016</w:t>
            </w:r>
            <w:r>
              <w:rPr>
                <w:rFonts w:eastAsiaTheme="minorEastAsia"/>
                <w:color w:val="000000"/>
                <w:sz w:val="24"/>
              </w:rPr>
              <w:t>年加入交银施罗德基金管理有限公司。</w:t>
            </w:r>
          </w:p>
        </w:tc>
      </w:tr>
    </w:tbl>
    <w:p w:rsidR="00646488" w:rsidRDefault="00646488" w:rsidP="00646488">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646488" w:rsidRDefault="00646488" w:rsidP="00646488">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646488" w:rsidRPr="007F52FA" w:rsidRDefault="00646488" w:rsidP="00646488">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220542" w:rsidRPr="00646488"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w:t>
      </w:r>
      <w:r w:rsidRPr="00405493">
        <w:rPr>
          <w:rFonts w:eastAsiaTheme="minorEastAsia"/>
          <w:color w:val="000000"/>
          <w:sz w:val="24"/>
        </w:rPr>
        <w:lastRenderedPageBreak/>
        <w:t>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Pr="00405493">
        <w:rPr>
          <w:b/>
          <w:color w:val="000000"/>
          <w:kern w:val="0"/>
          <w:sz w:val="24"/>
        </w:rPr>
        <w:t>报告期内基金的投资策略和运作分析</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2017</w:t>
      </w:r>
      <w:r>
        <w:rPr>
          <w:rFonts w:eastAsiaTheme="minorEastAsia"/>
          <w:color w:val="000000"/>
          <w:sz w:val="24"/>
        </w:rPr>
        <w:t>年二季度，国内经济整体平稳，但已运行至小周期的高点。随着楼市调控政策进一步加码，银行对住房按揭贷款趋向谨慎，房地产投资同比增速在四月份上升至</w:t>
      </w:r>
      <w:r>
        <w:rPr>
          <w:rFonts w:eastAsiaTheme="minorEastAsia"/>
          <w:color w:val="000000"/>
          <w:sz w:val="24"/>
        </w:rPr>
        <w:t>9.3%</w:t>
      </w:r>
      <w:r>
        <w:rPr>
          <w:rFonts w:eastAsiaTheme="minorEastAsia"/>
          <w:color w:val="000000"/>
          <w:sz w:val="24"/>
        </w:rPr>
        <w:t>的高点后开始下行。二季度，中采制造业</w:t>
      </w:r>
      <w:r>
        <w:rPr>
          <w:rFonts w:eastAsiaTheme="minorEastAsia"/>
          <w:color w:val="000000"/>
          <w:sz w:val="24"/>
        </w:rPr>
        <w:t>PMI</w:t>
      </w:r>
      <w:r>
        <w:rPr>
          <w:rFonts w:eastAsiaTheme="minorEastAsia"/>
          <w:color w:val="000000"/>
          <w:sz w:val="24"/>
        </w:rPr>
        <w:t>从三月份的高点下行之后出现高位震荡，</w:t>
      </w:r>
      <w:r>
        <w:rPr>
          <w:rFonts w:eastAsiaTheme="minorEastAsia"/>
          <w:color w:val="000000"/>
          <w:sz w:val="24"/>
        </w:rPr>
        <w:t>PPI</w:t>
      </w:r>
      <w:r>
        <w:rPr>
          <w:rFonts w:eastAsiaTheme="minorEastAsia"/>
          <w:color w:val="000000"/>
          <w:sz w:val="24"/>
        </w:rPr>
        <w:t>呈逐步下行走势。鉴于国内经济形势相对稳定，但金融泡沫较大，且美联储上半年加息节奏加快，二季度银监会等三会强化金融行业监管，旨在降低金融市场风险，给市场造成了影响。为配合三会强化金融监管，央行二季度货币政策转向</w:t>
      </w:r>
      <w:r>
        <w:rPr>
          <w:rFonts w:eastAsiaTheme="minorEastAsia"/>
          <w:color w:val="000000"/>
          <w:sz w:val="24"/>
        </w:rPr>
        <w:t>“</w:t>
      </w:r>
      <w:r>
        <w:rPr>
          <w:rFonts w:eastAsiaTheme="minorEastAsia"/>
          <w:color w:val="000000"/>
          <w:sz w:val="24"/>
        </w:rPr>
        <w:t>不松不紧</w:t>
      </w:r>
      <w:r>
        <w:rPr>
          <w:rFonts w:eastAsiaTheme="minorEastAsia"/>
          <w:color w:val="000000"/>
          <w:sz w:val="24"/>
        </w:rPr>
        <w:t>”</w:t>
      </w:r>
      <w:r>
        <w:rPr>
          <w:rFonts w:eastAsiaTheme="minorEastAsia"/>
          <w:color w:val="000000"/>
          <w:sz w:val="24"/>
        </w:rPr>
        <w:t>，加大了市场维稳力度。央行公开市场净投放</w:t>
      </w:r>
      <w:r>
        <w:rPr>
          <w:rFonts w:eastAsiaTheme="minorEastAsia"/>
          <w:color w:val="000000"/>
          <w:sz w:val="24"/>
        </w:rPr>
        <w:t>2700</w:t>
      </w:r>
      <w:r>
        <w:rPr>
          <w:rFonts w:eastAsiaTheme="minorEastAsia"/>
          <w:color w:val="000000"/>
          <w:sz w:val="24"/>
        </w:rPr>
        <w:t>亿元，尤其在六月初投放</w:t>
      </w:r>
      <w:r>
        <w:rPr>
          <w:rFonts w:eastAsiaTheme="minorEastAsia"/>
          <w:color w:val="000000"/>
          <w:sz w:val="24"/>
        </w:rPr>
        <w:t>1</w:t>
      </w:r>
      <w:r>
        <w:rPr>
          <w:rFonts w:eastAsiaTheme="minorEastAsia"/>
          <w:color w:val="000000"/>
          <w:sz w:val="24"/>
        </w:rPr>
        <w:t>年期</w:t>
      </w:r>
      <w:r>
        <w:rPr>
          <w:rFonts w:eastAsiaTheme="minorEastAsia"/>
          <w:color w:val="000000"/>
          <w:sz w:val="24"/>
        </w:rPr>
        <w:t>MLF4980</w:t>
      </w:r>
      <w:r>
        <w:rPr>
          <w:rFonts w:eastAsiaTheme="minorEastAsia"/>
          <w:color w:val="000000"/>
          <w:sz w:val="24"/>
        </w:rPr>
        <w:t>亿元，主动引导市场机构对六月资金面向好的预期。</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资金面上，受央行维稳金融市场影响，二季度市场资金面进一步好转，但是资金价格中枢继续上移，六月末</w:t>
      </w:r>
      <w:r>
        <w:rPr>
          <w:rFonts w:eastAsiaTheme="minorEastAsia"/>
          <w:color w:val="000000"/>
          <w:sz w:val="24"/>
        </w:rPr>
        <w:t>R001</w:t>
      </w:r>
      <w:r>
        <w:rPr>
          <w:rFonts w:eastAsiaTheme="minorEastAsia"/>
          <w:color w:val="000000"/>
          <w:sz w:val="24"/>
        </w:rPr>
        <w:t>较一季末上升</w:t>
      </w:r>
      <w:r>
        <w:rPr>
          <w:rFonts w:eastAsiaTheme="minorEastAsia"/>
          <w:color w:val="000000"/>
          <w:sz w:val="24"/>
        </w:rPr>
        <w:t>30BP</w:t>
      </w:r>
      <w:r>
        <w:rPr>
          <w:rFonts w:eastAsiaTheme="minorEastAsia"/>
          <w:color w:val="000000"/>
          <w:sz w:val="24"/>
        </w:rPr>
        <w:t>以上。受经济稳定、三会加强金融监管以及六月资金面显著好于市场预期等因素交替冲击，二季度债市经历四、五月份的大幅下跌之后，在六月份迎来回暖行情。其中，六月底银行间市场</w:t>
      </w:r>
      <w:r>
        <w:rPr>
          <w:rFonts w:eastAsiaTheme="minorEastAsia"/>
          <w:color w:val="000000"/>
          <w:sz w:val="24"/>
        </w:rPr>
        <w:t>10</w:t>
      </w:r>
      <w:r>
        <w:rPr>
          <w:rFonts w:eastAsiaTheme="minorEastAsia"/>
          <w:color w:val="000000"/>
          <w:sz w:val="24"/>
        </w:rPr>
        <w:t>年期国开债</w:t>
      </w:r>
      <w:r>
        <w:rPr>
          <w:rFonts w:eastAsiaTheme="minorEastAsia"/>
          <w:color w:val="000000"/>
          <w:sz w:val="24"/>
        </w:rPr>
        <w:t>YTM</w:t>
      </w:r>
      <w:r>
        <w:rPr>
          <w:rFonts w:eastAsiaTheme="minorEastAsia"/>
          <w:color w:val="000000"/>
          <w:sz w:val="24"/>
        </w:rPr>
        <w:t>较一季末上升</w:t>
      </w:r>
      <w:r>
        <w:rPr>
          <w:rFonts w:eastAsiaTheme="minorEastAsia"/>
          <w:color w:val="000000"/>
          <w:sz w:val="24"/>
        </w:rPr>
        <w:t>13</w:t>
      </w:r>
      <w:r>
        <w:rPr>
          <w:rFonts w:eastAsiaTheme="minorEastAsia"/>
          <w:color w:val="000000"/>
          <w:sz w:val="24"/>
        </w:rPr>
        <w:t>个</w:t>
      </w:r>
      <w:r>
        <w:rPr>
          <w:rFonts w:eastAsiaTheme="minorEastAsia"/>
          <w:color w:val="000000"/>
          <w:sz w:val="24"/>
        </w:rPr>
        <w:t>BP</w:t>
      </w:r>
      <w:r>
        <w:rPr>
          <w:rFonts w:eastAsiaTheme="minorEastAsia"/>
          <w:color w:val="000000"/>
          <w:sz w:val="24"/>
        </w:rPr>
        <w:t>以上，较去年底上升</w:t>
      </w:r>
      <w:r>
        <w:rPr>
          <w:rFonts w:eastAsiaTheme="minorEastAsia"/>
          <w:color w:val="000000"/>
          <w:sz w:val="24"/>
        </w:rPr>
        <w:t>51</w:t>
      </w:r>
      <w:r>
        <w:rPr>
          <w:rFonts w:eastAsiaTheme="minorEastAsia"/>
          <w:color w:val="000000"/>
          <w:sz w:val="24"/>
        </w:rPr>
        <w:t>个</w:t>
      </w:r>
      <w:r>
        <w:rPr>
          <w:rFonts w:eastAsiaTheme="minorEastAsia"/>
          <w:color w:val="000000"/>
          <w:sz w:val="24"/>
        </w:rPr>
        <w:t>BP</w:t>
      </w:r>
      <w:r>
        <w:rPr>
          <w:rFonts w:eastAsiaTheme="minorEastAsia"/>
          <w:color w:val="000000"/>
          <w:sz w:val="24"/>
        </w:rPr>
        <w:t>以上；六月底</w:t>
      </w:r>
      <w:r>
        <w:rPr>
          <w:rFonts w:eastAsiaTheme="minorEastAsia"/>
          <w:color w:val="000000"/>
          <w:sz w:val="24"/>
        </w:rPr>
        <w:t>3</w:t>
      </w:r>
      <w:r>
        <w:rPr>
          <w:rFonts w:eastAsiaTheme="minorEastAsia"/>
          <w:color w:val="000000"/>
          <w:sz w:val="24"/>
        </w:rPr>
        <w:t>年期</w:t>
      </w:r>
      <w:r>
        <w:rPr>
          <w:rFonts w:eastAsiaTheme="minorEastAsia"/>
          <w:color w:val="000000"/>
          <w:sz w:val="24"/>
        </w:rPr>
        <w:t>AAA</w:t>
      </w:r>
      <w:r>
        <w:rPr>
          <w:rFonts w:eastAsiaTheme="minorEastAsia"/>
          <w:color w:val="000000"/>
          <w:sz w:val="24"/>
        </w:rPr>
        <w:t>中票</w:t>
      </w:r>
      <w:r>
        <w:rPr>
          <w:rFonts w:eastAsiaTheme="minorEastAsia"/>
          <w:color w:val="000000"/>
          <w:sz w:val="24"/>
        </w:rPr>
        <w:t>YTM</w:t>
      </w:r>
      <w:r>
        <w:rPr>
          <w:rFonts w:eastAsiaTheme="minorEastAsia"/>
          <w:color w:val="000000"/>
          <w:sz w:val="24"/>
        </w:rPr>
        <w:t>较一季末上升</w:t>
      </w:r>
      <w:r>
        <w:rPr>
          <w:rFonts w:eastAsiaTheme="minorEastAsia"/>
          <w:color w:val="000000"/>
          <w:sz w:val="24"/>
        </w:rPr>
        <w:t>13</w:t>
      </w:r>
      <w:r>
        <w:rPr>
          <w:rFonts w:eastAsiaTheme="minorEastAsia"/>
          <w:color w:val="000000"/>
          <w:sz w:val="24"/>
        </w:rPr>
        <w:t>个</w:t>
      </w:r>
      <w:r>
        <w:rPr>
          <w:rFonts w:eastAsiaTheme="minorEastAsia"/>
          <w:color w:val="000000"/>
          <w:sz w:val="24"/>
        </w:rPr>
        <w:t>BP</w:t>
      </w:r>
      <w:r>
        <w:rPr>
          <w:rFonts w:eastAsiaTheme="minorEastAsia"/>
          <w:color w:val="000000"/>
          <w:sz w:val="24"/>
        </w:rPr>
        <w:t>以上，较去年底上升</w:t>
      </w:r>
      <w:r>
        <w:rPr>
          <w:rFonts w:eastAsiaTheme="minorEastAsia"/>
          <w:color w:val="000000"/>
          <w:sz w:val="24"/>
        </w:rPr>
        <w:t>54</w:t>
      </w:r>
      <w:r>
        <w:rPr>
          <w:rFonts w:eastAsiaTheme="minorEastAsia"/>
          <w:color w:val="000000"/>
          <w:sz w:val="24"/>
        </w:rPr>
        <w:t>个</w:t>
      </w:r>
      <w:r>
        <w:rPr>
          <w:rFonts w:eastAsiaTheme="minorEastAsia"/>
          <w:color w:val="000000"/>
          <w:sz w:val="24"/>
        </w:rPr>
        <w:t>BP</w:t>
      </w:r>
      <w:r>
        <w:rPr>
          <w:rFonts w:eastAsiaTheme="minorEastAsia"/>
          <w:color w:val="000000"/>
          <w:sz w:val="24"/>
        </w:rPr>
        <w:t>以上。</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基金操作方面，报告期内本基金继续加强信用风险管控，顺应市场走势调整持仓债券，降低组合杠杆与久期，努力为持有人创造稳健的回报。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三季度，尽管国内经济已处于小周期高点，但是考虑本轮楼市调控因城施策特色、国内消费对经济增长贡献的提升以及发达经济体保持向好势头等因素，除非房地产投资出现大幅下滑，否则短期内国内经济整体上保持高位企稳的概率较大。预计短期内央行将以</w:t>
      </w:r>
      <w:r w:rsidRPr="00405493">
        <w:rPr>
          <w:rFonts w:eastAsiaTheme="minorEastAsia"/>
          <w:color w:val="000000"/>
          <w:sz w:val="24"/>
        </w:rPr>
        <w:t>“</w:t>
      </w:r>
      <w:r w:rsidRPr="00405493">
        <w:rPr>
          <w:rFonts w:eastAsiaTheme="minorEastAsia"/>
          <w:color w:val="000000"/>
          <w:sz w:val="24"/>
        </w:rPr>
        <w:t>不松不紧</w:t>
      </w:r>
      <w:r w:rsidRPr="00405493">
        <w:rPr>
          <w:rFonts w:eastAsiaTheme="minorEastAsia"/>
          <w:color w:val="000000"/>
          <w:sz w:val="24"/>
        </w:rPr>
        <w:t>”</w:t>
      </w:r>
      <w:r w:rsidRPr="00405493">
        <w:rPr>
          <w:rFonts w:eastAsiaTheme="minorEastAsia"/>
          <w:color w:val="00000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尽力控制信用风险，积极跟踪把握市场节奏，继续调整部分债券，努力为份额持有人创造稳健的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1.023</w:t>
      </w:r>
      <w:r w:rsidRPr="00405493">
        <w:rPr>
          <w:rFonts w:eastAsiaTheme="minorEastAsia"/>
          <w:color w:val="000000"/>
          <w:sz w:val="24"/>
        </w:rPr>
        <w:t>元，本报告期份额净值增长率为</w:t>
      </w:r>
      <w:r w:rsidRPr="00405493">
        <w:rPr>
          <w:rFonts w:eastAsiaTheme="minorEastAsia"/>
          <w:color w:val="000000"/>
          <w:sz w:val="24"/>
        </w:rPr>
        <w:t>0.99%</w:t>
      </w:r>
      <w:r w:rsidRPr="00405493">
        <w:rPr>
          <w:rFonts w:eastAsiaTheme="minorEastAsia"/>
          <w:color w:val="000000"/>
          <w:sz w:val="24"/>
        </w:rPr>
        <w:t>，</w:t>
      </w:r>
      <w:r w:rsidRPr="00405493">
        <w:rPr>
          <w:rFonts w:eastAsiaTheme="minorEastAsia"/>
          <w:color w:val="000000"/>
          <w:sz w:val="24"/>
        </w:rPr>
        <w:lastRenderedPageBreak/>
        <w:t>同期业绩比较基准增长率为</w:t>
      </w:r>
      <w:r w:rsidRPr="00405493">
        <w:rPr>
          <w:rFonts w:eastAsiaTheme="minorEastAsia"/>
          <w:color w:val="000000"/>
          <w:sz w:val="24"/>
        </w:rPr>
        <w:t>0.7</w:t>
      </w:r>
      <w:r w:rsidR="00CD269B">
        <w:rPr>
          <w:rFonts w:eastAsiaTheme="minorEastAsia"/>
          <w:color w:val="000000"/>
          <w:sz w:val="24"/>
        </w:rPr>
        <w:t>0</w:t>
      </w:r>
      <w:r w:rsidRPr="00405493">
        <w:rPr>
          <w:rFonts w:eastAsiaTheme="minorEastAsia"/>
          <w:color w:val="000000"/>
          <w:sz w:val="24"/>
        </w:rPr>
        <w:t>%</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506,287,615.20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96.81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506,287,615.20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96.81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6,887,957.90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1.32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9,792,192.20</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1.87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522,967,765.30</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1F1DCB" w:rsidRPr="00405493" w:rsidRDefault="001F1DCB" w:rsidP="009D139A">
      <w:pPr>
        <w:autoSpaceDE w:val="0"/>
        <w:autoSpaceDN w:val="0"/>
        <w:adjustRightInd w:val="0"/>
        <w:spacing w:before="29" w:line="288" w:lineRule="auto"/>
        <w:jc w:val="left"/>
        <w:rPr>
          <w:rFonts w:eastAsiaTheme="minorEastAsia"/>
          <w:color w:val="000000"/>
          <w:sz w:val="24"/>
        </w:rPr>
      </w:pP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w:t>
      </w:r>
      <w:r w:rsidR="00993352">
        <w:rPr>
          <w:rFonts w:eastAsiaTheme="minorEastAsia" w:hint="eastAsia"/>
          <w:b/>
          <w:color w:val="000000"/>
          <w:kern w:val="0"/>
          <w:sz w:val="24"/>
        </w:rPr>
        <w:t>港股通</w:t>
      </w:r>
      <w:r w:rsidRPr="00904B29">
        <w:rPr>
          <w:rFonts w:eastAsiaTheme="minorEastAsia" w:hint="eastAsia"/>
          <w:b/>
          <w:color w:val="000000"/>
          <w:kern w:val="0"/>
          <w:sz w:val="24"/>
        </w:rPr>
        <w:t>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本基金本报告期末未持有通过港股通投资的股票。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AE2694" w:rsidRPr="00405493" w:rsidTr="004360F5">
        <w:trPr>
          <w:jc w:val="center"/>
        </w:trPr>
        <w:tc>
          <w:tcPr>
            <w:tcW w:w="850" w:type="dxa"/>
            <w:vAlign w:val="center"/>
          </w:tcPr>
          <w:p w:rsidR="00AE2694" w:rsidRPr="00405493" w:rsidRDefault="00AE2694" w:rsidP="00AE2694">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AE2694" w:rsidRPr="00405493" w:rsidRDefault="00AE2694" w:rsidP="00AE2694">
            <w:pPr>
              <w:spacing w:before="29" w:line="288" w:lineRule="auto"/>
              <w:ind w:left="17"/>
              <w:jc w:val="left"/>
              <w:rPr>
                <w:color w:val="000000"/>
                <w:sz w:val="24"/>
              </w:rPr>
            </w:pPr>
            <w:r w:rsidRPr="00405493">
              <w:rPr>
                <w:color w:val="000000"/>
                <w:sz w:val="24"/>
              </w:rPr>
              <w:t>金融债券</w:t>
            </w:r>
          </w:p>
        </w:tc>
        <w:tc>
          <w:tcPr>
            <w:tcW w:w="2801" w:type="dxa"/>
            <w:vAlign w:val="center"/>
          </w:tcPr>
          <w:p w:rsidR="00AE2694" w:rsidRPr="00AE2694" w:rsidRDefault="00AE2694" w:rsidP="00AE2694">
            <w:pPr>
              <w:spacing w:before="29" w:line="288" w:lineRule="auto"/>
              <w:ind w:left="17"/>
              <w:jc w:val="right"/>
              <w:rPr>
                <w:color w:val="000000"/>
                <w:sz w:val="24"/>
              </w:rPr>
            </w:pPr>
            <w:r w:rsidRPr="00AE2694">
              <w:rPr>
                <w:color w:val="000000"/>
                <w:sz w:val="24"/>
              </w:rPr>
              <w:t>4,614,300</w:t>
            </w:r>
          </w:p>
        </w:tc>
        <w:tc>
          <w:tcPr>
            <w:tcW w:w="1827" w:type="dxa"/>
            <w:vAlign w:val="center"/>
          </w:tcPr>
          <w:p w:rsidR="00AE2694" w:rsidRPr="00AE2694" w:rsidRDefault="00AE2694" w:rsidP="00AE2694">
            <w:pPr>
              <w:spacing w:before="29" w:line="288" w:lineRule="auto"/>
              <w:ind w:left="17"/>
              <w:jc w:val="right"/>
              <w:rPr>
                <w:color w:val="000000"/>
                <w:sz w:val="24"/>
              </w:rPr>
            </w:pPr>
            <w:r w:rsidRPr="00AE2694">
              <w:rPr>
                <w:color w:val="000000"/>
                <w:sz w:val="24"/>
              </w:rPr>
              <w:t>0.88</w:t>
            </w:r>
          </w:p>
        </w:tc>
      </w:tr>
      <w:tr w:rsidR="00AE2694" w:rsidRPr="00405493" w:rsidTr="004360F5">
        <w:trPr>
          <w:jc w:val="center"/>
        </w:trPr>
        <w:tc>
          <w:tcPr>
            <w:tcW w:w="850" w:type="dxa"/>
            <w:vAlign w:val="center"/>
          </w:tcPr>
          <w:p w:rsidR="00AE2694" w:rsidRPr="00405493" w:rsidRDefault="00AE2694" w:rsidP="00AE2694">
            <w:pPr>
              <w:spacing w:before="29" w:line="288" w:lineRule="auto"/>
              <w:ind w:left="17"/>
              <w:jc w:val="center"/>
              <w:rPr>
                <w:rFonts w:eastAsiaTheme="minorEastAsia"/>
                <w:color w:val="000000"/>
                <w:sz w:val="24"/>
              </w:rPr>
            </w:pPr>
          </w:p>
        </w:tc>
        <w:tc>
          <w:tcPr>
            <w:tcW w:w="3390" w:type="dxa"/>
            <w:vAlign w:val="center"/>
          </w:tcPr>
          <w:p w:rsidR="00AE2694" w:rsidRPr="00405493" w:rsidRDefault="00AE2694" w:rsidP="00AE2694">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AE2694" w:rsidRPr="00AE2694" w:rsidRDefault="00AE2694" w:rsidP="00AE2694">
            <w:pPr>
              <w:spacing w:before="29" w:line="288" w:lineRule="auto"/>
              <w:ind w:left="17"/>
              <w:jc w:val="right"/>
              <w:rPr>
                <w:color w:val="000000"/>
                <w:sz w:val="24"/>
              </w:rPr>
            </w:pPr>
            <w:r w:rsidRPr="00AE2694">
              <w:rPr>
                <w:color w:val="000000"/>
                <w:sz w:val="24"/>
              </w:rPr>
              <w:t>4,614,300</w:t>
            </w:r>
          </w:p>
        </w:tc>
        <w:tc>
          <w:tcPr>
            <w:tcW w:w="1827" w:type="dxa"/>
            <w:vAlign w:val="center"/>
          </w:tcPr>
          <w:p w:rsidR="00AE2694" w:rsidRPr="00AE2694" w:rsidRDefault="00AE2694" w:rsidP="00AE2694">
            <w:pPr>
              <w:spacing w:before="29" w:line="288" w:lineRule="auto"/>
              <w:ind w:left="17"/>
              <w:jc w:val="right"/>
              <w:rPr>
                <w:color w:val="000000"/>
                <w:sz w:val="24"/>
              </w:rPr>
            </w:pPr>
            <w:r w:rsidRPr="00AE2694">
              <w:rPr>
                <w:color w:val="000000"/>
                <w:sz w:val="24"/>
              </w:rPr>
              <w:t>0.88</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104,098,315.20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19.94</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260,630,000.00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49.91</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E50D1" w:rsidRPr="00405493" w:rsidTr="00622A9C">
        <w:trPr>
          <w:jc w:val="center"/>
        </w:trPr>
        <w:tc>
          <w:tcPr>
            <w:tcW w:w="850" w:type="dxa"/>
            <w:vAlign w:val="center"/>
          </w:tcPr>
          <w:p w:rsidR="007E50D1" w:rsidRPr="00A513A9" w:rsidRDefault="007E50D1" w:rsidP="007E50D1">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7E50D1" w:rsidRPr="00A513A9" w:rsidRDefault="007E50D1" w:rsidP="007E50D1">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7E50D1" w:rsidRPr="007E50D1" w:rsidRDefault="007E50D1" w:rsidP="007E50D1">
            <w:pPr>
              <w:spacing w:before="29" w:line="288" w:lineRule="auto"/>
              <w:ind w:left="17"/>
              <w:jc w:val="right"/>
              <w:rPr>
                <w:color w:val="000000"/>
                <w:sz w:val="24"/>
              </w:rPr>
            </w:pPr>
            <w:r w:rsidRPr="007E50D1">
              <w:rPr>
                <w:color w:val="000000"/>
                <w:sz w:val="24"/>
              </w:rPr>
              <w:t>136,945,000.00</w:t>
            </w:r>
          </w:p>
        </w:tc>
        <w:tc>
          <w:tcPr>
            <w:tcW w:w="1827" w:type="dxa"/>
            <w:vAlign w:val="center"/>
          </w:tcPr>
          <w:p w:rsidR="007E50D1" w:rsidRPr="007E50D1" w:rsidRDefault="007E50D1" w:rsidP="007E50D1">
            <w:pPr>
              <w:spacing w:before="29" w:line="288" w:lineRule="auto"/>
              <w:ind w:left="17"/>
              <w:jc w:val="right"/>
              <w:rPr>
                <w:color w:val="000000"/>
                <w:sz w:val="24"/>
              </w:rPr>
            </w:pPr>
            <w:r w:rsidRPr="007E50D1">
              <w:rPr>
                <w:color w:val="000000"/>
                <w:sz w:val="24"/>
              </w:rPr>
              <w:t>26.23</w:t>
            </w:r>
          </w:p>
        </w:tc>
      </w:tr>
      <w:tr w:rsidR="007E50D1" w:rsidRPr="00405493" w:rsidTr="004360F5">
        <w:trPr>
          <w:jc w:val="center"/>
        </w:trPr>
        <w:tc>
          <w:tcPr>
            <w:tcW w:w="850" w:type="dxa"/>
            <w:vAlign w:val="center"/>
          </w:tcPr>
          <w:p w:rsidR="007E50D1" w:rsidRPr="00405493" w:rsidRDefault="007E50D1" w:rsidP="007E50D1">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7E50D1" w:rsidRPr="00405493" w:rsidRDefault="007E50D1" w:rsidP="007E50D1">
            <w:pPr>
              <w:spacing w:before="29" w:line="288" w:lineRule="auto"/>
              <w:ind w:left="17"/>
              <w:jc w:val="left"/>
              <w:rPr>
                <w:color w:val="000000"/>
                <w:sz w:val="24"/>
              </w:rPr>
            </w:pPr>
            <w:r w:rsidRPr="00405493">
              <w:rPr>
                <w:color w:val="000000"/>
                <w:sz w:val="24"/>
              </w:rPr>
              <w:t>其他</w:t>
            </w:r>
          </w:p>
        </w:tc>
        <w:tc>
          <w:tcPr>
            <w:tcW w:w="2801" w:type="dxa"/>
            <w:vAlign w:val="center"/>
          </w:tcPr>
          <w:p w:rsidR="007E50D1" w:rsidRPr="007E50D1" w:rsidRDefault="007E50D1" w:rsidP="007E50D1">
            <w:pPr>
              <w:spacing w:before="29" w:line="288" w:lineRule="auto"/>
              <w:ind w:left="17"/>
              <w:jc w:val="right"/>
              <w:rPr>
                <w:color w:val="000000"/>
                <w:sz w:val="24"/>
              </w:rPr>
            </w:pPr>
            <w:r w:rsidRPr="007E50D1">
              <w:rPr>
                <w:color w:val="000000"/>
                <w:sz w:val="24"/>
              </w:rPr>
              <w:t>-</w:t>
            </w:r>
          </w:p>
        </w:tc>
        <w:tc>
          <w:tcPr>
            <w:tcW w:w="1827" w:type="dxa"/>
            <w:vAlign w:val="center"/>
          </w:tcPr>
          <w:p w:rsidR="007E50D1" w:rsidRPr="007E50D1" w:rsidRDefault="007E50D1" w:rsidP="007E50D1">
            <w:pPr>
              <w:spacing w:before="29" w:line="288" w:lineRule="auto"/>
              <w:ind w:left="17"/>
              <w:jc w:val="right"/>
              <w:rPr>
                <w:color w:val="000000"/>
                <w:sz w:val="24"/>
              </w:rPr>
            </w:pPr>
            <w:r w:rsidRPr="007E50D1">
              <w:rPr>
                <w:color w:val="000000"/>
                <w:sz w:val="24"/>
              </w:rPr>
              <w:t>-</w:t>
            </w:r>
            <w:bookmarkStart w:id="0" w:name="_GoBack"/>
            <w:bookmarkEnd w:id="0"/>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506,287,615.20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96.96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EE23AD">
        <w:trPr>
          <w:jc w:val="center"/>
        </w:trPr>
        <w:tc>
          <w:tcPr>
            <w:tcW w:w="1302" w:type="dxa"/>
            <w:vAlign w:val="center"/>
          </w:tcPr>
          <w:p w:rsidR="00EE23AD" w:rsidRDefault="00A3555E">
            <w:pPr>
              <w:jc w:val="center"/>
            </w:pPr>
            <w:r>
              <w:rPr>
                <w:rFonts w:eastAsiaTheme="minorEastAsia"/>
                <w:color w:val="000000"/>
                <w:sz w:val="24"/>
              </w:rPr>
              <w:t>1</w:t>
            </w:r>
          </w:p>
        </w:tc>
        <w:tc>
          <w:tcPr>
            <w:tcW w:w="1362" w:type="dxa"/>
            <w:vAlign w:val="center"/>
          </w:tcPr>
          <w:p w:rsidR="00EE23AD" w:rsidRDefault="00A3555E">
            <w:pPr>
              <w:jc w:val="center"/>
            </w:pPr>
            <w:r>
              <w:rPr>
                <w:rFonts w:eastAsiaTheme="minorEastAsia"/>
                <w:color w:val="000000"/>
                <w:sz w:val="24"/>
              </w:rPr>
              <w:t>111695908</w:t>
            </w:r>
          </w:p>
        </w:tc>
        <w:tc>
          <w:tcPr>
            <w:tcW w:w="1652" w:type="dxa"/>
            <w:vAlign w:val="center"/>
          </w:tcPr>
          <w:p w:rsidR="00EE23AD" w:rsidRDefault="00A3555E">
            <w:pPr>
              <w:jc w:val="center"/>
            </w:pPr>
            <w:r>
              <w:rPr>
                <w:rFonts w:eastAsiaTheme="minorEastAsia"/>
                <w:color w:val="000000"/>
                <w:sz w:val="24"/>
              </w:rPr>
              <w:t>16</w:t>
            </w:r>
            <w:r>
              <w:rPr>
                <w:rFonts w:eastAsiaTheme="minorEastAsia"/>
                <w:color w:val="000000"/>
                <w:sz w:val="24"/>
              </w:rPr>
              <w:t>包商银行</w:t>
            </w:r>
            <w:r>
              <w:rPr>
                <w:rFonts w:eastAsiaTheme="minorEastAsia"/>
                <w:color w:val="000000"/>
                <w:sz w:val="24"/>
              </w:rPr>
              <w:t>CD047</w:t>
            </w:r>
          </w:p>
        </w:tc>
        <w:tc>
          <w:tcPr>
            <w:tcW w:w="1417" w:type="dxa"/>
            <w:vAlign w:val="center"/>
          </w:tcPr>
          <w:p w:rsidR="00EE23AD" w:rsidRDefault="00A3555E">
            <w:pPr>
              <w:jc w:val="right"/>
            </w:pPr>
            <w:r>
              <w:rPr>
                <w:rFonts w:eastAsiaTheme="minorEastAsia"/>
                <w:color w:val="000000"/>
                <w:sz w:val="24"/>
              </w:rPr>
              <w:t>700,000</w:t>
            </w:r>
          </w:p>
        </w:tc>
        <w:tc>
          <w:tcPr>
            <w:tcW w:w="1701" w:type="dxa"/>
            <w:vAlign w:val="center"/>
          </w:tcPr>
          <w:p w:rsidR="00EE23AD" w:rsidRDefault="00A3555E">
            <w:pPr>
              <w:jc w:val="right"/>
            </w:pPr>
            <w:r>
              <w:rPr>
                <w:rFonts w:eastAsiaTheme="minorEastAsia"/>
                <w:color w:val="000000"/>
                <w:sz w:val="24"/>
              </w:rPr>
              <w:t>67,865,000.00</w:t>
            </w:r>
          </w:p>
        </w:tc>
        <w:tc>
          <w:tcPr>
            <w:tcW w:w="1434" w:type="dxa"/>
            <w:vAlign w:val="center"/>
          </w:tcPr>
          <w:p w:rsidR="00EE23AD" w:rsidRDefault="00A3555E">
            <w:pPr>
              <w:jc w:val="right"/>
            </w:pPr>
            <w:r>
              <w:rPr>
                <w:rFonts w:eastAsiaTheme="minorEastAsia"/>
                <w:color w:val="000000"/>
                <w:sz w:val="24"/>
              </w:rPr>
              <w:t>13.00</w:t>
            </w:r>
          </w:p>
        </w:tc>
      </w:tr>
      <w:tr w:rsidR="00EE23AD">
        <w:trPr>
          <w:jc w:val="center"/>
        </w:trPr>
        <w:tc>
          <w:tcPr>
            <w:tcW w:w="1302" w:type="dxa"/>
            <w:vAlign w:val="center"/>
          </w:tcPr>
          <w:p w:rsidR="00EE23AD" w:rsidRDefault="00A3555E">
            <w:pPr>
              <w:jc w:val="center"/>
            </w:pPr>
            <w:r>
              <w:rPr>
                <w:rFonts w:eastAsiaTheme="minorEastAsia"/>
                <w:color w:val="000000"/>
                <w:sz w:val="24"/>
              </w:rPr>
              <w:t>2</w:t>
            </w:r>
          </w:p>
        </w:tc>
        <w:tc>
          <w:tcPr>
            <w:tcW w:w="1362" w:type="dxa"/>
            <w:vAlign w:val="center"/>
          </w:tcPr>
          <w:p w:rsidR="00EE23AD" w:rsidRDefault="00A3555E">
            <w:pPr>
              <w:jc w:val="center"/>
            </w:pPr>
            <w:r>
              <w:rPr>
                <w:rFonts w:eastAsiaTheme="minorEastAsia"/>
                <w:color w:val="000000"/>
                <w:sz w:val="24"/>
              </w:rPr>
              <w:t>011698690</w:t>
            </w:r>
          </w:p>
        </w:tc>
        <w:tc>
          <w:tcPr>
            <w:tcW w:w="1652" w:type="dxa"/>
            <w:vAlign w:val="center"/>
          </w:tcPr>
          <w:p w:rsidR="00EE23AD" w:rsidRDefault="00A3555E">
            <w:pPr>
              <w:jc w:val="center"/>
            </w:pPr>
            <w:r>
              <w:rPr>
                <w:rFonts w:eastAsiaTheme="minorEastAsia"/>
                <w:color w:val="000000"/>
                <w:sz w:val="24"/>
              </w:rPr>
              <w:t>16</w:t>
            </w:r>
            <w:r>
              <w:rPr>
                <w:rFonts w:eastAsiaTheme="minorEastAsia"/>
                <w:color w:val="000000"/>
                <w:sz w:val="24"/>
              </w:rPr>
              <w:t>杭金投</w:t>
            </w:r>
            <w:r>
              <w:rPr>
                <w:rFonts w:eastAsiaTheme="minorEastAsia"/>
                <w:color w:val="000000"/>
                <w:sz w:val="24"/>
              </w:rPr>
              <w:t>SCP004</w:t>
            </w:r>
          </w:p>
        </w:tc>
        <w:tc>
          <w:tcPr>
            <w:tcW w:w="1417" w:type="dxa"/>
            <w:vAlign w:val="center"/>
          </w:tcPr>
          <w:p w:rsidR="00EE23AD" w:rsidRDefault="00A3555E">
            <w:pPr>
              <w:jc w:val="right"/>
            </w:pPr>
            <w:r>
              <w:rPr>
                <w:rFonts w:eastAsiaTheme="minorEastAsia"/>
                <w:color w:val="000000"/>
                <w:sz w:val="24"/>
              </w:rPr>
              <w:t>500,000</w:t>
            </w:r>
          </w:p>
        </w:tc>
        <w:tc>
          <w:tcPr>
            <w:tcW w:w="1701" w:type="dxa"/>
            <w:vAlign w:val="center"/>
          </w:tcPr>
          <w:p w:rsidR="00EE23AD" w:rsidRDefault="00A3555E">
            <w:pPr>
              <w:jc w:val="right"/>
            </w:pPr>
            <w:r>
              <w:rPr>
                <w:rFonts w:eastAsiaTheme="minorEastAsia"/>
                <w:color w:val="000000"/>
                <w:sz w:val="24"/>
              </w:rPr>
              <w:t>50,170,000.00</w:t>
            </w:r>
          </w:p>
        </w:tc>
        <w:tc>
          <w:tcPr>
            <w:tcW w:w="1434" w:type="dxa"/>
            <w:vAlign w:val="center"/>
          </w:tcPr>
          <w:p w:rsidR="00EE23AD" w:rsidRDefault="00A3555E">
            <w:pPr>
              <w:jc w:val="right"/>
            </w:pPr>
            <w:r>
              <w:rPr>
                <w:rFonts w:eastAsiaTheme="minorEastAsia"/>
                <w:color w:val="000000"/>
                <w:sz w:val="24"/>
              </w:rPr>
              <w:t>9.61</w:t>
            </w:r>
          </w:p>
        </w:tc>
      </w:tr>
      <w:tr w:rsidR="00EE23AD">
        <w:trPr>
          <w:jc w:val="center"/>
        </w:trPr>
        <w:tc>
          <w:tcPr>
            <w:tcW w:w="1302" w:type="dxa"/>
            <w:vAlign w:val="center"/>
          </w:tcPr>
          <w:p w:rsidR="00EE23AD" w:rsidRDefault="00A3555E">
            <w:pPr>
              <w:jc w:val="center"/>
            </w:pPr>
            <w:r>
              <w:rPr>
                <w:rFonts w:eastAsiaTheme="minorEastAsia"/>
                <w:color w:val="000000"/>
                <w:sz w:val="24"/>
              </w:rPr>
              <w:t>3</w:t>
            </w:r>
          </w:p>
        </w:tc>
        <w:tc>
          <w:tcPr>
            <w:tcW w:w="1362" w:type="dxa"/>
            <w:vAlign w:val="center"/>
          </w:tcPr>
          <w:p w:rsidR="00EE23AD" w:rsidRDefault="00A3555E">
            <w:pPr>
              <w:jc w:val="center"/>
            </w:pPr>
            <w:r>
              <w:rPr>
                <w:rFonts w:eastAsiaTheme="minorEastAsia"/>
                <w:color w:val="000000"/>
                <w:sz w:val="24"/>
              </w:rPr>
              <w:t>011698776</w:t>
            </w:r>
          </w:p>
        </w:tc>
        <w:tc>
          <w:tcPr>
            <w:tcW w:w="1652" w:type="dxa"/>
            <w:vAlign w:val="center"/>
          </w:tcPr>
          <w:p w:rsidR="00EE23AD" w:rsidRDefault="00A3555E">
            <w:pPr>
              <w:jc w:val="center"/>
            </w:pPr>
            <w:r>
              <w:rPr>
                <w:rFonts w:eastAsiaTheme="minorEastAsia"/>
                <w:color w:val="000000"/>
                <w:sz w:val="24"/>
              </w:rPr>
              <w:t>16</w:t>
            </w:r>
            <w:r>
              <w:rPr>
                <w:rFonts w:eastAsiaTheme="minorEastAsia"/>
                <w:color w:val="000000"/>
                <w:sz w:val="24"/>
              </w:rPr>
              <w:t>珠海华发</w:t>
            </w:r>
            <w:r>
              <w:rPr>
                <w:rFonts w:eastAsiaTheme="minorEastAsia"/>
                <w:color w:val="000000"/>
                <w:sz w:val="24"/>
              </w:rPr>
              <w:t>SCP007</w:t>
            </w:r>
          </w:p>
        </w:tc>
        <w:tc>
          <w:tcPr>
            <w:tcW w:w="1417" w:type="dxa"/>
            <w:vAlign w:val="center"/>
          </w:tcPr>
          <w:p w:rsidR="00EE23AD" w:rsidRDefault="00A3555E">
            <w:pPr>
              <w:jc w:val="right"/>
            </w:pPr>
            <w:r>
              <w:rPr>
                <w:rFonts w:eastAsiaTheme="minorEastAsia"/>
                <w:color w:val="000000"/>
                <w:sz w:val="24"/>
              </w:rPr>
              <w:t>500,000</w:t>
            </w:r>
          </w:p>
        </w:tc>
        <w:tc>
          <w:tcPr>
            <w:tcW w:w="1701" w:type="dxa"/>
            <w:vAlign w:val="center"/>
          </w:tcPr>
          <w:p w:rsidR="00EE23AD" w:rsidRDefault="00A3555E">
            <w:pPr>
              <w:jc w:val="right"/>
            </w:pPr>
            <w:r>
              <w:rPr>
                <w:rFonts w:eastAsiaTheme="minorEastAsia"/>
                <w:color w:val="000000"/>
                <w:sz w:val="24"/>
              </w:rPr>
              <w:t>50,115,000.00</w:t>
            </w:r>
          </w:p>
        </w:tc>
        <w:tc>
          <w:tcPr>
            <w:tcW w:w="1434" w:type="dxa"/>
            <w:vAlign w:val="center"/>
          </w:tcPr>
          <w:p w:rsidR="00EE23AD" w:rsidRDefault="00A3555E">
            <w:pPr>
              <w:jc w:val="right"/>
            </w:pPr>
            <w:r>
              <w:rPr>
                <w:rFonts w:eastAsiaTheme="minorEastAsia"/>
                <w:color w:val="000000"/>
                <w:sz w:val="24"/>
              </w:rPr>
              <w:t>9.60</w:t>
            </w:r>
          </w:p>
        </w:tc>
      </w:tr>
      <w:tr w:rsidR="00EE23AD">
        <w:trPr>
          <w:jc w:val="center"/>
        </w:trPr>
        <w:tc>
          <w:tcPr>
            <w:tcW w:w="1302" w:type="dxa"/>
            <w:vAlign w:val="center"/>
          </w:tcPr>
          <w:p w:rsidR="00EE23AD" w:rsidRDefault="00A3555E">
            <w:pPr>
              <w:jc w:val="center"/>
            </w:pPr>
            <w:r>
              <w:rPr>
                <w:rFonts w:eastAsiaTheme="minorEastAsia"/>
                <w:color w:val="000000"/>
                <w:sz w:val="24"/>
              </w:rPr>
              <w:t>4</w:t>
            </w:r>
          </w:p>
        </w:tc>
        <w:tc>
          <w:tcPr>
            <w:tcW w:w="1362" w:type="dxa"/>
            <w:vAlign w:val="center"/>
          </w:tcPr>
          <w:p w:rsidR="00EE23AD" w:rsidRDefault="00A3555E">
            <w:pPr>
              <w:jc w:val="center"/>
            </w:pPr>
            <w:r>
              <w:rPr>
                <w:rFonts w:eastAsiaTheme="minorEastAsia"/>
                <w:color w:val="000000"/>
                <w:sz w:val="24"/>
              </w:rPr>
              <w:t>011698738</w:t>
            </w:r>
          </w:p>
        </w:tc>
        <w:tc>
          <w:tcPr>
            <w:tcW w:w="1652" w:type="dxa"/>
            <w:vAlign w:val="center"/>
          </w:tcPr>
          <w:p w:rsidR="00EE23AD" w:rsidRDefault="00A3555E">
            <w:pPr>
              <w:jc w:val="center"/>
            </w:pPr>
            <w:r>
              <w:rPr>
                <w:rFonts w:eastAsiaTheme="minorEastAsia"/>
                <w:color w:val="000000"/>
                <w:sz w:val="24"/>
              </w:rPr>
              <w:t>16</w:t>
            </w:r>
            <w:r>
              <w:rPr>
                <w:rFonts w:eastAsiaTheme="minorEastAsia"/>
                <w:color w:val="000000"/>
                <w:sz w:val="24"/>
              </w:rPr>
              <w:t>广新控股</w:t>
            </w:r>
            <w:r>
              <w:rPr>
                <w:rFonts w:eastAsiaTheme="minorEastAsia"/>
                <w:color w:val="000000"/>
                <w:sz w:val="24"/>
              </w:rPr>
              <w:t>SCP009</w:t>
            </w:r>
          </w:p>
        </w:tc>
        <w:tc>
          <w:tcPr>
            <w:tcW w:w="1417" w:type="dxa"/>
            <w:vAlign w:val="center"/>
          </w:tcPr>
          <w:p w:rsidR="00EE23AD" w:rsidRDefault="00A3555E">
            <w:pPr>
              <w:jc w:val="right"/>
            </w:pPr>
            <w:r>
              <w:rPr>
                <w:rFonts w:eastAsiaTheme="minorEastAsia"/>
                <w:color w:val="000000"/>
                <w:sz w:val="24"/>
              </w:rPr>
              <w:t>500,000</w:t>
            </w:r>
          </w:p>
        </w:tc>
        <w:tc>
          <w:tcPr>
            <w:tcW w:w="1701" w:type="dxa"/>
            <w:vAlign w:val="center"/>
          </w:tcPr>
          <w:p w:rsidR="00EE23AD" w:rsidRDefault="00A3555E">
            <w:pPr>
              <w:jc w:val="right"/>
            </w:pPr>
            <w:r>
              <w:rPr>
                <w:rFonts w:eastAsiaTheme="minorEastAsia"/>
                <w:color w:val="000000"/>
                <w:sz w:val="24"/>
              </w:rPr>
              <w:t>50,105,000.00</w:t>
            </w:r>
          </w:p>
        </w:tc>
        <w:tc>
          <w:tcPr>
            <w:tcW w:w="1434" w:type="dxa"/>
            <w:vAlign w:val="center"/>
          </w:tcPr>
          <w:p w:rsidR="00EE23AD" w:rsidRDefault="00A3555E">
            <w:pPr>
              <w:jc w:val="right"/>
            </w:pPr>
            <w:r>
              <w:rPr>
                <w:rFonts w:eastAsiaTheme="minorEastAsia"/>
                <w:color w:val="000000"/>
                <w:sz w:val="24"/>
              </w:rPr>
              <w:t>9.60</w:t>
            </w:r>
          </w:p>
        </w:tc>
      </w:tr>
      <w:tr w:rsidR="00EE23AD">
        <w:trPr>
          <w:jc w:val="center"/>
        </w:trPr>
        <w:tc>
          <w:tcPr>
            <w:tcW w:w="1302" w:type="dxa"/>
            <w:vAlign w:val="center"/>
          </w:tcPr>
          <w:p w:rsidR="00EE23AD" w:rsidRDefault="00A3555E">
            <w:pPr>
              <w:jc w:val="center"/>
            </w:pPr>
            <w:r>
              <w:rPr>
                <w:rFonts w:eastAsiaTheme="minorEastAsia"/>
                <w:color w:val="000000"/>
                <w:sz w:val="24"/>
              </w:rPr>
              <w:t>5</w:t>
            </w:r>
          </w:p>
        </w:tc>
        <w:tc>
          <w:tcPr>
            <w:tcW w:w="1362" w:type="dxa"/>
            <w:vAlign w:val="center"/>
          </w:tcPr>
          <w:p w:rsidR="00EE23AD" w:rsidRDefault="00A3555E">
            <w:pPr>
              <w:jc w:val="center"/>
            </w:pPr>
            <w:r>
              <w:rPr>
                <w:rFonts w:eastAsiaTheme="minorEastAsia"/>
                <w:color w:val="000000"/>
                <w:sz w:val="24"/>
              </w:rPr>
              <w:t>011698774</w:t>
            </w:r>
          </w:p>
        </w:tc>
        <w:tc>
          <w:tcPr>
            <w:tcW w:w="1652" w:type="dxa"/>
            <w:vAlign w:val="center"/>
          </w:tcPr>
          <w:p w:rsidR="00EE23AD" w:rsidRDefault="00A3555E">
            <w:pPr>
              <w:jc w:val="center"/>
            </w:pPr>
            <w:r>
              <w:rPr>
                <w:rFonts w:eastAsiaTheme="minorEastAsia"/>
                <w:color w:val="000000"/>
                <w:sz w:val="24"/>
              </w:rPr>
              <w:t>16</w:t>
            </w:r>
            <w:r>
              <w:rPr>
                <w:rFonts w:eastAsiaTheme="minorEastAsia"/>
                <w:color w:val="000000"/>
                <w:sz w:val="24"/>
              </w:rPr>
              <w:t>陕延油</w:t>
            </w:r>
            <w:r>
              <w:rPr>
                <w:rFonts w:eastAsiaTheme="minorEastAsia"/>
                <w:color w:val="000000"/>
                <w:sz w:val="24"/>
              </w:rPr>
              <w:t>SCP005</w:t>
            </w:r>
          </w:p>
        </w:tc>
        <w:tc>
          <w:tcPr>
            <w:tcW w:w="1417" w:type="dxa"/>
            <w:vAlign w:val="center"/>
          </w:tcPr>
          <w:p w:rsidR="00EE23AD" w:rsidRDefault="00A3555E">
            <w:pPr>
              <w:jc w:val="right"/>
            </w:pPr>
            <w:r>
              <w:rPr>
                <w:rFonts w:eastAsiaTheme="minorEastAsia"/>
                <w:color w:val="000000"/>
                <w:sz w:val="24"/>
              </w:rPr>
              <w:t>500,000</w:t>
            </w:r>
          </w:p>
        </w:tc>
        <w:tc>
          <w:tcPr>
            <w:tcW w:w="1701" w:type="dxa"/>
            <w:vAlign w:val="center"/>
          </w:tcPr>
          <w:p w:rsidR="00EE23AD" w:rsidRDefault="00A3555E">
            <w:pPr>
              <w:jc w:val="right"/>
            </w:pPr>
            <w:r>
              <w:rPr>
                <w:rFonts w:eastAsiaTheme="minorEastAsia"/>
                <w:color w:val="000000"/>
                <w:sz w:val="24"/>
              </w:rPr>
              <w:t>50,090,000.00</w:t>
            </w:r>
          </w:p>
        </w:tc>
        <w:tc>
          <w:tcPr>
            <w:tcW w:w="1434" w:type="dxa"/>
            <w:vAlign w:val="center"/>
          </w:tcPr>
          <w:p w:rsidR="00EE23AD" w:rsidRDefault="00A3555E">
            <w:pPr>
              <w:jc w:val="right"/>
            </w:pPr>
            <w:r>
              <w:rPr>
                <w:rFonts w:eastAsiaTheme="minorEastAsia"/>
                <w:color w:val="000000"/>
                <w:sz w:val="24"/>
              </w:rPr>
              <w:t>9.59</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lastRenderedPageBreak/>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报告期内本基金投资的前十名证券的发行主体除</w:t>
      </w:r>
      <w:r w:rsidR="009215BE" w:rsidRPr="00405493">
        <w:rPr>
          <w:rFonts w:eastAsiaTheme="minorEastAsia"/>
          <w:color w:val="000000"/>
          <w:sz w:val="24"/>
        </w:rPr>
        <w:t>14</w:t>
      </w:r>
      <w:r w:rsidR="009215BE" w:rsidRPr="00405493">
        <w:rPr>
          <w:rFonts w:eastAsiaTheme="minorEastAsia"/>
          <w:color w:val="000000"/>
          <w:sz w:val="24"/>
        </w:rPr>
        <w:t>山证</w:t>
      </w:r>
      <w:r w:rsidR="009215BE" w:rsidRPr="00405493">
        <w:rPr>
          <w:rFonts w:eastAsiaTheme="minorEastAsia"/>
          <w:color w:val="000000"/>
          <w:sz w:val="24"/>
        </w:rPr>
        <w:t>01</w:t>
      </w:r>
      <w:r w:rsidR="009215BE" w:rsidRPr="00405493">
        <w:rPr>
          <w:rFonts w:eastAsiaTheme="minorEastAsia"/>
          <w:color w:val="000000"/>
          <w:sz w:val="24"/>
        </w:rPr>
        <w:t>（证券代码</w:t>
      </w:r>
      <w:r w:rsidR="009215BE" w:rsidRPr="00405493">
        <w:rPr>
          <w:rFonts w:eastAsiaTheme="minorEastAsia"/>
          <w:color w:val="000000"/>
          <w:sz w:val="24"/>
        </w:rPr>
        <w:t>:112218</w:t>
      </w:r>
      <w:r w:rsidR="009215BE" w:rsidRPr="00405493">
        <w:rPr>
          <w:rFonts w:eastAsiaTheme="minorEastAsia"/>
          <w:color w:val="000000"/>
          <w:sz w:val="24"/>
        </w:rPr>
        <w:t>）外，未出现被监管部门立案调查，或在报告编制日前一年内受到公开谴责、处罚的情形。</w:t>
      </w:r>
    </w:p>
    <w:p w:rsidR="00EE23AD" w:rsidRDefault="00A3555E">
      <w:pPr>
        <w:autoSpaceDE w:val="0"/>
        <w:autoSpaceDN w:val="0"/>
        <w:adjustRightInd w:val="0"/>
        <w:spacing w:before="29" w:line="288" w:lineRule="auto"/>
        <w:rPr>
          <w:rFonts w:eastAsiaTheme="minorEastAsia"/>
          <w:color w:val="000000"/>
          <w:sz w:val="24"/>
        </w:rPr>
      </w:pPr>
      <w:r>
        <w:rPr>
          <w:rFonts w:eastAsiaTheme="minorEastAsia"/>
          <w:color w:val="000000"/>
          <w:sz w:val="24"/>
        </w:rPr>
        <w:t>报告期内本基金投资的前十名证券之一</w:t>
      </w:r>
      <w:r>
        <w:rPr>
          <w:rFonts w:eastAsiaTheme="minorEastAsia"/>
          <w:color w:val="000000"/>
          <w:sz w:val="24"/>
        </w:rPr>
        <w:t>14</w:t>
      </w:r>
      <w:r>
        <w:rPr>
          <w:rFonts w:eastAsiaTheme="minorEastAsia"/>
          <w:color w:val="000000"/>
          <w:sz w:val="24"/>
        </w:rPr>
        <w:t>山证</w:t>
      </w:r>
      <w:r>
        <w:rPr>
          <w:rFonts w:eastAsiaTheme="minorEastAsia"/>
          <w:color w:val="000000"/>
          <w:sz w:val="24"/>
        </w:rPr>
        <w:t>01</w:t>
      </w:r>
      <w:r>
        <w:rPr>
          <w:rFonts w:eastAsiaTheme="minorEastAsia"/>
          <w:color w:val="000000"/>
          <w:sz w:val="24"/>
        </w:rPr>
        <w:t>（证券代码</w:t>
      </w:r>
      <w:r>
        <w:rPr>
          <w:rFonts w:eastAsiaTheme="minorEastAsia"/>
          <w:color w:val="000000"/>
          <w:sz w:val="24"/>
        </w:rPr>
        <w:t>:112218</w:t>
      </w:r>
      <w:r>
        <w:rPr>
          <w:rFonts w:eastAsiaTheme="minorEastAsia"/>
          <w:color w:val="000000"/>
          <w:sz w:val="24"/>
        </w:rPr>
        <w:t>）的发行主体山西证券于</w:t>
      </w:r>
      <w:r>
        <w:rPr>
          <w:rFonts w:eastAsiaTheme="minorEastAsia"/>
          <w:color w:val="000000"/>
          <w:sz w:val="24"/>
        </w:rPr>
        <w:t>2016</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27</w:t>
      </w:r>
      <w:r>
        <w:rPr>
          <w:rFonts w:eastAsiaTheme="minorEastAsia"/>
          <w:color w:val="000000"/>
          <w:sz w:val="24"/>
        </w:rPr>
        <w:t>日公告，公司控股子公司中德证券因在西藏紫光卓远股权投资有限公司财务顾问项目中违反了《中华人民共和国证券法》和《上市公司收购管理办法》的有关规定，于</w:t>
      </w:r>
      <w:r>
        <w:rPr>
          <w:rFonts w:eastAsiaTheme="minorEastAsia"/>
          <w:color w:val="000000"/>
          <w:sz w:val="24"/>
        </w:rPr>
        <w:t>2016</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26</w:t>
      </w:r>
      <w:r>
        <w:rPr>
          <w:rFonts w:eastAsiaTheme="minorEastAsia"/>
          <w:color w:val="000000"/>
          <w:sz w:val="24"/>
        </w:rPr>
        <w:t>日收到中国证监会《行政处罚决定书》（</w:t>
      </w:r>
      <w:r>
        <w:rPr>
          <w:rFonts w:eastAsiaTheme="minorEastAsia"/>
          <w:color w:val="000000"/>
          <w:sz w:val="24"/>
        </w:rPr>
        <w:t>[2016]112</w:t>
      </w:r>
      <w:r>
        <w:rPr>
          <w:rFonts w:eastAsiaTheme="minorEastAsia"/>
          <w:color w:val="000000"/>
          <w:sz w:val="24"/>
        </w:rPr>
        <w:t>号）。据此，中国证监会决定责令中德证券改正，没收业务收入</w:t>
      </w:r>
      <w:r>
        <w:rPr>
          <w:rFonts w:eastAsiaTheme="minorEastAsia"/>
          <w:color w:val="000000"/>
          <w:sz w:val="24"/>
        </w:rPr>
        <w:t>300</w:t>
      </w:r>
      <w:r>
        <w:rPr>
          <w:rFonts w:eastAsiaTheme="minorEastAsia"/>
          <w:color w:val="000000"/>
          <w:sz w:val="24"/>
        </w:rPr>
        <w:t>万元，并处以</w:t>
      </w:r>
      <w:r>
        <w:rPr>
          <w:rFonts w:eastAsiaTheme="minorEastAsia"/>
          <w:color w:val="000000"/>
          <w:sz w:val="24"/>
        </w:rPr>
        <w:t>300</w:t>
      </w:r>
      <w:r>
        <w:rPr>
          <w:rFonts w:eastAsiaTheme="minorEastAsia"/>
          <w:color w:val="000000"/>
          <w:sz w:val="24"/>
        </w:rPr>
        <w:t>万元罚款。收到处罚决定书后，中德证券已将全部罚没款共计</w:t>
      </w:r>
      <w:r>
        <w:rPr>
          <w:rFonts w:eastAsiaTheme="minorEastAsia"/>
          <w:color w:val="000000"/>
          <w:sz w:val="24"/>
        </w:rPr>
        <w:t>600</w:t>
      </w:r>
      <w:r>
        <w:rPr>
          <w:rFonts w:eastAsiaTheme="minorEastAsia"/>
          <w:color w:val="000000"/>
          <w:sz w:val="24"/>
        </w:rPr>
        <w:t>万汇交至中国证监会指定账户。</w:t>
      </w:r>
    </w:p>
    <w:p w:rsidR="00EE23AD" w:rsidRDefault="00A3555E">
      <w:pPr>
        <w:autoSpaceDE w:val="0"/>
        <w:autoSpaceDN w:val="0"/>
        <w:adjustRightInd w:val="0"/>
        <w:spacing w:before="29" w:line="288" w:lineRule="auto"/>
        <w:rPr>
          <w:rFonts w:eastAsiaTheme="minorEastAsia"/>
          <w:color w:val="000000"/>
          <w:sz w:val="24"/>
        </w:rPr>
      </w:pPr>
      <w:r>
        <w:rPr>
          <w:rFonts w:eastAsiaTheme="minorEastAsia"/>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10,080.62</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9,782,111.58</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lastRenderedPageBreak/>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9,792,192.20</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9335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1F1DCB" w:rsidRPr="00405493" w:rsidRDefault="001F1DCB"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9335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220542" w:rsidRPr="00405493">
        <w:rPr>
          <w:b/>
          <w:color w:val="000000"/>
          <w:sz w:val="24"/>
        </w:rPr>
        <w:t>备查文件目录</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、关于申请募集注册交银施罗德丰盈收益债券型证券投资基金的法律意见书；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、报告期内交银施罗德丰盈收益债券型证券投资基金在指定报刊上各项公告的原稿。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lastRenderedPageBreak/>
        <w:t>7.2</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220542" w:rsidRPr="00405493">
        <w:rPr>
          <w:b/>
          <w:color w:val="000000"/>
          <w:sz w:val="24"/>
        </w:rPr>
        <w:t>查阅方式</w:t>
      </w:r>
    </w:p>
    <w:p w:rsidR="00EE23AD" w:rsidRDefault="00A3555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BF7" w:rsidRDefault="00B55BF7">
      <w:r>
        <w:separator/>
      </w:r>
    </w:p>
  </w:endnote>
  <w:endnote w:type="continuationSeparator" w:id="0">
    <w:p w:rsidR="00B55BF7" w:rsidRDefault="00B5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CC7660">
      <w:rPr>
        <w:kern w:val="0"/>
        <w:szCs w:val="21"/>
      </w:rPr>
      <w:fldChar w:fldCharType="begin"/>
    </w:r>
    <w:r>
      <w:rPr>
        <w:kern w:val="0"/>
        <w:szCs w:val="21"/>
      </w:rPr>
      <w:instrText xml:space="preserve"> PAGE </w:instrText>
    </w:r>
    <w:r w:rsidR="00CC7660">
      <w:rPr>
        <w:kern w:val="0"/>
        <w:szCs w:val="21"/>
      </w:rPr>
      <w:fldChar w:fldCharType="separate"/>
    </w:r>
    <w:r w:rsidR="007E50D1">
      <w:rPr>
        <w:noProof/>
        <w:kern w:val="0"/>
        <w:szCs w:val="21"/>
      </w:rPr>
      <w:t>9</w:t>
    </w:r>
    <w:r w:rsidR="00CC7660">
      <w:rPr>
        <w:kern w:val="0"/>
        <w:szCs w:val="21"/>
      </w:rPr>
      <w:fldChar w:fldCharType="end"/>
    </w:r>
    <w:r>
      <w:rPr>
        <w:rFonts w:hint="eastAsia"/>
        <w:kern w:val="0"/>
        <w:szCs w:val="21"/>
      </w:rPr>
      <w:t>页共</w:t>
    </w:r>
    <w:r w:rsidR="00CC7660">
      <w:rPr>
        <w:kern w:val="0"/>
        <w:szCs w:val="21"/>
      </w:rPr>
      <w:fldChar w:fldCharType="begin"/>
    </w:r>
    <w:r>
      <w:rPr>
        <w:kern w:val="0"/>
        <w:szCs w:val="21"/>
      </w:rPr>
      <w:instrText xml:space="preserve"> NUMPAGES </w:instrText>
    </w:r>
    <w:r w:rsidR="00CC7660">
      <w:rPr>
        <w:kern w:val="0"/>
        <w:szCs w:val="21"/>
      </w:rPr>
      <w:fldChar w:fldCharType="separate"/>
    </w:r>
    <w:r w:rsidR="007E50D1">
      <w:rPr>
        <w:noProof/>
        <w:kern w:val="0"/>
        <w:szCs w:val="21"/>
      </w:rPr>
      <w:t>13</w:t>
    </w:r>
    <w:r w:rsidR="00CC766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CC7660">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BF7" w:rsidRDefault="00B55BF7">
      <w:r>
        <w:separator/>
      </w:r>
    </w:p>
  </w:footnote>
  <w:footnote w:type="continuationSeparator" w:id="0">
    <w:p w:rsidR="00B55BF7" w:rsidRDefault="00B55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97D58"/>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1DCB"/>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A6373"/>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07EE4"/>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42BD"/>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7F2"/>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B0D"/>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6488"/>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E50D1"/>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352"/>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BEA"/>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5DA2"/>
    <w:rsid w:val="00A079EB"/>
    <w:rsid w:val="00A14AE3"/>
    <w:rsid w:val="00A156D6"/>
    <w:rsid w:val="00A16675"/>
    <w:rsid w:val="00A16E63"/>
    <w:rsid w:val="00A22CD6"/>
    <w:rsid w:val="00A234EC"/>
    <w:rsid w:val="00A2417A"/>
    <w:rsid w:val="00A24611"/>
    <w:rsid w:val="00A25BE6"/>
    <w:rsid w:val="00A26135"/>
    <w:rsid w:val="00A26668"/>
    <w:rsid w:val="00A27804"/>
    <w:rsid w:val="00A3555E"/>
    <w:rsid w:val="00A36822"/>
    <w:rsid w:val="00A36AB5"/>
    <w:rsid w:val="00A411D1"/>
    <w:rsid w:val="00A43389"/>
    <w:rsid w:val="00A43E71"/>
    <w:rsid w:val="00A45006"/>
    <w:rsid w:val="00A45753"/>
    <w:rsid w:val="00A46594"/>
    <w:rsid w:val="00A47B15"/>
    <w:rsid w:val="00A52F84"/>
    <w:rsid w:val="00A5337E"/>
    <w:rsid w:val="00A5539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31AA"/>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5BF"/>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2694"/>
    <w:rsid w:val="00AE4518"/>
    <w:rsid w:val="00AE5D7F"/>
    <w:rsid w:val="00AE79F0"/>
    <w:rsid w:val="00AF2704"/>
    <w:rsid w:val="00AF6EC1"/>
    <w:rsid w:val="00B00331"/>
    <w:rsid w:val="00B00FEF"/>
    <w:rsid w:val="00B013C5"/>
    <w:rsid w:val="00B01441"/>
    <w:rsid w:val="00B01A80"/>
    <w:rsid w:val="00B04665"/>
    <w:rsid w:val="00B04F26"/>
    <w:rsid w:val="00B05273"/>
    <w:rsid w:val="00B05291"/>
    <w:rsid w:val="00B067F7"/>
    <w:rsid w:val="00B06B72"/>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5BF7"/>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C7660"/>
    <w:rsid w:val="00CD0F7E"/>
    <w:rsid w:val="00CD269B"/>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990"/>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3AD"/>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16893"/>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00EB"/>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46BF0490-2B6E-4F7D-AA9F-B4275F29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733967418">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13</Pages>
  <Words>1128</Words>
  <Characters>6433</Characters>
  <Application>Microsoft Office Word</Application>
  <DocSecurity>0</DocSecurity>
  <Lines>53</Lines>
  <Paragraphs>15</Paragraphs>
  <ScaleCrop>false</ScaleCrop>
  <Company>TRT. Ltd. Co.</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409</cp:revision>
  <cp:lastPrinted>2007-07-19T00:46:00Z</cp:lastPrinted>
  <dcterms:created xsi:type="dcterms:W3CDTF">2014-01-20T05:40:00Z</dcterms:created>
  <dcterms:modified xsi:type="dcterms:W3CDTF">2017-07-19T06:47:00Z</dcterms:modified>
</cp:coreProperties>
</file>