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二〇一七年七月二十日</w:t>
      </w:r>
    </w:p>
    <w:p w:rsidR="009238DB" w:rsidRPr="007F52FA" w:rsidRDefault="009238DB" w:rsidP="00BE251D">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19</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1</w:t>
            </w:r>
            <w:r w:rsidRPr="007F52FA">
              <w:rPr>
                <w:color w:val="000000"/>
                <w:kern w:val="0"/>
                <w:sz w:val="24"/>
              </w:rPr>
              <w:t>月</w:t>
            </w:r>
            <w:r w:rsidRPr="007F52FA">
              <w:rPr>
                <w:color w:val="000000"/>
                <w:kern w:val="0"/>
                <w:sz w:val="24"/>
              </w:rPr>
              <w:t>28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28,111,438.83</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w:t>
            </w:r>
            <w:r w:rsidRPr="007F52FA">
              <w:rPr>
                <w:color w:val="000000"/>
                <w:kern w:val="0"/>
                <w:sz w:val="24"/>
              </w:rPr>
              <w:lastRenderedPageBreak/>
              <w:t>关注股票、权证市场的运行状况与相应风险收益特征，有效把握投资机会，适时增强组合收益。</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交银强化回报债券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519733</w:t>
            </w:r>
            <w:r w:rsidRPr="007F52FA">
              <w:rPr>
                <w:color w:val="000000" w:themeColor="text1"/>
                <w:sz w:val="24"/>
              </w:rPr>
              <w:t>（前端）、</w:t>
            </w:r>
            <w:r w:rsidRPr="007F52FA">
              <w:rPr>
                <w:color w:val="000000" w:themeColor="text1"/>
                <w:sz w:val="24"/>
              </w:rPr>
              <w:t>519734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19,161,982.32</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8,949,456.51</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交银强化回报债券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交银强化回报债券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-199,234.79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-68,792.22</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-571,940.76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-317,039.79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-0.0206</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-0.0343</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19,320,055.55</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8,985,316.78</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1.008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1.004</w:t>
            </w:r>
          </w:p>
        </w:tc>
      </w:tr>
    </w:tbl>
    <w:p w:rsidR="006710AF" w:rsidRDefault="000A0B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6710AF" w:rsidRDefault="000A0B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w:t>
      </w:r>
      <w:r>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交银强化回报债券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710AF">
        <w:trPr>
          <w:jc w:val="center"/>
        </w:trPr>
        <w:tc>
          <w:tcPr>
            <w:tcW w:w="1266" w:type="dxa"/>
            <w:vAlign w:val="center"/>
          </w:tcPr>
          <w:p w:rsidR="006710AF" w:rsidRDefault="000A0B36">
            <w:pPr>
              <w:jc w:val="left"/>
            </w:pPr>
            <w:r>
              <w:rPr>
                <w:color w:val="000000"/>
                <w:sz w:val="24"/>
              </w:rPr>
              <w:t>过去三个月</w:t>
            </w:r>
          </w:p>
        </w:tc>
        <w:tc>
          <w:tcPr>
            <w:tcW w:w="1267" w:type="dxa"/>
            <w:vAlign w:val="center"/>
          </w:tcPr>
          <w:p w:rsidR="006710AF" w:rsidRDefault="000A0B36">
            <w:pPr>
              <w:jc w:val="center"/>
            </w:pPr>
            <w:r>
              <w:rPr>
                <w:color w:val="000000"/>
                <w:sz w:val="24"/>
              </w:rPr>
              <w:t>-3.08%</w:t>
            </w:r>
          </w:p>
        </w:tc>
        <w:tc>
          <w:tcPr>
            <w:tcW w:w="1267" w:type="dxa"/>
            <w:vAlign w:val="center"/>
          </w:tcPr>
          <w:p w:rsidR="006710AF" w:rsidRDefault="000A0B36">
            <w:pPr>
              <w:jc w:val="center"/>
            </w:pPr>
            <w:r>
              <w:rPr>
                <w:color w:val="000000"/>
                <w:sz w:val="24"/>
              </w:rPr>
              <w:t>0.32%</w:t>
            </w:r>
          </w:p>
        </w:tc>
        <w:tc>
          <w:tcPr>
            <w:tcW w:w="1267" w:type="dxa"/>
            <w:vAlign w:val="center"/>
          </w:tcPr>
          <w:p w:rsidR="006710AF" w:rsidRDefault="000A0B36">
            <w:pPr>
              <w:jc w:val="center"/>
            </w:pPr>
            <w:r>
              <w:rPr>
                <w:color w:val="000000"/>
                <w:sz w:val="24"/>
              </w:rPr>
              <w:t>-0.88%</w:t>
            </w:r>
          </w:p>
        </w:tc>
        <w:tc>
          <w:tcPr>
            <w:tcW w:w="1267" w:type="dxa"/>
            <w:vAlign w:val="center"/>
          </w:tcPr>
          <w:p w:rsidR="006710AF" w:rsidRDefault="000A0B36">
            <w:pPr>
              <w:jc w:val="center"/>
            </w:pPr>
            <w:r>
              <w:rPr>
                <w:color w:val="000000"/>
                <w:sz w:val="24"/>
              </w:rPr>
              <w:t>0.08%</w:t>
            </w:r>
          </w:p>
        </w:tc>
        <w:tc>
          <w:tcPr>
            <w:tcW w:w="1267" w:type="dxa"/>
            <w:vAlign w:val="center"/>
          </w:tcPr>
          <w:p w:rsidR="006710AF" w:rsidRDefault="000A0B36">
            <w:pPr>
              <w:jc w:val="center"/>
            </w:pPr>
            <w:r>
              <w:rPr>
                <w:color w:val="000000"/>
                <w:sz w:val="24"/>
              </w:rPr>
              <w:t>-2.20%</w:t>
            </w:r>
          </w:p>
        </w:tc>
        <w:tc>
          <w:tcPr>
            <w:tcW w:w="1267" w:type="dxa"/>
            <w:vAlign w:val="center"/>
          </w:tcPr>
          <w:p w:rsidR="006710AF" w:rsidRDefault="000A0B36">
            <w:pPr>
              <w:jc w:val="center"/>
            </w:pPr>
            <w:r>
              <w:rPr>
                <w:color w:val="000000"/>
                <w:sz w:val="24"/>
              </w:rPr>
              <w:t>0.24%</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交银强化回报债券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6710AF">
        <w:trPr>
          <w:jc w:val="center"/>
        </w:trPr>
        <w:tc>
          <w:tcPr>
            <w:tcW w:w="1266" w:type="dxa"/>
            <w:vAlign w:val="center"/>
          </w:tcPr>
          <w:p w:rsidR="006710AF" w:rsidRDefault="000A0B36">
            <w:pPr>
              <w:jc w:val="left"/>
            </w:pPr>
            <w:r>
              <w:rPr>
                <w:color w:val="000000"/>
                <w:sz w:val="24"/>
              </w:rPr>
              <w:t>过去三个月</w:t>
            </w:r>
          </w:p>
        </w:tc>
        <w:tc>
          <w:tcPr>
            <w:tcW w:w="1267" w:type="dxa"/>
            <w:vAlign w:val="center"/>
          </w:tcPr>
          <w:p w:rsidR="006710AF" w:rsidRDefault="000A0B36">
            <w:pPr>
              <w:jc w:val="center"/>
            </w:pPr>
            <w:r>
              <w:rPr>
                <w:color w:val="000000"/>
                <w:sz w:val="24"/>
              </w:rPr>
              <w:t>-3.18%</w:t>
            </w:r>
          </w:p>
        </w:tc>
        <w:tc>
          <w:tcPr>
            <w:tcW w:w="1267" w:type="dxa"/>
            <w:vAlign w:val="center"/>
          </w:tcPr>
          <w:p w:rsidR="006710AF" w:rsidRDefault="000A0B36">
            <w:pPr>
              <w:jc w:val="center"/>
            </w:pPr>
            <w:r>
              <w:rPr>
                <w:color w:val="000000"/>
                <w:sz w:val="24"/>
              </w:rPr>
              <w:t>0.31%</w:t>
            </w:r>
          </w:p>
        </w:tc>
        <w:tc>
          <w:tcPr>
            <w:tcW w:w="1267" w:type="dxa"/>
            <w:vAlign w:val="center"/>
          </w:tcPr>
          <w:p w:rsidR="006710AF" w:rsidRDefault="000A0B36">
            <w:pPr>
              <w:jc w:val="center"/>
            </w:pPr>
            <w:r>
              <w:rPr>
                <w:color w:val="000000"/>
                <w:sz w:val="24"/>
              </w:rPr>
              <w:t>-0.88%</w:t>
            </w:r>
          </w:p>
        </w:tc>
        <w:tc>
          <w:tcPr>
            <w:tcW w:w="1267" w:type="dxa"/>
            <w:vAlign w:val="center"/>
          </w:tcPr>
          <w:p w:rsidR="006710AF" w:rsidRDefault="000A0B36">
            <w:pPr>
              <w:jc w:val="center"/>
            </w:pPr>
            <w:r>
              <w:rPr>
                <w:color w:val="000000"/>
                <w:sz w:val="24"/>
              </w:rPr>
              <w:t>0.08%</w:t>
            </w:r>
          </w:p>
        </w:tc>
        <w:tc>
          <w:tcPr>
            <w:tcW w:w="1267" w:type="dxa"/>
            <w:vAlign w:val="center"/>
          </w:tcPr>
          <w:p w:rsidR="006710AF" w:rsidRDefault="000A0B36">
            <w:pPr>
              <w:jc w:val="center"/>
            </w:pPr>
            <w:r>
              <w:rPr>
                <w:color w:val="000000"/>
                <w:sz w:val="24"/>
              </w:rPr>
              <w:t>-2.30%</w:t>
            </w:r>
          </w:p>
        </w:tc>
        <w:tc>
          <w:tcPr>
            <w:tcW w:w="1267" w:type="dxa"/>
            <w:vAlign w:val="center"/>
          </w:tcPr>
          <w:p w:rsidR="006710AF" w:rsidRDefault="000A0B36">
            <w:pPr>
              <w:jc w:val="center"/>
            </w:pPr>
            <w:r>
              <w:rPr>
                <w:color w:val="000000"/>
                <w:sz w:val="24"/>
              </w:rPr>
              <w:t>0.23%</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交银施罗德强化回报债券型证券投资基金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1</w:t>
      </w:r>
      <w:r w:rsidR="00D04410" w:rsidRPr="007F52FA">
        <w:rPr>
          <w:rFonts w:ascii="Times New Roman" w:hAnsi="Times New Roman"/>
          <w:sz w:val="24"/>
          <w:szCs w:val="24"/>
        </w:rPr>
        <w:t>月</w:t>
      </w:r>
      <w:r w:rsidR="00D04410" w:rsidRPr="007F52FA">
        <w:rPr>
          <w:rFonts w:ascii="Times New Roman" w:hAnsi="Times New Roman"/>
          <w:sz w:val="24"/>
          <w:szCs w:val="24"/>
        </w:rPr>
        <w:t>28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交银强化回报债券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6710AF">
        <w:trPr>
          <w:jc w:val="center"/>
        </w:trPr>
        <w:tc>
          <w:tcPr>
            <w:tcW w:w="946" w:type="dxa"/>
            <w:vAlign w:val="center"/>
          </w:tcPr>
          <w:p w:rsidR="006710AF" w:rsidRDefault="000A0B36">
            <w:pPr>
              <w:jc w:val="center"/>
            </w:pPr>
            <w:r>
              <w:rPr>
                <w:color w:val="000000"/>
                <w:sz w:val="24"/>
              </w:rPr>
              <w:t>孙超</w:t>
            </w:r>
          </w:p>
        </w:tc>
        <w:tc>
          <w:tcPr>
            <w:tcW w:w="924" w:type="dxa"/>
            <w:vAlign w:val="center"/>
          </w:tcPr>
          <w:p w:rsidR="006710AF" w:rsidRDefault="000A0B36">
            <w:pPr>
              <w:jc w:val="center"/>
            </w:pPr>
            <w:r>
              <w:rPr>
                <w:color w:val="000000"/>
                <w:sz w:val="24"/>
              </w:rPr>
              <w:t>交银增利债券、交银纯债债券发起、交银荣祥保本混合、交银定期支付月月丰债券、交银增强收益债券、交银强化回报债券、交银丰硕收益债券、交银荣鑫保本混合、交银增利增强债券的基金经理，公司固定收益部助理总经理</w:t>
            </w:r>
          </w:p>
        </w:tc>
        <w:tc>
          <w:tcPr>
            <w:tcW w:w="1202" w:type="dxa"/>
            <w:vAlign w:val="center"/>
          </w:tcPr>
          <w:p w:rsidR="006710AF" w:rsidRDefault="000A0B36">
            <w:pPr>
              <w:jc w:val="center"/>
            </w:pPr>
            <w:r>
              <w:rPr>
                <w:color w:val="000000"/>
                <w:sz w:val="24"/>
              </w:rPr>
              <w:t>2014-08-26</w:t>
            </w:r>
          </w:p>
        </w:tc>
        <w:tc>
          <w:tcPr>
            <w:tcW w:w="1300" w:type="dxa"/>
            <w:vAlign w:val="center"/>
          </w:tcPr>
          <w:p w:rsidR="006710AF" w:rsidRDefault="000A0B36">
            <w:pPr>
              <w:jc w:val="center"/>
            </w:pPr>
            <w:r>
              <w:rPr>
                <w:color w:val="000000"/>
                <w:sz w:val="24"/>
              </w:rPr>
              <w:t>2017-06-22</w:t>
            </w:r>
          </w:p>
        </w:tc>
        <w:tc>
          <w:tcPr>
            <w:tcW w:w="1245" w:type="dxa"/>
            <w:vAlign w:val="center"/>
          </w:tcPr>
          <w:p w:rsidR="006710AF" w:rsidRDefault="000A0B36">
            <w:pPr>
              <w:jc w:val="center"/>
            </w:pPr>
            <w:r>
              <w:rPr>
                <w:color w:val="000000"/>
                <w:sz w:val="24"/>
              </w:rPr>
              <w:t>6</w:t>
            </w:r>
            <w:r>
              <w:rPr>
                <w:color w:val="000000"/>
                <w:sz w:val="24"/>
              </w:rPr>
              <w:t>年</w:t>
            </w:r>
          </w:p>
        </w:tc>
        <w:tc>
          <w:tcPr>
            <w:tcW w:w="3251" w:type="dxa"/>
            <w:vAlign w:val="center"/>
          </w:tcPr>
          <w:p w:rsidR="006710AF" w:rsidRDefault="000A0B36" w:rsidP="00243E21">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日担任交银施罗德定期支付月月丰债券型证券投资基金的基金经理，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日担任交银施罗德强化回报债券型证券投资基金的基金经理，</w:t>
            </w:r>
            <w:r>
              <w:rPr>
                <w:color w:val="000000"/>
                <w:sz w:val="24"/>
              </w:rPr>
              <w:t>2014</w:t>
            </w:r>
            <w:r>
              <w:rPr>
                <w:color w:val="000000"/>
                <w:sz w:val="24"/>
              </w:rPr>
              <w:t>年</w:t>
            </w:r>
            <w:r>
              <w:rPr>
                <w:color w:val="000000"/>
                <w:sz w:val="24"/>
              </w:rPr>
              <w:t>12</w:t>
            </w:r>
            <w:r>
              <w:rPr>
                <w:color w:val="000000"/>
                <w:sz w:val="24"/>
              </w:rPr>
              <w:t>月</w:t>
            </w:r>
            <w:r>
              <w:rPr>
                <w:color w:val="000000"/>
                <w:sz w:val="24"/>
              </w:rPr>
              <w:t>15</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日担任交银施罗德丰润收益债券型证券投资基金基金经理，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19</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日担任交银施罗德丰享收益债券型证券投资基金基金经理，</w:t>
            </w:r>
            <w:r>
              <w:rPr>
                <w:color w:val="000000"/>
                <w:sz w:val="24"/>
              </w:rPr>
              <w:t>2015</w:t>
            </w:r>
            <w:r>
              <w:rPr>
                <w:color w:val="000000"/>
                <w:sz w:val="24"/>
              </w:rPr>
              <w:t>年</w:t>
            </w:r>
            <w:r>
              <w:rPr>
                <w:color w:val="000000"/>
                <w:sz w:val="24"/>
              </w:rPr>
              <w:t>1</w:t>
            </w:r>
            <w:r>
              <w:rPr>
                <w:color w:val="000000"/>
                <w:sz w:val="24"/>
              </w:rPr>
              <w:t>月</w:t>
            </w:r>
            <w:r>
              <w:rPr>
                <w:color w:val="000000"/>
                <w:sz w:val="24"/>
              </w:rPr>
              <w:t>30</w:t>
            </w:r>
            <w:r>
              <w:rPr>
                <w:color w:val="000000"/>
                <w:sz w:val="24"/>
              </w:rPr>
              <w:t>日至</w:t>
            </w:r>
            <w:r>
              <w:rPr>
                <w:color w:val="000000"/>
                <w:sz w:val="24"/>
              </w:rPr>
              <w:t>2017</w:t>
            </w:r>
            <w:r>
              <w:rPr>
                <w:color w:val="000000"/>
                <w:sz w:val="24"/>
              </w:rPr>
              <w:t>年</w:t>
            </w:r>
            <w:r>
              <w:rPr>
                <w:color w:val="000000"/>
                <w:sz w:val="24"/>
              </w:rPr>
              <w:t>2</w:t>
            </w:r>
            <w:r>
              <w:rPr>
                <w:color w:val="000000"/>
                <w:sz w:val="24"/>
              </w:rPr>
              <w:t>月</w:t>
            </w:r>
            <w:r>
              <w:rPr>
                <w:color w:val="000000"/>
                <w:sz w:val="24"/>
              </w:rPr>
              <w:t>17</w:t>
            </w:r>
            <w:r>
              <w:rPr>
                <w:color w:val="000000"/>
                <w:sz w:val="24"/>
              </w:rPr>
              <w:t>日担任交银施罗德丰泽收益债券型证券投资基金基金经理，</w:t>
            </w:r>
            <w:r>
              <w:rPr>
                <w:color w:val="000000"/>
                <w:sz w:val="24"/>
              </w:rPr>
              <w:t>2015</w:t>
            </w:r>
            <w:r>
              <w:rPr>
                <w:color w:val="000000"/>
                <w:sz w:val="24"/>
              </w:rPr>
              <w:t>年</w:t>
            </w:r>
            <w:r>
              <w:rPr>
                <w:color w:val="000000"/>
                <w:sz w:val="24"/>
              </w:rPr>
              <w:t>5</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日担任交银施罗德纯债债券型发起式证券投资基金的基金经理，</w:t>
            </w:r>
            <w:r>
              <w:rPr>
                <w:color w:val="000000"/>
                <w:sz w:val="24"/>
              </w:rPr>
              <w:t>2015</w:t>
            </w:r>
            <w:r>
              <w:rPr>
                <w:color w:val="000000"/>
                <w:sz w:val="24"/>
              </w:rPr>
              <w:t>年</w:t>
            </w:r>
            <w:r>
              <w:rPr>
                <w:color w:val="000000"/>
                <w:sz w:val="24"/>
              </w:rPr>
              <w:t>7</w:t>
            </w:r>
            <w:r>
              <w:rPr>
                <w:color w:val="000000"/>
                <w:sz w:val="24"/>
              </w:rPr>
              <w:t>月</w:t>
            </w:r>
            <w:r>
              <w:rPr>
                <w:color w:val="000000"/>
                <w:sz w:val="24"/>
              </w:rPr>
              <w:t>18</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日担任交银施罗德增利债券证券投资基金的基金经理，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日担任交银施罗德荣祥保本混合型证券投资基金的基金经理，</w:t>
            </w:r>
            <w:r w:rsidR="00243E21" w:rsidDel="00243E21">
              <w:rPr>
                <w:color w:val="000000"/>
                <w:sz w:val="24"/>
              </w:rPr>
              <w:t xml:space="preserve"> </w:t>
            </w:r>
            <w:r>
              <w:rPr>
                <w:color w:val="000000"/>
                <w:sz w:val="24"/>
              </w:rPr>
              <w:t>2015</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日担任交银施罗德丰硕收益债券型证券投资基金的基金经理，</w:t>
            </w:r>
            <w:r>
              <w:rPr>
                <w:color w:val="000000"/>
                <w:sz w:val="24"/>
              </w:rPr>
              <w:t>2016</w:t>
            </w:r>
            <w:r>
              <w:rPr>
                <w:color w:val="000000"/>
                <w:sz w:val="24"/>
              </w:rPr>
              <w:t>年</w:t>
            </w:r>
            <w:r>
              <w:rPr>
                <w:color w:val="000000"/>
                <w:sz w:val="24"/>
              </w:rPr>
              <w:t>3</w:t>
            </w:r>
            <w:r>
              <w:rPr>
                <w:color w:val="000000"/>
                <w:sz w:val="24"/>
              </w:rPr>
              <w:t>月</w:t>
            </w:r>
            <w:r>
              <w:rPr>
                <w:color w:val="000000"/>
                <w:sz w:val="24"/>
              </w:rPr>
              <w:t>25</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日担任交银施罗德荣鑫保本混合型证券投资基金的基金经理，</w:t>
            </w:r>
            <w:r w:rsidR="00243E21" w:rsidRPr="00243E21">
              <w:rPr>
                <w:rFonts w:hint="eastAsia"/>
                <w:color w:val="000000"/>
                <w:sz w:val="24"/>
              </w:rPr>
              <w:t>2016</w:t>
            </w:r>
            <w:r w:rsidR="00243E21" w:rsidRPr="00243E21">
              <w:rPr>
                <w:rFonts w:hint="eastAsia"/>
                <w:color w:val="000000"/>
                <w:sz w:val="24"/>
              </w:rPr>
              <w:t>年</w:t>
            </w:r>
            <w:r w:rsidR="00243E21" w:rsidRPr="00243E21">
              <w:rPr>
                <w:rFonts w:hint="eastAsia"/>
                <w:color w:val="000000"/>
                <w:sz w:val="24"/>
              </w:rPr>
              <w:t>12</w:t>
            </w:r>
            <w:r w:rsidR="00243E21" w:rsidRPr="00243E21">
              <w:rPr>
                <w:rFonts w:hint="eastAsia"/>
                <w:color w:val="000000"/>
                <w:sz w:val="24"/>
              </w:rPr>
              <w:t>月</w:t>
            </w:r>
            <w:r w:rsidR="00243E21" w:rsidRPr="00243E21">
              <w:rPr>
                <w:rFonts w:hint="eastAsia"/>
                <w:color w:val="000000"/>
                <w:sz w:val="24"/>
              </w:rPr>
              <w:t>30</w:t>
            </w:r>
            <w:r w:rsidR="00243E21" w:rsidRPr="00243E21">
              <w:rPr>
                <w:rFonts w:hint="eastAsia"/>
                <w:color w:val="000000"/>
                <w:sz w:val="24"/>
              </w:rPr>
              <w:t>日至</w:t>
            </w:r>
            <w:r w:rsidR="00243E21" w:rsidRPr="00243E21">
              <w:rPr>
                <w:rFonts w:hint="eastAsia"/>
                <w:color w:val="000000"/>
                <w:sz w:val="24"/>
              </w:rPr>
              <w:t>2017</w:t>
            </w:r>
            <w:r w:rsidR="00243E21" w:rsidRPr="00243E21">
              <w:rPr>
                <w:rFonts w:hint="eastAsia"/>
                <w:color w:val="000000"/>
                <w:sz w:val="24"/>
              </w:rPr>
              <w:t>年</w:t>
            </w:r>
            <w:r w:rsidR="00243E21" w:rsidRPr="00243E21">
              <w:rPr>
                <w:rFonts w:hint="eastAsia"/>
                <w:color w:val="000000"/>
                <w:sz w:val="24"/>
              </w:rPr>
              <w:t>6</w:t>
            </w:r>
            <w:r w:rsidR="00243E21" w:rsidRPr="00243E21">
              <w:rPr>
                <w:rFonts w:hint="eastAsia"/>
                <w:color w:val="000000"/>
                <w:sz w:val="24"/>
              </w:rPr>
              <w:t>月</w:t>
            </w:r>
            <w:r w:rsidR="00243E21" w:rsidRPr="00243E21">
              <w:rPr>
                <w:rFonts w:hint="eastAsia"/>
                <w:color w:val="000000"/>
                <w:sz w:val="24"/>
              </w:rPr>
              <w:t>21</w:t>
            </w:r>
            <w:r w:rsidR="00243E21" w:rsidRPr="00243E21">
              <w:rPr>
                <w:rFonts w:hint="eastAsia"/>
                <w:color w:val="000000"/>
                <w:sz w:val="24"/>
              </w:rPr>
              <w:t>日担任交银施罗德增强收益债券型证券投资基金的基金经理，</w:t>
            </w:r>
            <w:r w:rsidR="00243E21">
              <w:rPr>
                <w:color w:val="000000"/>
                <w:sz w:val="24"/>
              </w:rPr>
              <w:t>2017</w:t>
            </w:r>
            <w:r>
              <w:rPr>
                <w:color w:val="000000"/>
                <w:sz w:val="24"/>
              </w:rPr>
              <w:t>年</w:t>
            </w:r>
            <w:r>
              <w:rPr>
                <w:color w:val="000000"/>
                <w:sz w:val="24"/>
              </w:rPr>
              <w:t>6</w:t>
            </w:r>
            <w:r>
              <w:rPr>
                <w:color w:val="000000"/>
                <w:sz w:val="24"/>
              </w:rPr>
              <w:t>月</w:t>
            </w:r>
            <w:r>
              <w:rPr>
                <w:color w:val="000000"/>
                <w:sz w:val="24"/>
              </w:rPr>
              <w:t>2</w:t>
            </w:r>
            <w:r>
              <w:rPr>
                <w:color w:val="000000"/>
                <w:sz w:val="24"/>
              </w:rPr>
              <w:t>日至</w:t>
            </w:r>
            <w:r>
              <w:rPr>
                <w:color w:val="000000"/>
                <w:sz w:val="24"/>
              </w:rPr>
              <w:t>2017</w:t>
            </w:r>
            <w:r>
              <w:rPr>
                <w:color w:val="000000"/>
                <w:sz w:val="24"/>
              </w:rPr>
              <w:t>年</w:t>
            </w:r>
            <w:r>
              <w:rPr>
                <w:color w:val="000000"/>
                <w:sz w:val="24"/>
              </w:rPr>
              <w:t>6</w:t>
            </w:r>
            <w:r>
              <w:rPr>
                <w:color w:val="000000"/>
                <w:sz w:val="24"/>
              </w:rPr>
              <w:t>月</w:t>
            </w:r>
            <w:r>
              <w:rPr>
                <w:color w:val="000000"/>
                <w:sz w:val="24"/>
              </w:rPr>
              <w:t>21</w:t>
            </w:r>
            <w:r>
              <w:rPr>
                <w:color w:val="000000"/>
                <w:sz w:val="24"/>
              </w:rPr>
              <w:t>日担任交银施罗德增利增强债券型证券投资基金基金经理。</w:t>
            </w:r>
          </w:p>
        </w:tc>
      </w:tr>
      <w:tr w:rsidR="006710AF">
        <w:trPr>
          <w:jc w:val="center"/>
        </w:trPr>
        <w:tc>
          <w:tcPr>
            <w:tcW w:w="946" w:type="dxa"/>
            <w:vAlign w:val="center"/>
          </w:tcPr>
          <w:p w:rsidR="006710AF" w:rsidRDefault="000A0B36">
            <w:pPr>
              <w:jc w:val="center"/>
            </w:pPr>
            <w:r>
              <w:rPr>
                <w:color w:val="000000"/>
                <w:sz w:val="24"/>
              </w:rPr>
              <w:t>于海颖</w:t>
            </w:r>
          </w:p>
        </w:tc>
        <w:tc>
          <w:tcPr>
            <w:tcW w:w="924" w:type="dxa"/>
            <w:vAlign w:val="center"/>
          </w:tcPr>
          <w:p w:rsidR="006710AF" w:rsidRDefault="000A0B36">
            <w:pPr>
              <w:jc w:val="center"/>
            </w:pPr>
            <w:r>
              <w:rPr>
                <w:color w:val="000000"/>
                <w:sz w:val="24"/>
              </w:rPr>
              <w:t>交银增利债券、交银纯债债券发起、交银荣祥保本混合、交银定期支付月月丰债券、交银增强收益债券、交银强化回报债券、交银丰盈收益债券、交银丰硕收益债券、交银荣鑫保本混合、交银增利增强债券的基金经理，公司固定收益（公募）投资总监</w:t>
            </w:r>
          </w:p>
        </w:tc>
        <w:tc>
          <w:tcPr>
            <w:tcW w:w="1202" w:type="dxa"/>
            <w:vAlign w:val="center"/>
          </w:tcPr>
          <w:p w:rsidR="006710AF" w:rsidRDefault="000A0B36">
            <w:pPr>
              <w:jc w:val="center"/>
            </w:pPr>
            <w:r>
              <w:rPr>
                <w:color w:val="000000"/>
                <w:sz w:val="24"/>
              </w:rPr>
              <w:t>2017-06-10</w:t>
            </w:r>
          </w:p>
        </w:tc>
        <w:tc>
          <w:tcPr>
            <w:tcW w:w="1300" w:type="dxa"/>
            <w:vAlign w:val="center"/>
          </w:tcPr>
          <w:p w:rsidR="006710AF" w:rsidRDefault="000A0B36">
            <w:pPr>
              <w:jc w:val="center"/>
            </w:pPr>
            <w:r>
              <w:rPr>
                <w:color w:val="000000"/>
                <w:sz w:val="24"/>
              </w:rPr>
              <w:t>-</w:t>
            </w:r>
          </w:p>
        </w:tc>
        <w:tc>
          <w:tcPr>
            <w:tcW w:w="1245" w:type="dxa"/>
            <w:vAlign w:val="center"/>
          </w:tcPr>
          <w:p w:rsidR="006710AF" w:rsidRDefault="000A0B36">
            <w:pPr>
              <w:jc w:val="center"/>
            </w:pPr>
            <w:r>
              <w:rPr>
                <w:color w:val="000000"/>
                <w:sz w:val="24"/>
              </w:rPr>
              <w:t>11</w:t>
            </w:r>
            <w:r>
              <w:rPr>
                <w:color w:val="000000"/>
                <w:sz w:val="24"/>
              </w:rPr>
              <w:t>年</w:t>
            </w:r>
          </w:p>
        </w:tc>
        <w:tc>
          <w:tcPr>
            <w:tcW w:w="3251" w:type="dxa"/>
            <w:vAlign w:val="center"/>
          </w:tcPr>
          <w:p w:rsidR="006710AF" w:rsidRDefault="000A0B36">
            <w:r>
              <w:rPr>
                <w:color w:val="000000"/>
                <w:sz w:val="24"/>
              </w:rPr>
              <w:t>于海颖女士，天津大学数量经济学硕士、经济学学士。历任北方国际信托投资股份有限公司固定收益研究员，光大保德信基金管理有限公司交易员、基金经理助理、基金经理，银华基金管理有限公司基金经理，五矿证券有限公司固定收益事业部投资管理部总经理。其中</w:t>
            </w:r>
            <w:r>
              <w:rPr>
                <w:color w:val="000000"/>
                <w:sz w:val="24"/>
              </w:rPr>
              <w:t>2007</w:t>
            </w:r>
            <w:r>
              <w:rPr>
                <w:color w:val="000000"/>
                <w:sz w:val="24"/>
              </w:rPr>
              <w:t>年</w:t>
            </w:r>
            <w:r>
              <w:rPr>
                <w:color w:val="000000"/>
                <w:sz w:val="24"/>
              </w:rPr>
              <w:t>11</w:t>
            </w:r>
            <w:r>
              <w:rPr>
                <w:color w:val="000000"/>
                <w:sz w:val="24"/>
              </w:rPr>
              <w:t>月</w:t>
            </w:r>
            <w:r>
              <w:rPr>
                <w:color w:val="000000"/>
                <w:sz w:val="24"/>
              </w:rPr>
              <w:t>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日任光大保德信货币市场基金基金经理，</w:t>
            </w:r>
            <w:r>
              <w:rPr>
                <w:color w:val="000000"/>
                <w:sz w:val="24"/>
              </w:rPr>
              <w:t>2008</w:t>
            </w:r>
            <w:r>
              <w:rPr>
                <w:color w:val="000000"/>
                <w:sz w:val="24"/>
              </w:rPr>
              <w:t>年</w:t>
            </w:r>
            <w:r>
              <w:rPr>
                <w:color w:val="000000"/>
                <w:sz w:val="24"/>
              </w:rPr>
              <w:t>10</w:t>
            </w:r>
            <w:r>
              <w:rPr>
                <w:color w:val="000000"/>
                <w:sz w:val="24"/>
              </w:rPr>
              <w:t>月</w:t>
            </w:r>
            <w:r>
              <w:rPr>
                <w:color w:val="000000"/>
                <w:sz w:val="24"/>
              </w:rPr>
              <w:t>29</w:t>
            </w:r>
            <w:r>
              <w:rPr>
                <w:color w:val="000000"/>
                <w:sz w:val="24"/>
              </w:rPr>
              <w:t>日至</w:t>
            </w:r>
            <w:r>
              <w:rPr>
                <w:color w:val="000000"/>
                <w:sz w:val="24"/>
              </w:rPr>
              <w:t>2010</w:t>
            </w:r>
            <w:r>
              <w:rPr>
                <w:color w:val="000000"/>
                <w:sz w:val="24"/>
              </w:rPr>
              <w:t>年</w:t>
            </w:r>
            <w:r>
              <w:rPr>
                <w:color w:val="000000"/>
                <w:sz w:val="24"/>
              </w:rPr>
              <w:t>8</w:t>
            </w:r>
            <w:r>
              <w:rPr>
                <w:color w:val="000000"/>
                <w:sz w:val="24"/>
              </w:rPr>
              <w:t>月</w:t>
            </w:r>
            <w:r>
              <w:rPr>
                <w:color w:val="000000"/>
                <w:sz w:val="24"/>
              </w:rPr>
              <w:t>30</w:t>
            </w:r>
            <w:r>
              <w:rPr>
                <w:color w:val="000000"/>
                <w:sz w:val="24"/>
              </w:rPr>
              <w:t>日任光大保德信增利收益债券型证券投资基金基金经理，</w:t>
            </w:r>
            <w:r>
              <w:rPr>
                <w:color w:val="000000"/>
                <w:sz w:val="24"/>
              </w:rPr>
              <w:t>2011</w:t>
            </w:r>
            <w:r>
              <w:rPr>
                <w:color w:val="000000"/>
                <w:sz w:val="24"/>
              </w:rPr>
              <w:t>年</w:t>
            </w:r>
            <w:r>
              <w:rPr>
                <w:color w:val="000000"/>
                <w:sz w:val="24"/>
              </w:rPr>
              <w:t>6</w:t>
            </w:r>
            <w:r>
              <w:rPr>
                <w:color w:val="000000"/>
                <w:sz w:val="24"/>
              </w:rPr>
              <w:t>月</w:t>
            </w:r>
            <w:r>
              <w:rPr>
                <w:color w:val="000000"/>
                <w:sz w:val="24"/>
              </w:rPr>
              <w:t>28</w:t>
            </w:r>
            <w:r>
              <w:rPr>
                <w:color w:val="000000"/>
                <w:sz w:val="24"/>
              </w:rPr>
              <w:t>日至</w:t>
            </w:r>
            <w:r>
              <w:rPr>
                <w:color w:val="000000"/>
                <w:sz w:val="24"/>
              </w:rPr>
              <w:t>2013</w:t>
            </w:r>
            <w:r>
              <w:rPr>
                <w:color w:val="000000"/>
                <w:sz w:val="24"/>
              </w:rPr>
              <w:t>年</w:t>
            </w:r>
            <w:r>
              <w:rPr>
                <w:color w:val="000000"/>
                <w:sz w:val="24"/>
              </w:rPr>
              <w:t>6</w:t>
            </w:r>
            <w:r>
              <w:rPr>
                <w:color w:val="000000"/>
                <w:sz w:val="24"/>
              </w:rPr>
              <w:t>月</w:t>
            </w:r>
            <w:r>
              <w:rPr>
                <w:color w:val="000000"/>
                <w:sz w:val="24"/>
              </w:rPr>
              <w:t>16</w:t>
            </w:r>
            <w:r>
              <w:rPr>
                <w:color w:val="000000"/>
                <w:sz w:val="24"/>
              </w:rPr>
              <w:t>日任银华永祥保本混合型证券投资基金基金经理，</w:t>
            </w:r>
            <w:r>
              <w:rPr>
                <w:color w:val="000000"/>
                <w:sz w:val="24"/>
              </w:rPr>
              <w:t>2011</w:t>
            </w:r>
            <w:r>
              <w:rPr>
                <w:color w:val="000000"/>
                <w:sz w:val="24"/>
              </w:rPr>
              <w:t>年</w:t>
            </w:r>
            <w:r>
              <w:rPr>
                <w:color w:val="000000"/>
                <w:sz w:val="24"/>
              </w:rPr>
              <w:t>8</w:t>
            </w:r>
            <w:r>
              <w:rPr>
                <w:color w:val="000000"/>
                <w:sz w:val="24"/>
              </w:rPr>
              <w:t>月</w:t>
            </w:r>
            <w:r>
              <w:rPr>
                <w:color w:val="000000"/>
                <w:sz w:val="24"/>
              </w:rPr>
              <w:t>2</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日任银华货币市场证券投资基金基金经理，</w:t>
            </w:r>
            <w:r>
              <w:rPr>
                <w:color w:val="000000"/>
                <w:sz w:val="24"/>
              </w:rPr>
              <w:t>2012</w:t>
            </w:r>
            <w:r>
              <w:rPr>
                <w:color w:val="000000"/>
                <w:sz w:val="24"/>
              </w:rPr>
              <w:t>年</w:t>
            </w:r>
            <w:r>
              <w:rPr>
                <w:color w:val="000000"/>
                <w:sz w:val="24"/>
              </w:rPr>
              <w:t>8</w:t>
            </w:r>
            <w:r>
              <w:rPr>
                <w:color w:val="000000"/>
                <w:sz w:val="24"/>
              </w:rPr>
              <w:t>月</w:t>
            </w:r>
            <w:r>
              <w:rPr>
                <w:color w:val="000000"/>
                <w:sz w:val="24"/>
              </w:rPr>
              <w:t>9</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日任银华纯债信用主题债券型证券投资基金（</w:t>
            </w:r>
            <w:r>
              <w:rPr>
                <w:color w:val="000000"/>
                <w:sz w:val="24"/>
              </w:rPr>
              <w:t>LOF</w:t>
            </w:r>
            <w:r>
              <w:rPr>
                <w:color w:val="000000"/>
                <w:sz w:val="24"/>
              </w:rPr>
              <w:t>）基金经理，</w:t>
            </w:r>
            <w:r>
              <w:rPr>
                <w:color w:val="000000"/>
                <w:sz w:val="24"/>
              </w:rPr>
              <w:t>2013</w:t>
            </w:r>
            <w:r>
              <w:rPr>
                <w:color w:val="000000"/>
                <w:sz w:val="24"/>
              </w:rPr>
              <w:t>年</w:t>
            </w:r>
            <w:r>
              <w:rPr>
                <w:color w:val="000000"/>
                <w:sz w:val="24"/>
              </w:rPr>
              <w:t>4</w:t>
            </w:r>
            <w:r>
              <w:rPr>
                <w:color w:val="000000"/>
                <w:sz w:val="24"/>
              </w:rPr>
              <w:t>月</w:t>
            </w:r>
            <w:r>
              <w:rPr>
                <w:color w:val="000000"/>
                <w:sz w:val="24"/>
              </w:rPr>
              <w:t>1</w:t>
            </w:r>
            <w:r>
              <w:rPr>
                <w:color w:val="000000"/>
                <w:sz w:val="24"/>
              </w:rPr>
              <w:t>日至</w:t>
            </w:r>
            <w:r>
              <w:rPr>
                <w:color w:val="000000"/>
                <w:sz w:val="24"/>
              </w:rPr>
              <w:t>2014</w:t>
            </w:r>
            <w:r>
              <w:rPr>
                <w:color w:val="000000"/>
                <w:sz w:val="24"/>
              </w:rPr>
              <w:t>年</w:t>
            </w:r>
            <w:r>
              <w:rPr>
                <w:color w:val="000000"/>
                <w:sz w:val="24"/>
              </w:rPr>
              <w:t>4</w:t>
            </w:r>
            <w:r>
              <w:rPr>
                <w:color w:val="000000"/>
                <w:sz w:val="24"/>
              </w:rPr>
              <w:t>月</w:t>
            </w:r>
            <w:r>
              <w:rPr>
                <w:color w:val="000000"/>
                <w:sz w:val="24"/>
              </w:rPr>
              <w:t>24</w:t>
            </w:r>
            <w:r>
              <w:rPr>
                <w:color w:val="000000"/>
                <w:sz w:val="24"/>
              </w:rPr>
              <w:t>日任银华交易型货币市场基金基金经理，</w:t>
            </w:r>
            <w:r>
              <w:rPr>
                <w:color w:val="000000"/>
                <w:sz w:val="24"/>
              </w:rPr>
              <w:t>2013</w:t>
            </w:r>
            <w:r>
              <w:rPr>
                <w:color w:val="000000"/>
                <w:sz w:val="24"/>
              </w:rPr>
              <w:t>年</w:t>
            </w:r>
            <w:r>
              <w:rPr>
                <w:color w:val="000000"/>
                <w:sz w:val="24"/>
              </w:rPr>
              <w:t>8</w:t>
            </w:r>
            <w:r>
              <w:rPr>
                <w:color w:val="000000"/>
                <w:sz w:val="24"/>
              </w:rPr>
              <w:t>月</w:t>
            </w:r>
            <w:r>
              <w:rPr>
                <w:color w:val="000000"/>
                <w:sz w:val="24"/>
              </w:rPr>
              <w:t>7</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日任银华信用四季红债券型证券投资基金基金经理，</w:t>
            </w:r>
            <w:r>
              <w:rPr>
                <w:color w:val="000000"/>
                <w:sz w:val="24"/>
              </w:rPr>
              <w:t>2013</w:t>
            </w:r>
            <w:r>
              <w:rPr>
                <w:color w:val="000000"/>
                <w:sz w:val="24"/>
              </w:rPr>
              <w:t>年</w:t>
            </w:r>
            <w:r>
              <w:rPr>
                <w:color w:val="000000"/>
                <w:sz w:val="24"/>
              </w:rPr>
              <w:t>9</w:t>
            </w:r>
            <w:r>
              <w:rPr>
                <w:color w:val="000000"/>
                <w:sz w:val="24"/>
              </w:rPr>
              <w:t>月</w:t>
            </w:r>
            <w:r>
              <w:rPr>
                <w:color w:val="000000"/>
                <w:sz w:val="24"/>
              </w:rPr>
              <w:t>18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日任银华信用季季红债券型证券投资基金基金经理，</w:t>
            </w:r>
            <w:r>
              <w:rPr>
                <w:color w:val="000000"/>
                <w:sz w:val="24"/>
              </w:rPr>
              <w:t>2014</w:t>
            </w:r>
            <w:r>
              <w:rPr>
                <w:color w:val="000000"/>
                <w:sz w:val="24"/>
              </w:rPr>
              <w:t>年</w:t>
            </w:r>
            <w:r>
              <w:rPr>
                <w:color w:val="000000"/>
                <w:sz w:val="24"/>
              </w:rPr>
              <w:t>5</w:t>
            </w:r>
            <w:r>
              <w:rPr>
                <w:color w:val="000000"/>
                <w:sz w:val="24"/>
              </w:rPr>
              <w:t>月</w:t>
            </w:r>
            <w:r>
              <w:rPr>
                <w:color w:val="000000"/>
                <w:sz w:val="24"/>
              </w:rPr>
              <w:t>8</w:t>
            </w:r>
            <w:r>
              <w:rPr>
                <w:color w:val="000000"/>
                <w:sz w:val="24"/>
              </w:rPr>
              <w:t>日至</w:t>
            </w:r>
            <w:r>
              <w:rPr>
                <w:color w:val="000000"/>
                <w:sz w:val="24"/>
              </w:rPr>
              <w:t>2014</w:t>
            </w:r>
            <w:r>
              <w:rPr>
                <w:color w:val="000000"/>
                <w:sz w:val="24"/>
              </w:rPr>
              <w:t>年</w:t>
            </w:r>
            <w:r>
              <w:rPr>
                <w:color w:val="000000"/>
                <w:sz w:val="24"/>
              </w:rPr>
              <w:t>10</w:t>
            </w:r>
            <w:r>
              <w:rPr>
                <w:color w:val="000000"/>
                <w:sz w:val="24"/>
              </w:rPr>
              <w:t>月</w:t>
            </w:r>
            <w:r>
              <w:rPr>
                <w:color w:val="000000"/>
                <w:sz w:val="24"/>
              </w:rPr>
              <w:t>7</w:t>
            </w:r>
            <w:r>
              <w:rPr>
                <w:color w:val="000000"/>
                <w:sz w:val="24"/>
              </w:rPr>
              <w:t>日任银华信用债券型证券投资基金</w:t>
            </w:r>
            <w:r>
              <w:rPr>
                <w:color w:val="000000"/>
                <w:sz w:val="24"/>
              </w:rPr>
              <w:t>(LOF)</w:t>
            </w:r>
            <w:r>
              <w:rPr>
                <w:color w:val="000000"/>
                <w:sz w:val="24"/>
              </w:rPr>
              <w:t>基金经理。</w:t>
            </w:r>
            <w:r>
              <w:rPr>
                <w:color w:val="000000"/>
                <w:sz w:val="24"/>
              </w:rPr>
              <w:t>2016</w:t>
            </w:r>
            <w:r>
              <w:rPr>
                <w:color w:val="000000"/>
                <w:sz w:val="24"/>
              </w:rPr>
              <w:t>年加入交银施罗德基金管理有限公司。</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6710AF" w:rsidRDefault="000A0B3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6710AF" w:rsidRDefault="000A0B3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710AF" w:rsidRDefault="000A0B3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6710AF" w:rsidRDefault="000A0B36">
      <w:pPr>
        <w:spacing w:before="29" w:line="288" w:lineRule="auto"/>
        <w:ind w:firstLineChars="200" w:firstLine="480"/>
        <w:rPr>
          <w:color w:val="000000"/>
          <w:sz w:val="24"/>
        </w:rPr>
      </w:pPr>
      <w:r>
        <w:rPr>
          <w:color w:val="000000"/>
          <w:sz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rPr>
        <w:t>5%</w:t>
      </w:r>
      <w:r>
        <w:rPr>
          <w:color w:val="000000"/>
          <w:sz w:val="24"/>
        </w:rPr>
        <w:t>的情形，本基金与本公司管理的其他投资组合在不同时间窗下（如日内、</w:t>
      </w:r>
      <w:r>
        <w:rPr>
          <w:color w:val="000000"/>
          <w:sz w:val="24"/>
        </w:rPr>
        <w:t>3</w:t>
      </w:r>
      <w:r>
        <w:rPr>
          <w:color w:val="000000"/>
          <w:sz w:val="24"/>
        </w:rPr>
        <w:t>日内、</w:t>
      </w:r>
      <w:r>
        <w:rPr>
          <w:color w:val="000000"/>
          <w:sz w:val="24"/>
        </w:rPr>
        <w:t>5</w:t>
      </w:r>
      <w:r>
        <w:rPr>
          <w:color w:val="000000"/>
          <w:sz w:val="24"/>
        </w:rPr>
        <w:t>日内）同向交易的交易价差未出现异常。</w:t>
      </w:r>
    </w:p>
    <w:p w:rsidR="006710AF" w:rsidRDefault="006710A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6710AF" w:rsidRDefault="000A0B36">
      <w:pPr>
        <w:spacing w:before="29" w:line="288" w:lineRule="auto"/>
        <w:ind w:firstLineChars="200" w:firstLine="480"/>
        <w:rPr>
          <w:color w:val="000000"/>
          <w:sz w:val="24"/>
        </w:rPr>
      </w:pPr>
      <w:r>
        <w:rPr>
          <w:color w:val="000000"/>
          <w:sz w:val="24"/>
        </w:rPr>
        <w:t>本报告期内，尽管经济在四月出现下行迹象，但经济失速风险尚未出现，金融去杠杆导致的资金面收紧令债市面临持续调整压力。四月伊始，市场情绪明显不佳，</w:t>
      </w:r>
      <w:r>
        <w:rPr>
          <w:color w:val="000000"/>
          <w:sz w:val="24"/>
        </w:rPr>
        <w:t>10</w:t>
      </w:r>
      <w:r>
        <w:rPr>
          <w:color w:val="000000"/>
          <w:sz w:val="24"/>
        </w:rPr>
        <w:t>年国债收益率高点一度接近</w:t>
      </w:r>
      <w:r>
        <w:rPr>
          <w:color w:val="000000"/>
          <w:sz w:val="24"/>
        </w:rPr>
        <w:t>3.70%</w:t>
      </w:r>
      <w:r>
        <w:rPr>
          <w:color w:val="000000"/>
          <w:sz w:val="24"/>
        </w:rPr>
        <w:t>，信用债收益率也明显上行，信用利差走扩。</w:t>
      </w:r>
    </w:p>
    <w:p w:rsidR="006710AF" w:rsidRDefault="000A0B36">
      <w:pPr>
        <w:spacing w:before="29" w:line="288" w:lineRule="auto"/>
        <w:ind w:firstLineChars="200" w:firstLine="480"/>
        <w:rPr>
          <w:color w:val="000000"/>
          <w:sz w:val="24"/>
        </w:rPr>
      </w:pPr>
      <w:r>
        <w:rPr>
          <w:color w:val="000000"/>
          <w:sz w:val="24"/>
        </w:rPr>
        <w:t>在市场明显表达了对金融去杠杆的恐慌情绪后，监管层也开始通过多种方式稳定市场预期，五月中旬起，央行通过加大</w:t>
      </w:r>
      <w:r>
        <w:rPr>
          <w:color w:val="000000"/>
          <w:sz w:val="24"/>
        </w:rPr>
        <w:t>MLF</w:t>
      </w:r>
      <w:r>
        <w:rPr>
          <w:color w:val="000000"/>
          <w:sz w:val="24"/>
        </w:rPr>
        <w:t>的投放力度，开展</w:t>
      </w:r>
      <w:r>
        <w:rPr>
          <w:color w:val="000000"/>
          <w:sz w:val="24"/>
        </w:rPr>
        <w:t>28</w:t>
      </w:r>
      <w:r>
        <w:rPr>
          <w:color w:val="000000"/>
          <w:sz w:val="24"/>
        </w:rPr>
        <w:t>天逆回购等举措，极大地平稳了资金面预期，债券收益率出现下行。</w:t>
      </w:r>
    </w:p>
    <w:p w:rsidR="006710AF" w:rsidRDefault="000A0B36">
      <w:pPr>
        <w:spacing w:before="29" w:line="288" w:lineRule="auto"/>
        <w:ind w:firstLineChars="200" w:firstLine="480"/>
        <w:rPr>
          <w:color w:val="000000"/>
          <w:sz w:val="24"/>
        </w:rPr>
      </w:pPr>
      <w:r>
        <w:rPr>
          <w:color w:val="000000"/>
          <w:sz w:val="24"/>
        </w:rPr>
        <w:t>权益市场方面，抱团龙头股是贯穿上半年的投资主线，股债联动也较为明显。四月因资金面冲击及减持新规的影响，权益市场持续调整。五月中旬因央行态度缓和而反弹，低估值金融地产、新能源汽车及白马股走势较强。</w:t>
      </w:r>
      <w:r>
        <w:rPr>
          <w:color w:val="000000"/>
          <w:sz w:val="24"/>
        </w:rPr>
        <w:t xml:space="preserve"> </w:t>
      </w:r>
    </w:p>
    <w:p w:rsidR="006710AF" w:rsidRDefault="000A0B36">
      <w:pPr>
        <w:spacing w:before="29" w:line="288" w:lineRule="auto"/>
        <w:ind w:firstLineChars="200" w:firstLine="480"/>
        <w:rPr>
          <w:color w:val="000000"/>
          <w:sz w:val="24"/>
        </w:rPr>
      </w:pPr>
      <w:r>
        <w:rPr>
          <w:color w:val="000000"/>
          <w:sz w:val="24"/>
        </w:rPr>
        <w:t>本报告期内，本组合的债券配置主要为流动性较好的个券品种，考虑到组合特点，组合对杠杆操作保持谨慎。在权益和转债配置方面，组合侧重配置低估值，有向上催化的标的，配置方向主要为有色、机械及金融板块。</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我们认为随着库存周期从主动补库存向被动补库存转变，地方政府融资被进一步规范，经济仍有下行的压力，但整体看经济下行的幅度有限。货币政策仍将着力于去杠杆、防风险、中性偏紧的货币政策基调难改。下半年随着经济和通胀走弱，债券市场收益率将随名义增速的回落而下行，但由于货币政策难以放松，而经济下行的幅度有限，债券市场下行的空间将受到制约，机会依然来自对监管政策和资金面预期差博弈，而大的机会则来自于对宏观基本面拐点的把握。短期在宏观环境相对平稳，监管各项政策没有落地前，我们预计维持目前的债券久期配置，并将根据宏观及监管政策的变化择机拉长久期。权益方面，</w:t>
      </w:r>
      <w:r w:rsidRPr="007F52FA">
        <w:rPr>
          <w:color w:val="000000"/>
          <w:sz w:val="24"/>
        </w:rPr>
        <w:t>2017</w:t>
      </w:r>
      <w:r w:rsidRPr="007F52FA">
        <w:rPr>
          <w:color w:val="000000"/>
          <w:sz w:val="24"/>
        </w:rPr>
        <w:t>年下半年我们将重点关注低估值白马龙头及新能源汽车等行业表现。</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002E4D8C">
        <w:rPr>
          <w:color w:val="000000"/>
          <w:sz w:val="24"/>
        </w:rPr>
        <w:t>6</w:t>
      </w:r>
      <w:r w:rsidRPr="007F52FA">
        <w:rPr>
          <w:color w:val="000000"/>
          <w:sz w:val="24"/>
        </w:rPr>
        <w:t>月</w:t>
      </w:r>
      <w:r w:rsidRPr="007F52FA">
        <w:rPr>
          <w:color w:val="000000"/>
          <w:sz w:val="24"/>
        </w:rPr>
        <w:t>3</w:t>
      </w:r>
      <w:r w:rsidR="002E4D8C">
        <w:rPr>
          <w:color w:val="000000"/>
          <w:sz w:val="24"/>
        </w:rPr>
        <w:t>0</w:t>
      </w:r>
      <w:bookmarkStart w:id="0" w:name="_GoBack"/>
      <w:bookmarkEnd w:id="0"/>
      <w:r w:rsidRPr="007F52FA">
        <w:rPr>
          <w:color w:val="000000"/>
          <w:sz w:val="24"/>
        </w:rPr>
        <w:t>日，交银强化回报债券</w:t>
      </w:r>
      <w:r w:rsidRPr="007F52FA">
        <w:rPr>
          <w:color w:val="000000"/>
          <w:sz w:val="24"/>
        </w:rPr>
        <w:t>A/B</w:t>
      </w:r>
      <w:r w:rsidRPr="007F52FA">
        <w:rPr>
          <w:color w:val="000000"/>
          <w:sz w:val="24"/>
        </w:rPr>
        <w:t>份额净值为</w:t>
      </w:r>
      <w:r w:rsidR="00775DC2" w:rsidRPr="00775DC2">
        <w:rPr>
          <w:color w:val="000000"/>
          <w:sz w:val="24"/>
        </w:rPr>
        <w:t>1.008</w:t>
      </w:r>
      <w:r w:rsidRPr="007F52FA">
        <w:rPr>
          <w:color w:val="000000"/>
          <w:sz w:val="24"/>
        </w:rPr>
        <w:t>元，本报告期份额净值增长率为</w:t>
      </w:r>
      <w:r w:rsidR="009166CD">
        <w:rPr>
          <w:color w:val="000000"/>
          <w:sz w:val="24"/>
        </w:rPr>
        <w:t>-3.08%</w:t>
      </w:r>
      <w:r w:rsidRPr="007F52FA">
        <w:rPr>
          <w:color w:val="000000"/>
          <w:sz w:val="24"/>
        </w:rPr>
        <w:t>，同期业绩比较基准增长率为</w:t>
      </w:r>
      <w:r w:rsidR="006878F5" w:rsidRPr="006878F5">
        <w:rPr>
          <w:color w:val="000000"/>
          <w:sz w:val="24"/>
        </w:rPr>
        <w:t>-0.88</w:t>
      </w:r>
      <w:r w:rsidRPr="007F52FA">
        <w:rPr>
          <w:color w:val="000000"/>
          <w:sz w:val="24"/>
        </w:rPr>
        <w:t>%</w:t>
      </w:r>
      <w:r w:rsidRPr="007F52FA">
        <w:rPr>
          <w:color w:val="000000"/>
          <w:sz w:val="24"/>
        </w:rPr>
        <w:t>；交银强化回报债券</w:t>
      </w:r>
      <w:r w:rsidRPr="007F52FA">
        <w:rPr>
          <w:color w:val="000000"/>
          <w:sz w:val="24"/>
        </w:rPr>
        <w:t>C</w:t>
      </w:r>
      <w:r w:rsidRPr="007F52FA">
        <w:rPr>
          <w:color w:val="000000"/>
          <w:sz w:val="24"/>
        </w:rPr>
        <w:t>份额净值为</w:t>
      </w:r>
      <w:r w:rsidRPr="007F52FA">
        <w:rPr>
          <w:color w:val="000000"/>
          <w:sz w:val="24"/>
        </w:rPr>
        <w:t>1.</w:t>
      </w:r>
      <w:r w:rsidR="00775DC2" w:rsidRPr="007F52FA">
        <w:rPr>
          <w:color w:val="000000"/>
          <w:sz w:val="24"/>
        </w:rPr>
        <w:t>0</w:t>
      </w:r>
      <w:r w:rsidR="00775DC2">
        <w:rPr>
          <w:color w:val="000000"/>
          <w:sz w:val="24"/>
        </w:rPr>
        <w:t>04</w:t>
      </w:r>
      <w:r w:rsidRPr="007F52FA">
        <w:rPr>
          <w:color w:val="000000"/>
          <w:sz w:val="24"/>
        </w:rPr>
        <w:t>元，本报告期份额净值增长率为</w:t>
      </w:r>
      <w:r w:rsidRPr="007F52FA">
        <w:rPr>
          <w:color w:val="000000"/>
          <w:sz w:val="24"/>
        </w:rPr>
        <w:t>-</w:t>
      </w:r>
      <w:r w:rsidR="003C0826">
        <w:rPr>
          <w:color w:val="000000"/>
          <w:sz w:val="24"/>
        </w:rPr>
        <w:t>3.18</w:t>
      </w:r>
      <w:r w:rsidRPr="007F52FA">
        <w:rPr>
          <w:color w:val="000000"/>
          <w:sz w:val="24"/>
        </w:rPr>
        <w:t>%</w:t>
      </w:r>
      <w:r w:rsidRPr="007F52FA">
        <w:rPr>
          <w:color w:val="000000"/>
          <w:sz w:val="24"/>
        </w:rPr>
        <w:t>，同期业绩比较基准增长率为</w:t>
      </w:r>
      <w:r w:rsidR="006878F5" w:rsidRPr="006878F5">
        <w:rPr>
          <w:color w:val="000000"/>
          <w:sz w:val="24"/>
        </w:rPr>
        <w:t>-0.88</w:t>
      </w:r>
      <w:r w:rsidRPr="007F52FA">
        <w:rPr>
          <w:color w:val="000000"/>
          <w:sz w:val="24"/>
        </w:rPr>
        <w:t>%</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截至本报告期末，本基金已经连续二十个工作日以上出现基金资产净值低于五千万元的情形。</w:t>
      </w:r>
    </w:p>
    <w:p w:rsidR="00400FA6" w:rsidRPr="007F52FA" w:rsidRDefault="00400FA6" w:rsidP="007C14DF">
      <w:pPr>
        <w:spacing w:before="29" w:line="288" w:lineRule="auto"/>
        <w:ind w:firstLineChars="200" w:firstLine="480"/>
        <w:rPr>
          <w:color w:val="000000"/>
          <w:sz w:val="24"/>
        </w:rPr>
      </w:pPr>
    </w:p>
    <w:p w:rsidR="009238DB" w:rsidRPr="007F52FA" w:rsidRDefault="00FF5FC7" w:rsidP="00BE251D">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2,943,128.77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2,943,128.77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9.99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24,379,126.10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24,379,126.10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82.72</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autoSpaceDE w:val="0"/>
              <w:autoSpaceDN w:val="0"/>
              <w:adjustRightInd w:val="0"/>
              <w:spacing w:before="29" w:line="288" w:lineRule="auto"/>
              <w:ind w:leftChars="8" w:left="17" w:firstLineChars="250" w:firstLine="600"/>
              <w:jc w:val="left"/>
              <w:rPr>
                <w:color w:val="000000"/>
                <w:sz w:val="24"/>
              </w:rPr>
            </w:pPr>
            <w:r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435,513.46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1.48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1,713,081.74</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5.81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29,470,850.07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2,649,368.77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9.36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144,990.00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0.51</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148,770.00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2,943,128.77</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10.40</w:t>
            </w:r>
          </w:p>
        </w:tc>
      </w:tr>
    </w:tbl>
    <w:p w:rsidR="00C832CE" w:rsidRDefault="00C832CE" w:rsidP="001A5D39">
      <w:pPr>
        <w:jc w:val="left"/>
        <w:rPr>
          <w:rFonts w:asciiTheme="minorEastAsia" w:eastAsiaTheme="minorEastAsia" w:hAnsiTheme="minorEastAsia"/>
          <w:b/>
          <w:bCs/>
          <w:color w:val="000000" w:themeColor="text1"/>
          <w:kern w:val="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6710AF">
        <w:trPr>
          <w:jc w:val="center"/>
        </w:trPr>
        <w:tc>
          <w:tcPr>
            <w:tcW w:w="850" w:type="dxa"/>
            <w:vAlign w:val="center"/>
          </w:tcPr>
          <w:p w:rsidR="006710AF" w:rsidRDefault="000A0B36">
            <w:pPr>
              <w:jc w:val="center"/>
            </w:pPr>
            <w:r>
              <w:rPr>
                <w:color w:val="000000"/>
                <w:sz w:val="24"/>
              </w:rPr>
              <w:t>1</w:t>
            </w:r>
          </w:p>
        </w:tc>
        <w:tc>
          <w:tcPr>
            <w:tcW w:w="1327" w:type="dxa"/>
            <w:vAlign w:val="center"/>
          </w:tcPr>
          <w:p w:rsidR="006710AF" w:rsidRDefault="000A0B36">
            <w:pPr>
              <w:jc w:val="center"/>
            </w:pPr>
            <w:r>
              <w:rPr>
                <w:color w:val="000000"/>
                <w:sz w:val="24"/>
              </w:rPr>
              <w:t>000821</w:t>
            </w:r>
          </w:p>
        </w:tc>
        <w:tc>
          <w:tcPr>
            <w:tcW w:w="1769" w:type="dxa"/>
            <w:vAlign w:val="center"/>
          </w:tcPr>
          <w:p w:rsidR="006710AF" w:rsidRDefault="000A0B36">
            <w:pPr>
              <w:jc w:val="center"/>
            </w:pPr>
            <w:r>
              <w:rPr>
                <w:color w:val="000000"/>
                <w:sz w:val="24"/>
              </w:rPr>
              <w:t>京山轻机</w:t>
            </w:r>
          </w:p>
        </w:tc>
        <w:tc>
          <w:tcPr>
            <w:tcW w:w="1327" w:type="dxa"/>
            <w:vAlign w:val="center"/>
          </w:tcPr>
          <w:p w:rsidR="006710AF" w:rsidRDefault="000A0B36">
            <w:pPr>
              <w:jc w:val="right"/>
            </w:pPr>
            <w:r>
              <w:rPr>
                <w:color w:val="000000"/>
                <w:sz w:val="24"/>
              </w:rPr>
              <w:t>199,651</w:t>
            </w:r>
          </w:p>
        </w:tc>
        <w:tc>
          <w:tcPr>
            <w:tcW w:w="1915" w:type="dxa"/>
            <w:vAlign w:val="center"/>
          </w:tcPr>
          <w:p w:rsidR="006710AF" w:rsidRDefault="000A0B36">
            <w:pPr>
              <w:jc w:val="right"/>
            </w:pPr>
            <w:r>
              <w:rPr>
                <w:color w:val="000000"/>
                <w:sz w:val="24"/>
              </w:rPr>
              <w:t>2,649,368.77</w:t>
            </w:r>
          </w:p>
        </w:tc>
        <w:tc>
          <w:tcPr>
            <w:tcW w:w="1680" w:type="dxa"/>
            <w:vAlign w:val="center"/>
          </w:tcPr>
          <w:p w:rsidR="006710AF" w:rsidRDefault="000A0B36">
            <w:pPr>
              <w:jc w:val="right"/>
            </w:pPr>
            <w:r>
              <w:rPr>
                <w:color w:val="000000"/>
                <w:sz w:val="24"/>
              </w:rPr>
              <w:t>9.36</w:t>
            </w:r>
          </w:p>
        </w:tc>
      </w:tr>
      <w:tr w:rsidR="006710AF">
        <w:trPr>
          <w:jc w:val="center"/>
        </w:trPr>
        <w:tc>
          <w:tcPr>
            <w:tcW w:w="850" w:type="dxa"/>
            <w:vAlign w:val="center"/>
          </w:tcPr>
          <w:p w:rsidR="006710AF" w:rsidRDefault="000A0B36">
            <w:pPr>
              <w:jc w:val="center"/>
            </w:pPr>
            <w:r>
              <w:rPr>
                <w:color w:val="000000"/>
                <w:sz w:val="24"/>
              </w:rPr>
              <w:t>2</w:t>
            </w:r>
          </w:p>
        </w:tc>
        <w:tc>
          <w:tcPr>
            <w:tcW w:w="1327" w:type="dxa"/>
            <w:vAlign w:val="center"/>
          </w:tcPr>
          <w:p w:rsidR="006710AF" w:rsidRDefault="000A0B36">
            <w:pPr>
              <w:jc w:val="center"/>
            </w:pPr>
            <w:r>
              <w:rPr>
                <w:color w:val="000000"/>
                <w:sz w:val="24"/>
              </w:rPr>
              <w:t>600054</w:t>
            </w:r>
          </w:p>
        </w:tc>
        <w:tc>
          <w:tcPr>
            <w:tcW w:w="1769" w:type="dxa"/>
            <w:vAlign w:val="center"/>
          </w:tcPr>
          <w:p w:rsidR="006710AF" w:rsidRDefault="000A0B36">
            <w:pPr>
              <w:jc w:val="center"/>
            </w:pPr>
            <w:r>
              <w:rPr>
                <w:color w:val="000000"/>
                <w:sz w:val="24"/>
              </w:rPr>
              <w:t>黄山旅游</w:t>
            </w:r>
          </w:p>
        </w:tc>
        <w:tc>
          <w:tcPr>
            <w:tcW w:w="1327" w:type="dxa"/>
            <w:vAlign w:val="center"/>
          </w:tcPr>
          <w:p w:rsidR="006710AF" w:rsidRDefault="000A0B36">
            <w:pPr>
              <w:jc w:val="right"/>
            </w:pPr>
            <w:r>
              <w:rPr>
                <w:color w:val="000000"/>
                <w:sz w:val="24"/>
              </w:rPr>
              <w:t>8,700</w:t>
            </w:r>
          </w:p>
        </w:tc>
        <w:tc>
          <w:tcPr>
            <w:tcW w:w="1915" w:type="dxa"/>
            <w:vAlign w:val="center"/>
          </w:tcPr>
          <w:p w:rsidR="006710AF" w:rsidRDefault="000A0B36">
            <w:pPr>
              <w:jc w:val="right"/>
            </w:pPr>
            <w:r>
              <w:rPr>
                <w:color w:val="000000"/>
                <w:sz w:val="24"/>
              </w:rPr>
              <w:t>148,770.00</w:t>
            </w:r>
          </w:p>
        </w:tc>
        <w:tc>
          <w:tcPr>
            <w:tcW w:w="1680" w:type="dxa"/>
            <w:vAlign w:val="center"/>
          </w:tcPr>
          <w:p w:rsidR="006710AF" w:rsidRDefault="000A0B36">
            <w:pPr>
              <w:jc w:val="right"/>
            </w:pPr>
            <w:r>
              <w:rPr>
                <w:color w:val="000000"/>
                <w:sz w:val="24"/>
              </w:rPr>
              <w:t>0.53</w:t>
            </w:r>
          </w:p>
        </w:tc>
      </w:tr>
      <w:tr w:rsidR="006710AF">
        <w:trPr>
          <w:jc w:val="center"/>
        </w:trPr>
        <w:tc>
          <w:tcPr>
            <w:tcW w:w="850" w:type="dxa"/>
            <w:vAlign w:val="center"/>
          </w:tcPr>
          <w:p w:rsidR="006710AF" w:rsidRDefault="000A0B36">
            <w:pPr>
              <w:jc w:val="center"/>
            </w:pPr>
            <w:r>
              <w:rPr>
                <w:color w:val="000000"/>
                <w:sz w:val="24"/>
              </w:rPr>
              <w:t>3</w:t>
            </w:r>
          </w:p>
        </w:tc>
        <w:tc>
          <w:tcPr>
            <w:tcW w:w="1327" w:type="dxa"/>
            <w:vAlign w:val="center"/>
          </w:tcPr>
          <w:p w:rsidR="006710AF" w:rsidRDefault="000A0B36">
            <w:pPr>
              <w:jc w:val="center"/>
            </w:pPr>
            <w:r>
              <w:rPr>
                <w:color w:val="000000"/>
                <w:sz w:val="24"/>
              </w:rPr>
              <w:t>601688</w:t>
            </w:r>
          </w:p>
        </w:tc>
        <w:tc>
          <w:tcPr>
            <w:tcW w:w="1769" w:type="dxa"/>
            <w:vAlign w:val="center"/>
          </w:tcPr>
          <w:p w:rsidR="006710AF" w:rsidRDefault="000A0B36">
            <w:pPr>
              <w:jc w:val="center"/>
            </w:pPr>
            <w:r>
              <w:rPr>
                <w:color w:val="000000"/>
                <w:sz w:val="24"/>
              </w:rPr>
              <w:t>华泰证券</w:t>
            </w:r>
          </w:p>
        </w:tc>
        <w:tc>
          <w:tcPr>
            <w:tcW w:w="1327" w:type="dxa"/>
            <w:vAlign w:val="center"/>
          </w:tcPr>
          <w:p w:rsidR="006710AF" w:rsidRDefault="000A0B36">
            <w:pPr>
              <w:jc w:val="right"/>
            </w:pPr>
            <w:r>
              <w:rPr>
                <w:color w:val="000000"/>
                <w:sz w:val="24"/>
              </w:rPr>
              <w:t>8,100</w:t>
            </w:r>
          </w:p>
        </w:tc>
        <w:tc>
          <w:tcPr>
            <w:tcW w:w="1915" w:type="dxa"/>
            <w:vAlign w:val="center"/>
          </w:tcPr>
          <w:p w:rsidR="006710AF" w:rsidRDefault="000A0B36">
            <w:pPr>
              <w:jc w:val="right"/>
            </w:pPr>
            <w:r>
              <w:rPr>
                <w:color w:val="000000"/>
                <w:sz w:val="24"/>
              </w:rPr>
              <w:t>144,990.00</w:t>
            </w:r>
          </w:p>
        </w:tc>
        <w:tc>
          <w:tcPr>
            <w:tcW w:w="1680" w:type="dxa"/>
            <w:vAlign w:val="center"/>
          </w:tcPr>
          <w:p w:rsidR="006710AF" w:rsidRDefault="000A0B36">
            <w:pPr>
              <w:jc w:val="right"/>
            </w:pPr>
            <w:r>
              <w:rPr>
                <w:color w:val="000000"/>
                <w:sz w:val="24"/>
              </w:rPr>
              <w:t>0.51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12,306,448.00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43.48</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4,989,500.00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4,989,500.00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17.63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6,044,675.00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21.36</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1,038,503.10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3.67</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24,379,126.10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86.13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6710AF">
        <w:trPr>
          <w:jc w:val="center"/>
        </w:trPr>
        <w:tc>
          <w:tcPr>
            <w:tcW w:w="1075" w:type="dxa"/>
            <w:vAlign w:val="center"/>
          </w:tcPr>
          <w:p w:rsidR="006710AF" w:rsidRDefault="000A0B36">
            <w:pPr>
              <w:jc w:val="center"/>
            </w:pPr>
            <w:r>
              <w:rPr>
                <w:color w:val="000000"/>
                <w:sz w:val="24"/>
              </w:rPr>
              <w:t>1</w:t>
            </w:r>
          </w:p>
        </w:tc>
        <w:tc>
          <w:tcPr>
            <w:tcW w:w="1533" w:type="dxa"/>
            <w:vAlign w:val="center"/>
          </w:tcPr>
          <w:p w:rsidR="006710AF" w:rsidRDefault="000A0B36">
            <w:pPr>
              <w:jc w:val="center"/>
            </w:pPr>
            <w:r>
              <w:rPr>
                <w:color w:val="000000"/>
                <w:sz w:val="24"/>
              </w:rPr>
              <w:t>019546</w:t>
            </w:r>
          </w:p>
        </w:tc>
        <w:tc>
          <w:tcPr>
            <w:tcW w:w="1533" w:type="dxa"/>
            <w:vAlign w:val="center"/>
          </w:tcPr>
          <w:p w:rsidR="006710AF" w:rsidRDefault="000A0B36">
            <w:pPr>
              <w:jc w:val="center"/>
            </w:pPr>
            <w:r>
              <w:rPr>
                <w:color w:val="000000"/>
                <w:sz w:val="24"/>
              </w:rPr>
              <w:t>16</w:t>
            </w:r>
            <w:r>
              <w:rPr>
                <w:color w:val="000000"/>
                <w:sz w:val="24"/>
              </w:rPr>
              <w:t>国债</w:t>
            </w:r>
            <w:r>
              <w:rPr>
                <w:color w:val="000000"/>
                <w:sz w:val="24"/>
              </w:rPr>
              <w:t>18</w:t>
            </w:r>
          </w:p>
        </w:tc>
        <w:tc>
          <w:tcPr>
            <w:tcW w:w="1394" w:type="dxa"/>
            <w:vAlign w:val="center"/>
          </w:tcPr>
          <w:p w:rsidR="006710AF" w:rsidRDefault="000A0B36">
            <w:pPr>
              <w:jc w:val="right"/>
            </w:pPr>
            <w:r>
              <w:rPr>
                <w:color w:val="000000"/>
                <w:sz w:val="24"/>
              </w:rPr>
              <w:t>123,200</w:t>
            </w:r>
          </w:p>
        </w:tc>
        <w:tc>
          <w:tcPr>
            <w:tcW w:w="1944" w:type="dxa"/>
            <w:vAlign w:val="center"/>
          </w:tcPr>
          <w:p w:rsidR="006710AF" w:rsidRDefault="000A0B36">
            <w:pPr>
              <w:jc w:val="right"/>
            </w:pPr>
            <w:r>
              <w:rPr>
                <w:color w:val="000000"/>
                <w:sz w:val="24"/>
              </w:rPr>
              <w:t>12,306,448.00</w:t>
            </w:r>
          </w:p>
        </w:tc>
        <w:tc>
          <w:tcPr>
            <w:tcW w:w="1389" w:type="dxa"/>
            <w:vAlign w:val="center"/>
          </w:tcPr>
          <w:p w:rsidR="006710AF" w:rsidRDefault="000A0B36">
            <w:pPr>
              <w:jc w:val="right"/>
            </w:pPr>
            <w:r>
              <w:rPr>
                <w:color w:val="000000"/>
                <w:sz w:val="24"/>
              </w:rPr>
              <w:t>43.48</w:t>
            </w:r>
          </w:p>
        </w:tc>
      </w:tr>
      <w:tr w:rsidR="006710AF">
        <w:trPr>
          <w:jc w:val="center"/>
        </w:trPr>
        <w:tc>
          <w:tcPr>
            <w:tcW w:w="1075" w:type="dxa"/>
            <w:vAlign w:val="center"/>
          </w:tcPr>
          <w:p w:rsidR="006710AF" w:rsidRDefault="000A0B36">
            <w:pPr>
              <w:jc w:val="center"/>
            </w:pPr>
            <w:r>
              <w:rPr>
                <w:color w:val="000000"/>
                <w:sz w:val="24"/>
              </w:rPr>
              <w:t>2</w:t>
            </w:r>
          </w:p>
        </w:tc>
        <w:tc>
          <w:tcPr>
            <w:tcW w:w="1533" w:type="dxa"/>
            <w:vAlign w:val="center"/>
          </w:tcPr>
          <w:p w:rsidR="006710AF" w:rsidRDefault="000A0B36">
            <w:pPr>
              <w:jc w:val="center"/>
            </w:pPr>
            <w:r>
              <w:rPr>
                <w:color w:val="000000"/>
                <w:sz w:val="24"/>
              </w:rPr>
              <w:t>108601</w:t>
            </w:r>
          </w:p>
        </w:tc>
        <w:tc>
          <w:tcPr>
            <w:tcW w:w="1533" w:type="dxa"/>
            <w:vAlign w:val="center"/>
          </w:tcPr>
          <w:p w:rsidR="006710AF" w:rsidRDefault="000A0B36">
            <w:pPr>
              <w:jc w:val="center"/>
            </w:pPr>
            <w:r>
              <w:rPr>
                <w:color w:val="000000"/>
                <w:sz w:val="24"/>
              </w:rPr>
              <w:t>国开</w:t>
            </w:r>
            <w:r>
              <w:rPr>
                <w:color w:val="000000"/>
                <w:sz w:val="24"/>
              </w:rPr>
              <w:t>1703</w:t>
            </w:r>
          </w:p>
        </w:tc>
        <w:tc>
          <w:tcPr>
            <w:tcW w:w="1394" w:type="dxa"/>
            <w:vAlign w:val="center"/>
          </w:tcPr>
          <w:p w:rsidR="006710AF" w:rsidRDefault="000A0B36">
            <w:pPr>
              <w:jc w:val="right"/>
            </w:pPr>
            <w:r>
              <w:rPr>
                <w:color w:val="000000"/>
                <w:sz w:val="24"/>
              </w:rPr>
              <w:t>50,000</w:t>
            </w:r>
          </w:p>
        </w:tc>
        <w:tc>
          <w:tcPr>
            <w:tcW w:w="1944" w:type="dxa"/>
            <w:vAlign w:val="center"/>
          </w:tcPr>
          <w:p w:rsidR="006710AF" w:rsidRDefault="000A0B36">
            <w:pPr>
              <w:jc w:val="right"/>
            </w:pPr>
            <w:r>
              <w:rPr>
                <w:color w:val="000000"/>
                <w:sz w:val="24"/>
              </w:rPr>
              <w:t>4,989,500.00</w:t>
            </w:r>
          </w:p>
        </w:tc>
        <w:tc>
          <w:tcPr>
            <w:tcW w:w="1389" w:type="dxa"/>
            <w:vAlign w:val="center"/>
          </w:tcPr>
          <w:p w:rsidR="006710AF" w:rsidRDefault="000A0B36">
            <w:pPr>
              <w:jc w:val="right"/>
            </w:pPr>
            <w:r>
              <w:rPr>
                <w:color w:val="000000"/>
                <w:sz w:val="24"/>
              </w:rPr>
              <w:t>17.63</w:t>
            </w:r>
          </w:p>
        </w:tc>
      </w:tr>
      <w:tr w:rsidR="006710AF">
        <w:trPr>
          <w:jc w:val="center"/>
        </w:trPr>
        <w:tc>
          <w:tcPr>
            <w:tcW w:w="1075" w:type="dxa"/>
            <w:vAlign w:val="center"/>
          </w:tcPr>
          <w:p w:rsidR="006710AF" w:rsidRDefault="000A0B36">
            <w:pPr>
              <w:jc w:val="center"/>
            </w:pPr>
            <w:r>
              <w:rPr>
                <w:color w:val="000000"/>
                <w:sz w:val="24"/>
              </w:rPr>
              <w:t>3</w:t>
            </w:r>
          </w:p>
        </w:tc>
        <w:tc>
          <w:tcPr>
            <w:tcW w:w="1533" w:type="dxa"/>
            <w:vAlign w:val="center"/>
          </w:tcPr>
          <w:p w:rsidR="006710AF" w:rsidRDefault="000A0B36">
            <w:pPr>
              <w:jc w:val="center"/>
            </w:pPr>
            <w:r>
              <w:rPr>
                <w:color w:val="000000"/>
                <w:sz w:val="24"/>
              </w:rPr>
              <w:t>122366</w:t>
            </w:r>
          </w:p>
        </w:tc>
        <w:tc>
          <w:tcPr>
            <w:tcW w:w="1533" w:type="dxa"/>
            <w:vAlign w:val="center"/>
          </w:tcPr>
          <w:p w:rsidR="006710AF" w:rsidRDefault="000A0B36">
            <w:pPr>
              <w:jc w:val="center"/>
            </w:pPr>
            <w:r>
              <w:rPr>
                <w:color w:val="000000"/>
                <w:sz w:val="24"/>
              </w:rPr>
              <w:t>14</w:t>
            </w:r>
            <w:r>
              <w:rPr>
                <w:color w:val="000000"/>
                <w:sz w:val="24"/>
              </w:rPr>
              <w:t>武钢债</w:t>
            </w:r>
          </w:p>
        </w:tc>
        <w:tc>
          <w:tcPr>
            <w:tcW w:w="1394" w:type="dxa"/>
            <w:vAlign w:val="center"/>
          </w:tcPr>
          <w:p w:rsidR="006710AF" w:rsidRDefault="000A0B36">
            <w:pPr>
              <w:jc w:val="right"/>
            </w:pPr>
            <w:r>
              <w:rPr>
                <w:color w:val="000000"/>
                <w:sz w:val="24"/>
              </w:rPr>
              <w:t>20,000</w:t>
            </w:r>
          </w:p>
        </w:tc>
        <w:tc>
          <w:tcPr>
            <w:tcW w:w="1944" w:type="dxa"/>
            <w:vAlign w:val="center"/>
          </w:tcPr>
          <w:p w:rsidR="006710AF" w:rsidRDefault="000A0B36">
            <w:pPr>
              <w:jc w:val="right"/>
            </w:pPr>
            <w:r>
              <w:rPr>
                <w:color w:val="000000"/>
                <w:sz w:val="24"/>
              </w:rPr>
              <w:t>2,000,400.00</w:t>
            </w:r>
          </w:p>
        </w:tc>
        <w:tc>
          <w:tcPr>
            <w:tcW w:w="1389" w:type="dxa"/>
            <w:vAlign w:val="center"/>
          </w:tcPr>
          <w:p w:rsidR="006710AF" w:rsidRDefault="000A0B36">
            <w:pPr>
              <w:jc w:val="right"/>
            </w:pPr>
            <w:r>
              <w:rPr>
                <w:color w:val="000000"/>
                <w:sz w:val="24"/>
              </w:rPr>
              <w:t>7.07</w:t>
            </w:r>
          </w:p>
        </w:tc>
      </w:tr>
      <w:tr w:rsidR="006710AF">
        <w:trPr>
          <w:jc w:val="center"/>
        </w:trPr>
        <w:tc>
          <w:tcPr>
            <w:tcW w:w="1075" w:type="dxa"/>
            <w:vAlign w:val="center"/>
          </w:tcPr>
          <w:p w:rsidR="006710AF" w:rsidRDefault="000A0B36">
            <w:pPr>
              <w:jc w:val="center"/>
            </w:pPr>
            <w:r>
              <w:rPr>
                <w:color w:val="000000"/>
                <w:sz w:val="24"/>
              </w:rPr>
              <w:t>4</w:t>
            </w:r>
          </w:p>
        </w:tc>
        <w:tc>
          <w:tcPr>
            <w:tcW w:w="1533" w:type="dxa"/>
            <w:vAlign w:val="center"/>
          </w:tcPr>
          <w:p w:rsidR="006710AF" w:rsidRDefault="000A0B36">
            <w:pPr>
              <w:jc w:val="center"/>
            </w:pPr>
            <w:r>
              <w:rPr>
                <w:color w:val="000000"/>
                <w:sz w:val="24"/>
              </w:rPr>
              <w:t>124393</w:t>
            </w:r>
          </w:p>
        </w:tc>
        <w:tc>
          <w:tcPr>
            <w:tcW w:w="1533" w:type="dxa"/>
            <w:vAlign w:val="center"/>
          </w:tcPr>
          <w:p w:rsidR="006710AF" w:rsidRDefault="000A0B36">
            <w:pPr>
              <w:jc w:val="center"/>
            </w:pPr>
            <w:r>
              <w:rPr>
                <w:color w:val="000000"/>
                <w:sz w:val="24"/>
              </w:rPr>
              <w:t>PR</w:t>
            </w:r>
            <w:r>
              <w:rPr>
                <w:color w:val="000000"/>
                <w:sz w:val="24"/>
              </w:rPr>
              <w:t>连顺兴</w:t>
            </w:r>
          </w:p>
        </w:tc>
        <w:tc>
          <w:tcPr>
            <w:tcW w:w="1394" w:type="dxa"/>
            <w:vAlign w:val="center"/>
          </w:tcPr>
          <w:p w:rsidR="006710AF" w:rsidRDefault="000A0B36">
            <w:pPr>
              <w:jc w:val="right"/>
            </w:pPr>
            <w:r>
              <w:rPr>
                <w:color w:val="000000"/>
                <w:sz w:val="24"/>
              </w:rPr>
              <w:t>18,750</w:t>
            </w:r>
          </w:p>
        </w:tc>
        <w:tc>
          <w:tcPr>
            <w:tcW w:w="1944" w:type="dxa"/>
            <w:vAlign w:val="center"/>
          </w:tcPr>
          <w:p w:rsidR="006710AF" w:rsidRDefault="000A0B36">
            <w:pPr>
              <w:jc w:val="right"/>
            </w:pPr>
            <w:r>
              <w:rPr>
                <w:color w:val="000000"/>
                <w:sz w:val="24"/>
              </w:rPr>
              <w:t>1,546,875.00</w:t>
            </w:r>
          </w:p>
        </w:tc>
        <w:tc>
          <w:tcPr>
            <w:tcW w:w="1389" w:type="dxa"/>
            <w:vAlign w:val="center"/>
          </w:tcPr>
          <w:p w:rsidR="006710AF" w:rsidRDefault="000A0B36">
            <w:pPr>
              <w:jc w:val="right"/>
            </w:pPr>
            <w:r>
              <w:rPr>
                <w:color w:val="000000"/>
                <w:sz w:val="24"/>
              </w:rPr>
              <w:t>5.46</w:t>
            </w:r>
          </w:p>
        </w:tc>
      </w:tr>
      <w:tr w:rsidR="006710AF">
        <w:trPr>
          <w:jc w:val="center"/>
        </w:trPr>
        <w:tc>
          <w:tcPr>
            <w:tcW w:w="1075" w:type="dxa"/>
            <w:vAlign w:val="center"/>
          </w:tcPr>
          <w:p w:rsidR="006710AF" w:rsidRDefault="000A0B36">
            <w:pPr>
              <w:jc w:val="center"/>
            </w:pPr>
            <w:r>
              <w:rPr>
                <w:color w:val="000000"/>
                <w:sz w:val="24"/>
              </w:rPr>
              <w:t>5</w:t>
            </w:r>
          </w:p>
        </w:tc>
        <w:tc>
          <w:tcPr>
            <w:tcW w:w="1533" w:type="dxa"/>
            <w:vAlign w:val="center"/>
          </w:tcPr>
          <w:p w:rsidR="006710AF" w:rsidRDefault="000A0B36">
            <w:pPr>
              <w:jc w:val="center"/>
            </w:pPr>
            <w:r>
              <w:rPr>
                <w:color w:val="000000"/>
                <w:sz w:val="24"/>
              </w:rPr>
              <w:t>122357</w:t>
            </w:r>
          </w:p>
        </w:tc>
        <w:tc>
          <w:tcPr>
            <w:tcW w:w="1533" w:type="dxa"/>
            <w:vAlign w:val="center"/>
          </w:tcPr>
          <w:p w:rsidR="006710AF" w:rsidRDefault="000A0B36">
            <w:pPr>
              <w:jc w:val="center"/>
            </w:pPr>
            <w:r>
              <w:rPr>
                <w:color w:val="000000"/>
                <w:sz w:val="24"/>
              </w:rPr>
              <w:t>14</w:t>
            </w:r>
            <w:r>
              <w:rPr>
                <w:color w:val="000000"/>
                <w:sz w:val="24"/>
              </w:rPr>
              <w:t>浙证债</w:t>
            </w:r>
          </w:p>
        </w:tc>
        <w:tc>
          <w:tcPr>
            <w:tcW w:w="1394" w:type="dxa"/>
            <w:vAlign w:val="center"/>
          </w:tcPr>
          <w:p w:rsidR="006710AF" w:rsidRDefault="000A0B36">
            <w:pPr>
              <w:jc w:val="right"/>
            </w:pPr>
            <w:r>
              <w:rPr>
                <w:color w:val="000000"/>
                <w:sz w:val="24"/>
              </w:rPr>
              <w:t>10,000</w:t>
            </w:r>
          </w:p>
        </w:tc>
        <w:tc>
          <w:tcPr>
            <w:tcW w:w="1944" w:type="dxa"/>
            <w:vAlign w:val="center"/>
          </w:tcPr>
          <w:p w:rsidR="006710AF" w:rsidRDefault="000A0B36">
            <w:pPr>
              <w:jc w:val="right"/>
            </w:pPr>
            <w:r>
              <w:rPr>
                <w:color w:val="000000"/>
                <w:sz w:val="24"/>
              </w:rPr>
              <w:t>999,000.00</w:t>
            </w:r>
          </w:p>
        </w:tc>
        <w:tc>
          <w:tcPr>
            <w:tcW w:w="1389" w:type="dxa"/>
            <w:vAlign w:val="center"/>
          </w:tcPr>
          <w:p w:rsidR="006710AF" w:rsidRDefault="000A0B36">
            <w:pPr>
              <w:jc w:val="right"/>
            </w:pPr>
            <w:r>
              <w:rPr>
                <w:color w:val="000000"/>
                <w:sz w:val="24"/>
              </w:rPr>
              <w:t>3.53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154,572.91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1,116,104.97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440,123.19</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1,660.97</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619.70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1,713,081.74</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tbl>
      <w:tblPr>
        <w:tblpPr w:leftFromText="171" w:rightFromText="171" w:vertAnchor="text"/>
        <w:tblW w:w="8868" w:type="dxa"/>
        <w:tblCellMar>
          <w:left w:w="0" w:type="dxa"/>
          <w:right w:w="0" w:type="dxa"/>
        </w:tblCellMar>
        <w:tblLook w:val="04A0" w:firstRow="1" w:lastRow="0" w:firstColumn="1" w:lastColumn="0" w:noHBand="0" w:noVBand="1"/>
      </w:tblPr>
      <w:tblGrid>
        <w:gridCol w:w="984"/>
        <w:gridCol w:w="2675"/>
        <w:gridCol w:w="1734"/>
        <w:gridCol w:w="1799"/>
        <w:gridCol w:w="1676"/>
      </w:tblGrid>
      <w:tr w:rsidR="008F22A6" w:rsidTr="008F22A6">
        <w:tc>
          <w:tcPr>
            <w:tcW w:w="984" w:type="dxa"/>
            <w:tcBorders>
              <w:top w:val="single" w:sz="8" w:space="0" w:color="auto"/>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8F22A6" w:rsidRDefault="008F22A6">
            <w:pPr>
              <w:spacing w:before="29" w:line="288" w:lineRule="auto"/>
              <w:ind w:left="17"/>
              <w:jc w:val="center"/>
              <w:rPr>
                <w:color w:val="000000"/>
                <w:kern w:val="0"/>
                <w:sz w:val="24"/>
              </w:rPr>
            </w:pPr>
            <w:r>
              <w:rPr>
                <w:rFonts w:ascii="宋体" w:hAnsi="宋体" w:hint="eastAsia"/>
                <w:color w:val="000000"/>
                <w:sz w:val="24"/>
              </w:rPr>
              <w:t>序号</w:t>
            </w:r>
          </w:p>
        </w:tc>
        <w:tc>
          <w:tcPr>
            <w:tcW w:w="2675"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F22A6" w:rsidRDefault="008F22A6">
            <w:pPr>
              <w:spacing w:before="29" w:line="288" w:lineRule="auto"/>
              <w:ind w:left="17"/>
              <w:jc w:val="center"/>
              <w:rPr>
                <w:color w:val="000000"/>
                <w:sz w:val="24"/>
              </w:rPr>
            </w:pPr>
            <w:r>
              <w:rPr>
                <w:rFonts w:ascii="宋体" w:hAnsi="宋体" w:hint="eastAsia"/>
                <w:color w:val="000000"/>
                <w:sz w:val="24"/>
              </w:rPr>
              <w:t>债券代码</w:t>
            </w:r>
          </w:p>
        </w:tc>
        <w:tc>
          <w:tcPr>
            <w:tcW w:w="1734"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F22A6" w:rsidRDefault="008F22A6">
            <w:pPr>
              <w:spacing w:before="29" w:line="288" w:lineRule="auto"/>
              <w:ind w:left="17"/>
              <w:jc w:val="center"/>
              <w:rPr>
                <w:color w:val="000000"/>
                <w:sz w:val="24"/>
              </w:rPr>
            </w:pPr>
            <w:r>
              <w:rPr>
                <w:rFonts w:ascii="宋体" w:hAnsi="宋体" w:hint="eastAsia"/>
                <w:color w:val="000000"/>
                <w:sz w:val="24"/>
              </w:rPr>
              <w:t>债券名称</w:t>
            </w:r>
          </w:p>
        </w:tc>
        <w:tc>
          <w:tcPr>
            <w:tcW w:w="1799"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F22A6" w:rsidRDefault="008F22A6">
            <w:pPr>
              <w:spacing w:before="29" w:line="288" w:lineRule="auto"/>
              <w:ind w:left="17"/>
              <w:jc w:val="center"/>
              <w:rPr>
                <w:color w:val="000000"/>
                <w:sz w:val="24"/>
              </w:rPr>
            </w:pPr>
            <w:r>
              <w:rPr>
                <w:rFonts w:ascii="宋体" w:hAnsi="宋体" w:hint="eastAsia"/>
                <w:color w:val="000000"/>
                <w:sz w:val="24"/>
              </w:rPr>
              <w:t>公允价值</w:t>
            </w:r>
            <w:r>
              <w:rPr>
                <w:color w:val="000000"/>
                <w:sz w:val="24"/>
              </w:rPr>
              <w:t>(</w:t>
            </w:r>
            <w:r>
              <w:rPr>
                <w:rFonts w:ascii="宋体" w:hAnsi="宋体" w:hint="eastAsia"/>
                <w:color w:val="000000"/>
                <w:sz w:val="24"/>
              </w:rPr>
              <w:t>元</w:t>
            </w:r>
            <w:r>
              <w:rPr>
                <w:color w:val="000000"/>
                <w:sz w:val="24"/>
              </w:rPr>
              <w:t>)</w:t>
            </w:r>
          </w:p>
        </w:tc>
        <w:tc>
          <w:tcPr>
            <w:tcW w:w="1676" w:type="dxa"/>
            <w:tcBorders>
              <w:top w:val="single" w:sz="8" w:space="0" w:color="auto"/>
              <w:left w:val="nil"/>
              <w:bottom w:val="single" w:sz="8" w:space="0" w:color="auto"/>
              <w:right w:val="single" w:sz="8" w:space="0" w:color="auto"/>
            </w:tcBorders>
            <w:tcMar>
              <w:top w:w="57" w:type="dxa"/>
              <w:left w:w="108" w:type="dxa"/>
              <w:bottom w:w="57" w:type="dxa"/>
              <w:right w:w="108" w:type="dxa"/>
            </w:tcMar>
            <w:vAlign w:val="center"/>
            <w:hideMark/>
          </w:tcPr>
          <w:p w:rsidR="008F22A6" w:rsidRDefault="008F22A6">
            <w:pPr>
              <w:spacing w:before="29" w:line="288" w:lineRule="auto"/>
              <w:ind w:left="17"/>
              <w:jc w:val="center"/>
              <w:rPr>
                <w:color w:val="000000"/>
                <w:sz w:val="24"/>
              </w:rPr>
            </w:pPr>
            <w:r>
              <w:rPr>
                <w:rFonts w:ascii="宋体" w:hAnsi="宋体" w:hint="eastAsia"/>
                <w:color w:val="000000"/>
                <w:sz w:val="24"/>
              </w:rPr>
              <w:t>占基金资产净值比例（％）</w:t>
            </w:r>
          </w:p>
        </w:tc>
      </w:tr>
      <w:tr w:rsidR="008F22A6" w:rsidTr="008F22A6">
        <w:tc>
          <w:tcPr>
            <w:tcW w:w="0" w:type="auto"/>
            <w:tcBorders>
              <w:top w:val="nil"/>
              <w:left w:val="single" w:sz="8" w:space="0" w:color="auto"/>
              <w:bottom w:val="single" w:sz="8" w:space="0" w:color="auto"/>
              <w:right w:val="single" w:sz="8" w:space="0" w:color="auto"/>
            </w:tcBorders>
            <w:tcMar>
              <w:top w:w="57" w:type="dxa"/>
              <w:left w:w="108" w:type="dxa"/>
              <w:bottom w:w="57" w:type="dxa"/>
              <w:right w:w="108" w:type="dxa"/>
            </w:tcMar>
            <w:vAlign w:val="center"/>
            <w:hideMark/>
          </w:tcPr>
          <w:p w:rsidR="008F22A6" w:rsidRPr="000A7D9F" w:rsidRDefault="008F22A6">
            <w:pPr>
              <w:jc w:val="center"/>
              <w:rPr>
                <w:szCs w:val="21"/>
              </w:rPr>
            </w:pPr>
            <w:r w:rsidRPr="000A7D9F">
              <w:rPr>
                <w:color w:val="000000"/>
                <w:sz w:val="24"/>
              </w:rPr>
              <w:t>1</w:t>
            </w:r>
          </w:p>
        </w:tc>
        <w:tc>
          <w:tcPr>
            <w:tcW w:w="0" w:type="auto"/>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F22A6" w:rsidRPr="000A7D9F" w:rsidRDefault="008F22A6">
            <w:pPr>
              <w:jc w:val="center"/>
            </w:pPr>
            <w:r w:rsidRPr="000A7D9F">
              <w:rPr>
                <w:color w:val="000000"/>
                <w:sz w:val="24"/>
              </w:rPr>
              <w:t>132001</w:t>
            </w:r>
          </w:p>
        </w:tc>
        <w:tc>
          <w:tcPr>
            <w:tcW w:w="0" w:type="auto"/>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F22A6" w:rsidRPr="000A7D9F" w:rsidRDefault="008F22A6">
            <w:pPr>
              <w:jc w:val="center"/>
            </w:pPr>
            <w:r w:rsidRPr="000A7D9F">
              <w:rPr>
                <w:color w:val="000000"/>
                <w:sz w:val="24"/>
              </w:rPr>
              <w:t>14</w:t>
            </w:r>
            <w:r w:rsidRPr="000A7D9F">
              <w:rPr>
                <w:rFonts w:ascii="宋体" w:hAnsi="宋体" w:hint="eastAsia"/>
                <w:color w:val="000000"/>
                <w:sz w:val="24"/>
              </w:rPr>
              <w:t>宝钢</w:t>
            </w:r>
            <w:r w:rsidRPr="000A7D9F">
              <w:rPr>
                <w:color w:val="000000"/>
                <w:sz w:val="24"/>
              </w:rPr>
              <w:t>EB</w:t>
            </w:r>
          </w:p>
        </w:tc>
        <w:tc>
          <w:tcPr>
            <w:tcW w:w="0" w:type="auto"/>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F22A6" w:rsidRPr="000A7D9F" w:rsidRDefault="008F22A6">
            <w:pPr>
              <w:jc w:val="right"/>
            </w:pPr>
            <w:r w:rsidRPr="000A7D9F">
              <w:rPr>
                <w:color w:val="000000"/>
                <w:sz w:val="24"/>
              </w:rPr>
              <w:t>861,681.00</w:t>
            </w:r>
          </w:p>
        </w:tc>
        <w:tc>
          <w:tcPr>
            <w:tcW w:w="0" w:type="auto"/>
            <w:tcBorders>
              <w:top w:val="nil"/>
              <w:left w:val="nil"/>
              <w:bottom w:val="single" w:sz="8" w:space="0" w:color="auto"/>
              <w:right w:val="single" w:sz="8" w:space="0" w:color="auto"/>
            </w:tcBorders>
            <w:tcMar>
              <w:top w:w="57" w:type="dxa"/>
              <w:left w:w="108" w:type="dxa"/>
              <w:bottom w:w="57" w:type="dxa"/>
              <w:right w:w="108" w:type="dxa"/>
            </w:tcMar>
            <w:vAlign w:val="center"/>
            <w:hideMark/>
          </w:tcPr>
          <w:p w:rsidR="008F22A6" w:rsidRPr="000A7D9F" w:rsidRDefault="008F22A6">
            <w:pPr>
              <w:jc w:val="right"/>
            </w:pPr>
            <w:r w:rsidRPr="000A7D9F">
              <w:rPr>
                <w:color w:val="000000"/>
                <w:sz w:val="24"/>
              </w:rPr>
              <w:t>3.04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交银强化回报债券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77,244,237.33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9,254,481.74</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217,466.32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1,954,376.73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58,299,721.33</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2,259,401.96</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19,161,982.32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8,949,456.51</w:t>
            </w:r>
          </w:p>
        </w:tc>
      </w:tr>
    </w:tbl>
    <w:p w:rsidR="006710AF" w:rsidRDefault="000A0B36">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BE251D">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Pr="000A7D9F" w:rsidRDefault="00ED0E09" w:rsidP="00BE251D">
      <w:pPr>
        <w:pStyle w:val="1"/>
        <w:spacing w:beforeLines="100" w:before="312" w:afterLines="100" w:after="312" w:line="360" w:lineRule="auto"/>
        <w:jc w:val="center"/>
        <w:rPr>
          <w:rFonts w:eastAsiaTheme="minorEastAsia"/>
          <w:color w:val="000000"/>
          <w:kern w:val="0"/>
          <w:sz w:val="24"/>
          <w:szCs w:val="24"/>
        </w:rPr>
      </w:pPr>
      <w:r w:rsidRPr="000A7D9F">
        <w:rPr>
          <w:rFonts w:eastAsiaTheme="minorEastAsia"/>
          <w:color w:val="000000"/>
          <w:kern w:val="0"/>
          <w:sz w:val="24"/>
          <w:szCs w:val="24"/>
        </w:rPr>
        <w:t xml:space="preserve">§8 </w:t>
      </w:r>
      <w:r w:rsidRPr="000A7D9F">
        <w:rPr>
          <w:rFonts w:eastAsiaTheme="minorEastAsia" w:hint="eastAsia"/>
          <w:color w:val="000000"/>
          <w:kern w:val="0"/>
          <w:sz w:val="24"/>
          <w:szCs w:val="24"/>
        </w:rPr>
        <w:t>影响投资者决策的其他重要信息</w:t>
      </w:r>
    </w:p>
    <w:p w:rsidR="00ED0E09" w:rsidRPr="000A7D9F" w:rsidRDefault="00ED0E09" w:rsidP="00ED0E09">
      <w:pPr>
        <w:autoSpaceDE w:val="0"/>
        <w:autoSpaceDN w:val="0"/>
        <w:adjustRightInd w:val="0"/>
        <w:spacing w:line="360" w:lineRule="auto"/>
        <w:jc w:val="left"/>
        <w:rPr>
          <w:rFonts w:ascii="宋体" w:hAnsi="宋体"/>
          <w:b/>
          <w:bCs/>
          <w:color w:val="000000"/>
          <w:kern w:val="0"/>
          <w:sz w:val="24"/>
        </w:rPr>
      </w:pPr>
      <w:r w:rsidRPr="000A7D9F">
        <w:rPr>
          <w:rFonts w:ascii="宋体" w:hAnsi="宋体"/>
          <w:b/>
          <w:bCs/>
          <w:color w:val="000000"/>
          <w:kern w:val="0"/>
          <w:sz w:val="24"/>
        </w:rPr>
        <w:t xml:space="preserve">8.1 </w:t>
      </w:r>
      <w:r w:rsidRPr="000A7D9F">
        <w:rPr>
          <w:rFonts w:ascii="宋体" w:hAnsi="宋体" w:hint="eastAsia"/>
          <w:b/>
          <w:bCs/>
          <w:color w:val="000000"/>
          <w:kern w:val="0"/>
          <w:sz w:val="24"/>
        </w:rPr>
        <w:t>报告期内单一投资者持有基金份额比例达到或超过</w:t>
      </w:r>
      <w:r w:rsidRPr="000A7D9F">
        <w:rPr>
          <w:rFonts w:ascii="宋体" w:hAnsi="宋体"/>
          <w:b/>
          <w:bCs/>
          <w:color w:val="000000"/>
          <w:kern w:val="0"/>
          <w:sz w:val="24"/>
        </w:rPr>
        <w:t>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RPr="00985071"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投资者类别</w:t>
            </w:r>
            <w:r w:rsidRPr="000A7D9F">
              <w:rPr>
                <w:rFonts w:eastAsiaTheme="minorEastAsia"/>
                <w:color w:val="000000"/>
                <w:sz w:val="24"/>
              </w:rPr>
              <w:t xml:space="preserve">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报告期末持有基金情况</w:t>
            </w:r>
          </w:p>
        </w:tc>
      </w:tr>
      <w:tr w:rsidR="00ED0E09" w:rsidRPr="00985071"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widowControl/>
              <w:jc w:val="left"/>
              <w:rPr>
                <w:rFonts w:eastAsiaTheme="minorEastAsia"/>
                <w:color w:val="000000"/>
                <w:sz w:val="24"/>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持有基金份额比例达到或者超过</w:t>
            </w:r>
            <w:r w:rsidRPr="000A7D9F">
              <w:rPr>
                <w:rFonts w:eastAsiaTheme="minorEastAsia"/>
                <w:color w:val="000000"/>
                <w:sz w:val="24"/>
              </w:rPr>
              <w:t>20%</w:t>
            </w:r>
            <w:r w:rsidRPr="000A7D9F">
              <w:rPr>
                <w:rFonts w:eastAsiaTheme="minorEastAsia" w:hint="eastAsia"/>
                <w:color w:val="000000"/>
                <w:sz w:val="24"/>
              </w:rPr>
              <w:t>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widowControl/>
              <w:jc w:val="center"/>
              <w:rPr>
                <w:rFonts w:eastAsiaTheme="minorEastAsia"/>
                <w:color w:val="000000"/>
                <w:sz w:val="24"/>
              </w:rPr>
            </w:pPr>
            <w:r w:rsidRPr="000A7D9F">
              <w:rPr>
                <w:rFonts w:eastAsiaTheme="minorEastAsia" w:hint="eastAsia"/>
                <w:color w:val="000000"/>
                <w:sz w:val="24"/>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widowControl/>
              <w:jc w:val="center"/>
              <w:rPr>
                <w:rFonts w:eastAsiaTheme="minorEastAsia"/>
                <w:color w:val="000000"/>
                <w:sz w:val="24"/>
              </w:rPr>
            </w:pPr>
            <w:r w:rsidRPr="000A7D9F">
              <w:rPr>
                <w:rFonts w:eastAsiaTheme="minorEastAsia" w:hint="eastAsia"/>
                <w:color w:val="000000"/>
                <w:sz w:val="24"/>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widowControl/>
              <w:jc w:val="center"/>
              <w:rPr>
                <w:rFonts w:eastAsiaTheme="minorEastAsia"/>
                <w:color w:val="000000"/>
                <w:sz w:val="24"/>
              </w:rPr>
            </w:pPr>
            <w:r w:rsidRPr="000A7D9F">
              <w:rPr>
                <w:rFonts w:eastAsiaTheme="minorEastAsia" w:hint="eastAsia"/>
                <w:color w:val="000000"/>
                <w:sz w:val="24"/>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Pr="000A7D9F" w:rsidRDefault="00ED0E09">
            <w:pPr>
              <w:autoSpaceDE w:val="0"/>
              <w:autoSpaceDN w:val="0"/>
              <w:adjustRightInd w:val="0"/>
              <w:jc w:val="center"/>
              <w:rPr>
                <w:rFonts w:eastAsiaTheme="minorEastAsia"/>
                <w:color w:val="000000"/>
                <w:sz w:val="24"/>
              </w:rPr>
            </w:pPr>
            <w:r w:rsidRPr="000A7D9F">
              <w:rPr>
                <w:rFonts w:eastAsiaTheme="minorEastAsia" w:hint="eastAsia"/>
                <w:color w:val="000000"/>
                <w:sz w:val="24"/>
              </w:rPr>
              <w:t>份额占比</w:t>
            </w:r>
          </w:p>
        </w:tc>
      </w:tr>
      <w:tr w:rsidR="006710AF" w:rsidRPr="00985071">
        <w:tc>
          <w:tcPr>
            <w:tcW w:w="992" w:type="dxa"/>
            <w:vMerge w:val="restart"/>
          </w:tcPr>
          <w:p w:rsidR="006710AF" w:rsidRPr="000A7D9F" w:rsidRDefault="006710AF">
            <w:pPr>
              <w:rPr>
                <w:rFonts w:eastAsiaTheme="minorEastAsia"/>
                <w:color w:val="000000"/>
                <w:sz w:val="24"/>
              </w:rPr>
            </w:pPr>
          </w:p>
          <w:p w:rsidR="006710AF" w:rsidRPr="000A7D9F" w:rsidRDefault="000A0B36">
            <w:pPr>
              <w:rPr>
                <w:rFonts w:eastAsiaTheme="minorEastAsia"/>
                <w:color w:val="000000"/>
                <w:sz w:val="24"/>
              </w:rPr>
            </w:pPr>
            <w:r w:rsidRPr="000A7D9F">
              <w:rPr>
                <w:rFonts w:eastAsiaTheme="minorEastAsia" w:hint="eastAsia"/>
                <w:color w:val="000000"/>
                <w:sz w:val="24"/>
              </w:rPr>
              <w:t>机构</w:t>
            </w:r>
          </w:p>
        </w:tc>
        <w:tc>
          <w:tcPr>
            <w:tcW w:w="991"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1</w:t>
            </w:r>
          </w:p>
        </w:tc>
        <w:tc>
          <w:tcPr>
            <w:tcW w:w="1843"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2017/4/1-2017/6/30</w:t>
            </w:r>
          </w:p>
        </w:tc>
        <w:tc>
          <w:tcPr>
            <w:tcW w:w="851"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15,260,240.96</w:t>
            </w:r>
          </w:p>
        </w:tc>
        <w:tc>
          <w:tcPr>
            <w:tcW w:w="850"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w:t>
            </w:r>
          </w:p>
        </w:tc>
        <w:tc>
          <w:tcPr>
            <w:tcW w:w="1134"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15,260,240.96</w:t>
            </w:r>
          </w:p>
        </w:tc>
        <w:tc>
          <w:tcPr>
            <w:tcW w:w="1419"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w:t>
            </w:r>
          </w:p>
        </w:tc>
        <w:tc>
          <w:tcPr>
            <w:tcW w:w="1130"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w:t>
            </w:r>
          </w:p>
        </w:tc>
      </w:tr>
      <w:tr w:rsidR="006710AF" w:rsidRPr="00985071">
        <w:tc>
          <w:tcPr>
            <w:tcW w:w="992" w:type="dxa"/>
            <w:vMerge/>
          </w:tcPr>
          <w:p w:rsidR="006710AF" w:rsidRPr="000A7D9F" w:rsidRDefault="006710AF">
            <w:pPr>
              <w:rPr>
                <w:rFonts w:eastAsiaTheme="minorEastAsia"/>
                <w:color w:val="000000"/>
                <w:sz w:val="24"/>
              </w:rPr>
            </w:pPr>
          </w:p>
        </w:tc>
        <w:tc>
          <w:tcPr>
            <w:tcW w:w="991"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2</w:t>
            </w:r>
          </w:p>
        </w:tc>
        <w:tc>
          <w:tcPr>
            <w:tcW w:w="1843"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2017/4/1-2017/6/30</w:t>
            </w:r>
          </w:p>
        </w:tc>
        <w:tc>
          <w:tcPr>
            <w:tcW w:w="851"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20,898,491.43</w:t>
            </w:r>
          </w:p>
        </w:tc>
        <w:tc>
          <w:tcPr>
            <w:tcW w:w="850"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w:t>
            </w:r>
          </w:p>
        </w:tc>
        <w:tc>
          <w:tcPr>
            <w:tcW w:w="1134"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20,898,491.43</w:t>
            </w:r>
          </w:p>
        </w:tc>
        <w:tc>
          <w:tcPr>
            <w:tcW w:w="1419"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w:t>
            </w:r>
          </w:p>
        </w:tc>
        <w:tc>
          <w:tcPr>
            <w:tcW w:w="1130" w:type="dxa"/>
            <w:vAlign w:val="center"/>
          </w:tcPr>
          <w:p w:rsidR="006710AF" w:rsidRPr="000A7D9F" w:rsidRDefault="000A0B36">
            <w:pPr>
              <w:jc w:val="center"/>
              <w:rPr>
                <w:rFonts w:eastAsiaTheme="minorEastAsia"/>
                <w:color w:val="000000"/>
                <w:sz w:val="24"/>
              </w:rPr>
            </w:pPr>
            <w:r w:rsidRPr="000A7D9F">
              <w:rPr>
                <w:rFonts w:eastAsiaTheme="minorEastAsia"/>
                <w:color w:val="000000"/>
                <w:sz w:val="24"/>
              </w:rPr>
              <w:t>-</w:t>
            </w:r>
          </w:p>
        </w:tc>
      </w:tr>
    </w:tbl>
    <w:p w:rsidR="00ED0E09" w:rsidRPr="000A7D9F" w:rsidRDefault="00ED0E09" w:rsidP="00ED0E09">
      <w:pPr>
        <w:autoSpaceDE w:val="0"/>
        <w:autoSpaceDN w:val="0"/>
        <w:adjustRightInd w:val="0"/>
        <w:spacing w:line="360" w:lineRule="auto"/>
        <w:jc w:val="left"/>
        <w:rPr>
          <w:rFonts w:ascii="宋体" w:hAnsi="宋体"/>
          <w:bCs/>
          <w:color w:val="000000"/>
          <w:kern w:val="0"/>
          <w:sz w:val="24"/>
        </w:rPr>
      </w:pPr>
      <w:r w:rsidRPr="000A7D9F">
        <w:rPr>
          <w:rFonts w:ascii="宋体" w:hAnsi="宋体" w:hint="eastAsia"/>
          <w:bCs/>
          <w:color w:val="000000"/>
          <w:kern w:val="0"/>
          <w:sz w:val="24"/>
        </w:rPr>
        <w:t>注：本基金本报告期内出现单一投资者持有基金份额比例超过基金总份额</w:t>
      </w:r>
      <w:r w:rsidRPr="000A7D9F">
        <w:rPr>
          <w:rFonts w:ascii="宋体" w:hAnsi="宋体"/>
          <w:bCs/>
          <w:color w:val="000000"/>
          <w:kern w:val="0"/>
          <w:sz w:val="24"/>
        </w:rPr>
        <w:t>20%的情况。如该类投资者集中赎回，可能会对本基金带来流动性冲击，从而影响基金的投资运作和收益水平。基金管理人将加强流动性管理，防范相关风险，保护持有人利益。</w:t>
      </w:r>
    </w:p>
    <w:p w:rsidR="00175E3A" w:rsidRPr="007032A6" w:rsidRDefault="009238DB" w:rsidP="00BE251D">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、中国证监会准予交银施罗德强化回报债券型证券投资基金募集注册的文件；</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、《交银施罗德强化回报债券型证券投资基金基金合同》；</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、《交银施罗德强化回报债券型证券投资基金招募说明书》；</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、《交银施罗德强化回报债券型证券投资基金托管协议》；</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、关于募集交银施罗德强化回报债券型证券投资基金之法律意见书；</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、报告期内交银施罗德强化回报债券型证券投资基金在指定报刊上各项公告的原稿。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6710AF" w:rsidRDefault="000A0B36">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1BAE" w:rsidRDefault="00BC1BAE">
      <w:r>
        <w:separator/>
      </w:r>
    </w:p>
  </w:endnote>
  <w:endnote w:type="continuationSeparator" w:id="0">
    <w:p w:rsidR="00BC1BAE" w:rsidRDefault="00BC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sidR="007866A0">
      <w:rPr>
        <w:kern w:val="0"/>
        <w:szCs w:val="21"/>
      </w:rPr>
      <w:fldChar w:fldCharType="begin"/>
    </w:r>
    <w:r>
      <w:rPr>
        <w:kern w:val="0"/>
        <w:szCs w:val="21"/>
      </w:rPr>
      <w:instrText xml:space="preserve"> PAGE </w:instrText>
    </w:r>
    <w:r w:rsidR="007866A0">
      <w:rPr>
        <w:kern w:val="0"/>
        <w:szCs w:val="21"/>
      </w:rPr>
      <w:fldChar w:fldCharType="separate"/>
    </w:r>
    <w:r w:rsidR="002E4D8C">
      <w:rPr>
        <w:noProof/>
        <w:kern w:val="0"/>
        <w:szCs w:val="21"/>
      </w:rPr>
      <w:t>9</w:t>
    </w:r>
    <w:r w:rsidR="007866A0">
      <w:rPr>
        <w:kern w:val="0"/>
        <w:szCs w:val="21"/>
      </w:rPr>
      <w:fldChar w:fldCharType="end"/>
    </w:r>
    <w:r>
      <w:rPr>
        <w:rFonts w:hint="eastAsia"/>
        <w:kern w:val="0"/>
        <w:szCs w:val="21"/>
      </w:rPr>
      <w:t>页共</w:t>
    </w:r>
    <w:r w:rsidR="007866A0">
      <w:rPr>
        <w:kern w:val="0"/>
        <w:szCs w:val="21"/>
      </w:rPr>
      <w:fldChar w:fldCharType="begin"/>
    </w:r>
    <w:r>
      <w:rPr>
        <w:kern w:val="0"/>
        <w:szCs w:val="21"/>
      </w:rPr>
      <w:instrText xml:space="preserve"> NUMPAGES </w:instrText>
    </w:r>
    <w:r w:rsidR="007866A0">
      <w:rPr>
        <w:kern w:val="0"/>
        <w:szCs w:val="21"/>
      </w:rPr>
      <w:fldChar w:fldCharType="separate"/>
    </w:r>
    <w:r w:rsidR="002E4D8C">
      <w:rPr>
        <w:noProof/>
        <w:kern w:val="0"/>
        <w:szCs w:val="21"/>
      </w:rPr>
      <w:t>16</w:t>
    </w:r>
    <w:r w:rsidR="007866A0">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7866A0">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1BAE" w:rsidRDefault="00BC1BAE">
      <w:r>
        <w:separator/>
      </w:r>
    </w:p>
  </w:footnote>
  <w:footnote w:type="continuationSeparator" w:id="0">
    <w:p w:rsidR="00BC1BAE" w:rsidRDefault="00BC1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2E4D8C"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0B36"/>
    <w:rsid w:val="000A15F1"/>
    <w:rsid w:val="000A1617"/>
    <w:rsid w:val="000A3A50"/>
    <w:rsid w:val="000A40A5"/>
    <w:rsid w:val="000A457E"/>
    <w:rsid w:val="000A4DF3"/>
    <w:rsid w:val="000A549A"/>
    <w:rsid w:val="000A5A81"/>
    <w:rsid w:val="000A72F2"/>
    <w:rsid w:val="000A7BFD"/>
    <w:rsid w:val="000A7D9F"/>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3E21"/>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4D8C"/>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0826"/>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4644"/>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10AF"/>
    <w:rsid w:val="00673D69"/>
    <w:rsid w:val="00676431"/>
    <w:rsid w:val="00677A9C"/>
    <w:rsid w:val="0068050D"/>
    <w:rsid w:val="00680BCE"/>
    <w:rsid w:val="006822B2"/>
    <w:rsid w:val="00685FFC"/>
    <w:rsid w:val="00686943"/>
    <w:rsid w:val="00686EDE"/>
    <w:rsid w:val="006878F5"/>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5DC2"/>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2A6"/>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66CD"/>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85071"/>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383"/>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1BAE"/>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1ED8"/>
    <w:rsid w:val="00C74ABE"/>
    <w:rsid w:val="00C767B3"/>
    <w:rsid w:val="00C76C07"/>
    <w:rsid w:val="00C80F23"/>
    <w:rsid w:val="00C832CE"/>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54EF"/>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4817"/>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C3775DBB-DBE2-406F-BB63-C25BCCB7F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1967664611">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ED1D06-4A0A-43EE-A6B0-B6250717D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201</TotalTime>
  <Pages>16</Pages>
  <Words>1380</Words>
  <Characters>7866</Characters>
  <Application>Microsoft Office Word</Application>
  <DocSecurity>0</DocSecurity>
  <Lines>65</Lines>
  <Paragraphs>18</Paragraphs>
  <ScaleCrop>false</ScaleCrop>
  <Company>TRT. Ltd. Co.</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381</cp:revision>
  <cp:lastPrinted>2007-07-19T00:46:00Z</cp:lastPrinted>
  <dcterms:created xsi:type="dcterms:W3CDTF">2014-01-17T06:19:00Z</dcterms:created>
  <dcterms:modified xsi:type="dcterms:W3CDTF">2017-07-19T03:31:00Z</dcterms:modified>
</cp:coreProperties>
</file>