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CE0750">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A6DE7" w:rsidRDefault="00CB49C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CE07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41,588,317.71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CE07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B49C5" w:rsidRPr="00414345" w:rsidTr="00CB49C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B49C5" w:rsidRPr="00414345" w:rsidTr="00CB49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382,624.21</w:t>
            </w:r>
          </w:p>
        </w:tc>
      </w:tr>
      <w:tr w:rsidR="00CB49C5" w:rsidRPr="00414345" w:rsidTr="00CB49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161,550.85</w:t>
            </w:r>
          </w:p>
        </w:tc>
      </w:tr>
      <w:tr w:rsidR="00CB49C5" w:rsidRPr="00414345" w:rsidTr="00CB49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0.0038</w:t>
            </w:r>
          </w:p>
        </w:tc>
      </w:tr>
      <w:tr w:rsidR="00CB49C5" w:rsidRPr="00414345" w:rsidTr="00CB49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52,907,168.39</w:t>
            </w:r>
          </w:p>
        </w:tc>
      </w:tr>
      <w:tr w:rsidR="00CB49C5" w:rsidRPr="00414345" w:rsidTr="00CB49C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1.272</w:t>
            </w:r>
          </w:p>
        </w:tc>
      </w:tr>
    </w:tbl>
    <w:p w:rsidR="008A6DE7" w:rsidRDefault="00CB49C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A6DE7">
        <w:trPr>
          <w:jc w:val="center"/>
        </w:trPr>
        <w:tc>
          <w:tcPr>
            <w:tcW w:w="1701" w:type="dxa"/>
            <w:vAlign w:val="center"/>
          </w:tcPr>
          <w:p w:rsidR="008A6DE7" w:rsidRDefault="00CB49C5">
            <w:pPr>
              <w:jc w:val="left"/>
            </w:pPr>
            <w:r>
              <w:rPr>
                <w:color w:val="000000"/>
                <w:sz w:val="24"/>
                <w:szCs w:val="24"/>
              </w:rPr>
              <w:t>过去三个月</w:t>
            </w:r>
          </w:p>
        </w:tc>
        <w:tc>
          <w:tcPr>
            <w:tcW w:w="1045" w:type="dxa"/>
            <w:vAlign w:val="center"/>
          </w:tcPr>
          <w:p w:rsidR="008A6DE7" w:rsidRDefault="00CB49C5">
            <w:pPr>
              <w:jc w:val="center"/>
            </w:pPr>
            <w:r>
              <w:rPr>
                <w:color w:val="000000"/>
                <w:sz w:val="24"/>
                <w:szCs w:val="24"/>
              </w:rPr>
              <w:t>0.32%</w:t>
            </w:r>
          </w:p>
        </w:tc>
        <w:tc>
          <w:tcPr>
            <w:tcW w:w="1344" w:type="dxa"/>
            <w:vAlign w:val="center"/>
          </w:tcPr>
          <w:p w:rsidR="008A6DE7" w:rsidRDefault="00CB49C5">
            <w:pPr>
              <w:jc w:val="center"/>
            </w:pPr>
            <w:r>
              <w:rPr>
                <w:color w:val="000000"/>
                <w:sz w:val="24"/>
                <w:szCs w:val="24"/>
              </w:rPr>
              <w:t>0.09%</w:t>
            </w:r>
          </w:p>
        </w:tc>
        <w:tc>
          <w:tcPr>
            <w:tcW w:w="1194" w:type="dxa"/>
            <w:vAlign w:val="center"/>
          </w:tcPr>
          <w:p w:rsidR="008A6DE7" w:rsidRDefault="00CB49C5" w:rsidP="00CB49C5">
            <w:pPr>
              <w:jc w:val="center"/>
            </w:pPr>
            <w:r>
              <w:rPr>
                <w:color w:val="000000"/>
                <w:sz w:val="24"/>
                <w:szCs w:val="24"/>
              </w:rPr>
              <w:t>0.8</w:t>
            </w:r>
            <w:r>
              <w:rPr>
                <w:rFonts w:hint="eastAsia"/>
                <w:color w:val="000000"/>
                <w:sz w:val="24"/>
                <w:szCs w:val="24"/>
              </w:rPr>
              <w:t>4</w:t>
            </w:r>
            <w:r>
              <w:rPr>
                <w:color w:val="000000"/>
                <w:sz w:val="24"/>
                <w:szCs w:val="24"/>
              </w:rPr>
              <w:t>%</w:t>
            </w:r>
          </w:p>
        </w:tc>
        <w:tc>
          <w:tcPr>
            <w:tcW w:w="1492" w:type="dxa"/>
            <w:vAlign w:val="center"/>
          </w:tcPr>
          <w:p w:rsidR="008A6DE7" w:rsidRDefault="00CB49C5">
            <w:pPr>
              <w:jc w:val="center"/>
            </w:pPr>
            <w:r>
              <w:rPr>
                <w:color w:val="000000"/>
                <w:sz w:val="24"/>
                <w:szCs w:val="24"/>
              </w:rPr>
              <w:t>0.09%</w:t>
            </w:r>
          </w:p>
        </w:tc>
        <w:tc>
          <w:tcPr>
            <w:tcW w:w="1194" w:type="dxa"/>
            <w:vAlign w:val="center"/>
          </w:tcPr>
          <w:p w:rsidR="008A6DE7" w:rsidRDefault="00F12360">
            <w:pPr>
              <w:jc w:val="center"/>
            </w:pPr>
            <w:r w:rsidRPr="00F12360">
              <w:rPr>
                <w:color w:val="000000"/>
                <w:sz w:val="24"/>
                <w:szCs w:val="24"/>
              </w:rPr>
              <w:t>-0.52%</w:t>
            </w:r>
          </w:p>
        </w:tc>
        <w:tc>
          <w:tcPr>
            <w:tcW w:w="898" w:type="dxa"/>
            <w:vAlign w:val="center"/>
          </w:tcPr>
          <w:p w:rsidR="008A6DE7" w:rsidRDefault="00CB49C5">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57594" w:rsidRPr="00414345" w:rsidRDefault="004061AC" w:rsidP="004621F0">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日，基金转型日至报告期期末，本基金转型时间未满一年。本基金的投资转型期为交银施罗德荣泰保本混合型证券投资基金保本周期到期期间截止日的次日（即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CE0750">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A6DE7">
        <w:trPr>
          <w:jc w:val="center"/>
        </w:trPr>
        <w:tc>
          <w:tcPr>
            <w:tcW w:w="846" w:type="dxa"/>
            <w:vAlign w:val="center"/>
          </w:tcPr>
          <w:p w:rsidR="008A6DE7" w:rsidRDefault="00CB49C5">
            <w:pPr>
              <w:jc w:val="center"/>
            </w:pPr>
            <w:r>
              <w:rPr>
                <w:color w:val="000000"/>
                <w:sz w:val="24"/>
                <w:szCs w:val="24"/>
              </w:rPr>
              <w:t>孙超</w:t>
            </w:r>
          </w:p>
        </w:tc>
        <w:tc>
          <w:tcPr>
            <w:tcW w:w="845" w:type="dxa"/>
            <w:vAlign w:val="center"/>
          </w:tcPr>
          <w:p w:rsidR="008A6DE7" w:rsidRDefault="00CB49C5">
            <w:pPr>
              <w:jc w:val="center"/>
            </w:pPr>
            <w:r>
              <w:rPr>
                <w:color w:val="000000"/>
                <w:sz w:val="24"/>
                <w:szCs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549" w:type="dxa"/>
            <w:vAlign w:val="center"/>
          </w:tcPr>
          <w:p w:rsidR="008A6DE7" w:rsidRDefault="00CB49C5">
            <w:pPr>
              <w:jc w:val="center"/>
            </w:pPr>
            <w:r>
              <w:rPr>
                <w:color w:val="000000"/>
                <w:sz w:val="24"/>
                <w:szCs w:val="24"/>
              </w:rPr>
              <w:t>2016-12-30</w:t>
            </w:r>
          </w:p>
        </w:tc>
        <w:tc>
          <w:tcPr>
            <w:tcW w:w="1548" w:type="dxa"/>
            <w:vAlign w:val="center"/>
          </w:tcPr>
          <w:p w:rsidR="008A6DE7" w:rsidRDefault="00CB49C5">
            <w:pPr>
              <w:jc w:val="center"/>
            </w:pPr>
            <w:r>
              <w:rPr>
                <w:color w:val="000000"/>
                <w:sz w:val="24"/>
                <w:szCs w:val="24"/>
              </w:rPr>
              <w:t>2017-06-22</w:t>
            </w:r>
          </w:p>
        </w:tc>
        <w:tc>
          <w:tcPr>
            <w:tcW w:w="1407" w:type="dxa"/>
            <w:vAlign w:val="center"/>
          </w:tcPr>
          <w:p w:rsidR="008A6DE7" w:rsidRDefault="00CB49C5">
            <w:pPr>
              <w:jc w:val="center"/>
            </w:pPr>
            <w:r>
              <w:rPr>
                <w:color w:val="000000"/>
                <w:sz w:val="24"/>
                <w:szCs w:val="24"/>
              </w:rPr>
              <w:t>6</w:t>
            </w:r>
            <w:r>
              <w:rPr>
                <w:color w:val="000000"/>
                <w:sz w:val="24"/>
                <w:szCs w:val="24"/>
              </w:rPr>
              <w:t>年</w:t>
            </w:r>
          </w:p>
        </w:tc>
        <w:tc>
          <w:tcPr>
            <w:tcW w:w="2673" w:type="dxa"/>
            <w:vAlign w:val="center"/>
          </w:tcPr>
          <w:p w:rsidR="008A6DE7" w:rsidRDefault="00CB49C5" w:rsidP="009349E6">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日担任交银施罗德定期支付月月丰债券型证券投资基金的基金经理，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日担任交银施罗德强化回报债券型证券投资基金的基金经理，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15</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日担任交银施罗德丰润收益债券型证券投资基金基金经理，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日担任交银施罗德丰享收益债券型证券投资基金基金经理，</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30</w:t>
            </w:r>
            <w:r>
              <w:rPr>
                <w:color w:val="000000"/>
                <w:sz w:val="24"/>
                <w:szCs w:val="24"/>
              </w:rPr>
              <w:t>日至</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日担任交银施罗德丰泽收益债券型证券投资基金基金经理，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日担任交银施罗德纯债债券型发起式证券投资基金的基金经理，</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日担任交银施罗德增利债券证券投资基金的基金经理，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日担任交银施罗德荣泰保本混合型证券投资基金的基金经理，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日担任交银施罗德荣祥保本混合型证券投资基金的基金经理，</w:t>
            </w:r>
            <w:r w:rsidR="009349E6" w:rsidDel="009349E6">
              <w:rPr>
                <w:color w:val="000000"/>
                <w:sz w:val="24"/>
                <w:szCs w:val="24"/>
              </w:rPr>
              <w:t xml:space="preserve"> </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日担任交银施罗德丰硕收益债券型证券投资基金的基金经理，</w:t>
            </w:r>
            <w:r>
              <w:rPr>
                <w:color w:val="000000"/>
                <w:sz w:val="24"/>
                <w:szCs w:val="24"/>
              </w:rPr>
              <w:t>2016</w:t>
            </w:r>
            <w:r>
              <w:rPr>
                <w:color w:val="000000"/>
                <w:sz w:val="24"/>
                <w:szCs w:val="24"/>
              </w:rPr>
              <w:t>年</w:t>
            </w:r>
            <w:r>
              <w:rPr>
                <w:color w:val="000000"/>
                <w:sz w:val="24"/>
                <w:szCs w:val="24"/>
              </w:rPr>
              <w:t>3</w:t>
            </w:r>
            <w:r>
              <w:rPr>
                <w:color w:val="000000"/>
                <w:sz w:val="24"/>
                <w:szCs w:val="24"/>
              </w:rPr>
              <w:t>月</w:t>
            </w:r>
            <w:r>
              <w:rPr>
                <w:color w:val="000000"/>
                <w:sz w:val="24"/>
                <w:szCs w:val="24"/>
              </w:rPr>
              <w:t>25</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日担任交银施罗德荣鑫保本混合型证券投资基金的基金经理，</w:t>
            </w:r>
            <w:r w:rsidR="009349E6" w:rsidRPr="00943134">
              <w:rPr>
                <w:color w:val="000000"/>
                <w:sz w:val="24"/>
                <w:szCs w:val="24"/>
              </w:rPr>
              <w:t>2016</w:t>
            </w:r>
            <w:r w:rsidR="009349E6" w:rsidRPr="00943134">
              <w:rPr>
                <w:rFonts w:hint="eastAsia"/>
                <w:color w:val="000000"/>
                <w:sz w:val="24"/>
                <w:szCs w:val="24"/>
              </w:rPr>
              <w:t>年</w:t>
            </w:r>
            <w:r w:rsidR="009349E6" w:rsidRPr="00943134">
              <w:rPr>
                <w:color w:val="000000"/>
                <w:sz w:val="24"/>
                <w:szCs w:val="24"/>
              </w:rPr>
              <w:t>12</w:t>
            </w:r>
            <w:r w:rsidR="009349E6" w:rsidRPr="00943134">
              <w:rPr>
                <w:rFonts w:hint="eastAsia"/>
                <w:color w:val="000000"/>
                <w:sz w:val="24"/>
                <w:szCs w:val="24"/>
              </w:rPr>
              <w:t>月</w:t>
            </w:r>
            <w:r w:rsidR="009349E6" w:rsidRPr="00943134">
              <w:rPr>
                <w:color w:val="000000"/>
                <w:sz w:val="24"/>
                <w:szCs w:val="24"/>
              </w:rPr>
              <w:t>30</w:t>
            </w:r>
            <w:r w:rsidR="009349E6" w:rsidRPr="00943134">
              <w:rPr>
                <w:rFonts w:hint="eastAsia"/>
                <w:color w:val="000000"/>
                <w:sz w:val="24"/>
                <w:szCs w:val="24"/>
              </w:rPr>
              <w:t>日至</w:t>
            </w:r>
            <w:r w:rsidR="009349E6" w:rsidRPr="00943134">
              <w:rPr>
                <w:color w:val="000000"/>
                <w:sz w:val="24"/>
                <w:szCs w:val="24"/>
              </w:rPr>
              <w:t>2017</w:t>
            </w:r>
            <w:r w:rsidR="009349E6" w:rsidRPr="00943134">
              <w:rPr>
                <w:rFonts w:hint="eastAsia"/>
                <w:color w:val="000000"/>
                <w:sz w:val="24"/>
                <w:szCs w:val="24"/>
              </w:rPr>
              <w:t>年</w:t>
            </w:r>
            <w:r w:rsidR="009349E6" w:rsidRPr="00943134">
              <w:rPr>
                <w:color w:val="000000"/>
                <w:sz w:val="24"/>
                <w:szCs w:val="24"/>
              </w:rPr>
              <w:t>6</w:t>
            </w:r>
            <w:r w:rsidR="009349E6" w:rsidRPr="00943134">
              <w:rPr>
                <w:rFonts w:hint="eastAsia"/>
                <w:color w:val="000000"/>
                <w:sz w:val="24"/>
                <w:szCs w:val="24"/>
              </w:rPr>
              <w:t>月</w:t>
            </w:r>
            <w:r w:rsidR="009349E6" w:rsidRPr="00943134">
              <w:rPr>
                <w:color w:val="000000"/>
                <w:sz w:val="24"/>
                <w:szCs w:val="24"/>
              </w:rPr>
              <w:t>21</w:t>
            </w:r>
            <w:r w:rsidR="009349E6" w:rsidRPr="00943134">
              <w:rPr>
                <w:rFonts w:hint="eastAsia"/>
                <w:color w:val="000000"/>
                <w:sz w:val="24"/>
                <w:szCs w:val="24"/>
              </w:rPr>
              <w:t>日担任交银施罗德增强收益债券型证券投资基金的基金经理，</w:t>
            </w:r>
            <w:r w:rsidR="009349E6">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21</w:t>
            </w:r>
            <w:r>
              <w:rPr>
                <w:color w:val="000000"/>
                <w:sz w:val="24"/>
                <w:szCs w:val="24"/>
              </w:rPr>
              <w:t>日担任交银施罗德增利增强债券型证券投资基金基金经理。</w:t>
            </w:r>
          </w:p>
        </w:tc>
      </w:tr>
      <w:tr w:rsidR="008A6DE7">
        <w:trPr>
          <w:jc w:val="center"/>
        </w:trPr>
        <w:tc>
          <w:tcPr>
            <w:tcW w:w="846" w:type="dxa"/>
            <w:vAlign w:val="center"/>
          </w:tcPr>
          <w:p w:rsidR="008A6DE7" w:rsidRDefault="00CB49C5">
            <w:pPr>
              <w:jc w:val="center"/>
            </w:pPr>
            <w:r>
              <w:rPr>
                <w:color w:val="000000"/>
                <w:sz w:val="24"/>
                <w:szCs w:val="24"/>
              </w:rPr>
              <w:t>于海颖</w:t>
            </w:r>
          </w:p>
        </w:tc>
        <w:tc>
          <w:tcPr>
            <w:tcW w:w="845" w:type="dxa"/>
            <w:vAlign w:val="center"/>
          </w:tcPr>
          <w:p w:rsidR="008A6DE7" w:rsidRDefault="00CB49C5">
            <w:pPr>
              <w:jc w:val="center"/>
            </w:pPr>
            <w:r>
              <w:rPr>
                <w:color w:val="000000"/>
                <w:sz w:val="24"/>
                <w:szCs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549" w:type="dxa"/>
            <w:vAlign w:val="center"/>
          </w:tcPr>
          <w:p w:rsidR="008A6DE7" w:rsidRDefault="00CB49C5">
            <w:pPr>
              <w:jc w:val="center"/>
            </w:pPr>
            <w:r>
              <w:rPr>
                <w:color w:val="000000"/>
                <w:sz w:val="24"/>
                <w:szCs w:val="24"/>
              </w:rPr>
              <w:t>2017-06-10</w:t>
            </w:r>
          </w:p>
        </w:tc>
        <w:tc>
          <w:tcPr>
            <w:tcW w:w="1548" w:type="dxa"/>
            <w:vAlign w:val="center"/>
          </w:tcPr>
          <w:p w:rsidR="008A6DE7" w:rsidRDefault="00CB49C5">
            <w:pPr>
              <w:jc w:val="center"/>
            </w:pPr>
            <w:r>
              <w:rPr>
                <w:color w:val="000000"/>
                <w:sz w:val="24"/>
                <w:szCs w:val="24"/>
              </w:rPr>
              <w:t>-</w:t>
            </w:r>
          </w:p>
        </w:tc>
        <w:tc>
          <w:tcPr>
            <w:tcW w:w="1407" w:type="dxa"/>
            <w:vAlign w:val="center"/>
          </w:tcPr>
          <w:p w:rsidR="008A6DE7" w:rsidRDefault="00CB49C5">
            <w:pPr>
              <w:jc w:val="center"/>
            </w:pPr>
            <w:r>
              <w:rPr>
                <w:color w:val="000000"/>
                <w:sz w:val="24"/>
                <w:szCs w:val="24"/>
              </w:rPr>
              <w:t>11</w:t>
            </w:r>
            <w:r>
              <w:rPr>
                <w:color w:val="000000"/>
                <w:sz w:val="24"/>
                <w:szCs w:val="24"/>
              </w:rPr>
              <w:t>年</w:t>
            </w:r>
          </w:p>
        </w:tc>
        <w:tc>
          <w:tcPr>
            <w:tcW w:w="2673" w:type="dxa"/>
            <w:vAlign w:val="center"/>
          </w:tcPr>
          <w:p w:rsidR="008A6DE7" w:rsidRDefault="00CB49C5">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A6DE7" w:rsidRDefault="00CB49C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A6DE7" w:rsidRDefault="00CB49C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A6DE7" w:rsidRDefault="00CB49C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A6DE7" w:rsidRDefault="00CB49C5">
      <w:pPr>
        <w:spacing w:before="29" w:line="288" w:lineRule="auto"/>
        <w:ind w:firstLineChars="200" w:firstLine="480"/>
        <w:rPr>
          <w:color w:val="000000"/>
          <w:sz w:val="24"/>
          <w:szCs w:val="24"/>
        </w:rPr>
      </w:pPr>
      <w:r>
        <w:rPr>
          <w:color w:val="000000"/>
          <w:sz w:val="24"/>
          <w:szCs w:val="24"/>
        </w:rPr>
        <w:t>本报告期内，尽管经济在四月出现下行迹象，但经济失速风险尚未出现，金融去杠杆导致的资金面收紧令债市面临持续调整压力。四月伊始，市场情绪明显不佳，</w:t>
      </w:r>
      <w:r>
        <w:rPr>
          <w:color w:val="000000"/>
          <w:sz w:val="24"/>
          <w:szCs w:val="24"/>
        </w:rPr>
        <w:t>10</w:t>
      </w:r>
      <w:r>
        <w:rPr>
          <w:color w:val="000000"/>
          <w:sz w:val="24"/>
          <w:szCs w:val="24"/>
        </w:rPr>
        <w:t>年国债收益率高点一度接近</w:t>
      </w:r>
      <w:r>
        <w:rPr>
          <w:color w:val="000000"/>
          <w:sz w:val="24"/>
          <w:szCs w:val="24"/>
        </w:rPr>
        <w:t>3.70%</w:t>
      </w:r>
      <w:r>
        <w:rPr>
          <w:color w:val="000000"/>
          <w:sz w:val="24"/>
          <w:szCs w:val="24"/>
        </w:rPr>
        <w:t>，信用债收益率也明显上行，信用利差走扩。</w:t>
      </w:r>
    </w:p>
    <w:p w:rsidR="008A6DE7" w:rsidRDefault="00CB49C5">
      <w:pPr>
        <w:spacing w:before="29" w:line="288" w:lineRule="auto"/>
        <w:ind w:firstLineChars="200" w:firstLine="480"/>
        <w:rPr>
          <w:color w:val="000000"/>
          <w:sz w:val="24"/>
          <w:szCs w:val="24"/>
        </w:rPr>
      </w:pPr>
      <w:r>
        <w:rPr>
          <w:color w:val="000000"/>
          <w:sz w:val="24"/>
          <w:szCs w:val="24"/>
        </w:rPr>
        <w:t>在市场明显表达了对金融去杠杆的恐慌情绪后，监管层也开始通过多种方式稳定市场预期，</w:t>
      </w:r>
      <w:r>
        <w:rPr>
          <w:color w:val="000000"/>
          <w:sz w:val="24"/>
          <w:szCs w:val="24"/>
        </w:rPr>
        <w:t xml:space="preserve"> </w:t>
      </w:r>
      <w:r>
        <w:rPr>
          <w:color w:val="000000"/>
          <w:sz w:val="24"/>
          <w:szCs w:val="24"/>
        </w:rPr>
        <w:t>五月中旬起，央行通过加大</w:t>
      </w:r>
      <w:r>
        <w:rPr>
          <w:color w:val="000000"/>
          <w:sz w:val="24"/>
          <w:szCs w:val="24"/>
        </w:rPr>
        <w:t>MLF</w:t>
      </w:r>
      <w:r>
        <w:rPr>
          <w:color w:val="000000"/>
          <w:sz w:val="24"/>
          <w:szCs w:val="24"/>
        </w:rPr>
        <w:t>的投放力度，开展</w:t>
      </w:r>
      <w:r>
        <w:rPr>
          <w:color w:val="000000"/>
          <w:sz w:val="24"/>
          <w:szCs w:val="24"/>
        </w:rPr>
        <w:t>28</w:t>
      </w:r>
      <w:r>
        <w:rPr>
          <w:color w:val="000000"/>
          <w:sz w:val="24"/>
          <w:szCs w:val="24"/>
        </w:rPr>
        <w:t>天逆回购等举措，极大地平稳了资金面预期，债券收益率出现下行。</w:t>
      </w:r>
    </w:p>
    <w:p w:rsidR="008A6DE7" w:rsidRDefault="00CB49C5">
      <w:pPr>
        <w:spacing w:before="29" w:line="288" w:lineRule="auto"/>
        <w:ind w:firstLineChars="200" w:firstLine="480"/>
        <w:rPr>
          <w:color w:val="000000"/>
          <w:sz w:val="24"/>
          <w:szCs w:val="24"/>
        </w:rPr>
      </w:pPr>
      <w:r>
        <w:rPr>
          <w:color w:val="000000"/>
          <w:sz w:val="24"/>
          <w:szCs w:val="24"/>
        </w:rPr>
        <w:t>权益市场方面，抱团龙头股是贯穿上半年的投资主线，股债联动也较为明显。四月因资金面冲击及减持新规的影响，权益市场持续调整。五月中旬因央行态度缓和而反弹，低估值金融地产、新能源汽车及白马股走势较强。</w:t>
      </w:r>
    </w:p>
    <w:p w:rsidR="008A6DE7" w:rsidRDefault="00CB49C5">
      <w:pPr>
        <w:spacing w:before="29" w:line="288" w:lineRule="auto"/>
        <w:ind w:firstLineChars="200" w:firstLine="480"/>
        <w:rPr>
          <w:color w:val="000000"/>
          <w:sz w:val="24"/>
          <w:szCs w:val="24"/>
        </w:rPr>
      </w:pPr>
      <w:r>
        <w:rPr>
          <w:color w:val="000000"/>
          <w:sz w:val="24"/>
          <w:szCs w:val="24"/>
        </w:rPr>
        <w:t>本报告期内，考虑到本组合为原保本基金转型而来，因此在个券的选择上，增持了部分期限适中、且收益水平良好的中高等级信用品种，考虑到组合特点，组合对杠杆操作保持谨慎。在权益和转债配置方面，组合侧重配置低估值，有向上催化的标的，配置方向主要为消费板块。</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计划维持目前的债券久期配置，并将根据宏观及监管政策的变化择机拉长久期。权益方面，</w:t>
      </w:r>
      <w:r w:rsidRPr="00414345">
        <w:rPr>
          <w:color w:val="000000"/>
          <w:sz w:val="24"/>
          <w:szCs w:val="24"/>
        </w:rPr>
        <w:t>2017</w:t>
      </w:r>
      <w:r w:rsidRPr="00414345">
        <w:rPr>
          <w:color w:val="000000"/>
          <w:sz w:val="24"/>
          <w:szCs w:val="24"/>
        </w:rPr>
        <w:t>年下半年我们将重点关注低估值白马龙头及新能源汽车等行业表现。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1.272</w:t>
      </w:r>
      <w:r w:rsidRPr="00414345">
        <w:rPr>
          <w:color w:val="000000"/>
          <w:sz w:val="24"/>
          <w:szCs w:val="24"/>
        </w:rPr>
        <w:t>元，本报告期份额净值增长率为</w:t>
      </w:r>
      <w:r w:rsidRPr="00414345">
        <w:rPr>
          <w:color w:val="000000"/>
          <w:sz w:val="24"/>
          <w:szCs w:val="24"/>
        </w:rPr>
        <w:t>0.32%</w:t>
      </w:r>
      <w:r w:rsidRPr="00414345">
        <w:rPr>
          <w:color w:val="000000"/>
          <w:sz w:val="24"/>
          <w:szCs w:val="24"/>
        </w:rPr>
        <w:t>，同期业绩比较基准增长率为</w:t>
      </w:r>
      <w:r w:rsidRPr="00414345">
        <w:rPr>
          <w:color w:val="000000"/>
          <w:sz w:val="24"/>
          <w:szCs w:val="24"/>
        </w:rPr>
        <w:t>0.</w:t>
      </w:r>
      <w:r w:rsidR="00A65CAE" w:rsidRPr="00414345">
        <w:rPr>
          <w:color w:val="000000"/>
          <w:sz w:val="24"/>
          <w:szCs w:val="24"/>
        </w:rPr>
        <w:t>8</w:t>
      </w:r>
      <w:r w:rsidR="00A65CAE">
        <w:rPr>
          <w:color w:val="000000"/>
          <w:sz w:val="24"/>
          <w:szCs w:val="24"/>
        </w:rPr>
        <w:t>4</w:t>
      </w:r>
      <w:r w:rsidRPr="00414345">
        <w:rPr>
          <w:color w:val="000000"/>
          <w:sz w:val="24"/>
          <w:szCs w:val="24"/>
        </w:rPr>
        <w:t>%</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CE075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266,760.00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0.48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266,760.00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0.48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54,055,617.50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54,055,617.50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96.29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939,468.76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876,737.31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56,138,583.57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266,760.00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266,760.00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bl>
    <w:p w:rsidR="004D0E00" w:rsidRDefault="004D0E0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A6DE7">
        <w:trPr>
          <w:jc w:val="center"/>
        </w:trPr>
        <w:tc>
          <w:tcPr>
            <w:tcW w:w="855" w:type="dxa"/>
            <w:vAlign w:val="center"/>
          </w:tcPr>
          <w:p w:rsidR="008A6DE7" w:rsidRDefault="00CB49C5">
            <w:pPr>
              <w:jc w:val="center"/>
            </w:pPr>
            <w:r>
              <w:rPr>
                <w:color w:val="000000"/>
                <w:sz w:val="24"/>
                <w:szCs w:val="24"/>
              </w:rPr>
              <w:t>1</w:t>
            </w:r>
          </w:p>
        </w:tc>
        <w:tc>
          <w:tcPr>
            <w:tcW w:w="1334" w:type="dxa"/>
            <w:vAlign w:val="center"/>
          </w:tcPr>
          <w:p w:rsidR="008A6DE7" w:rsidRDefault="00CB49C5">
            <w:pPr>
              <w:jc w:val="center"/>
            </w:pPr>
            <w:r>
              <w:rPr>
                <w:color w:val="000000"/>
                <w:sz w:val="24"/>
                <w:szCs w:val="24"/>
              </w:rPr>
              <w:t>600054</w:t>
            </w:r>
          </w:p>
        </w:tc>
        <w:tc>
          <w:tcPr>
            <w:tcW w:w="1777" w:type="dxa"/>
            <w:vAlign w:val="center"/>
          </w:tcPr>
          <w:p w:rsidR="008A6DE7" w:rsidRDefault="00CB49C5">
            <w:pPr>
              <w:jc w:val="center"/>
            </w:pPr>
            <w:r>
              <w:rPr>
                <w:color w:val="000000"/>
                <w:sz w:val="24"/>
                <w:szCs w:val="24"/>
              </w:rPr>
              <w:t>黄山旅游</w:t>
            </w:r>
          </w:p>
        </w:tc>
        <w:tc>
          <w:tcPr>
            <w:tcW w:w="1334" w:type="dxa"/>
            <w:vAlign w:val="center"/>
          </w:tcPr>
          <w:p w:rsidR="008A6DE7" w:rsidRDefault="00CB49C5">
            <w:pPr>
              <w:jc w:val="right"/>
            </w:pPr>
            <w:r>
              <w:rPr>
                <w:color w:val="000000"/>
                <w:sz w:val="24"/>
                <w:szCs w:val="24"/>
              </w:rPr>
              <w:t>15,600</w:t>
            </w:r>
          </w:p>
        </w:tc>
        <w:tc>
          <w:tcPr>
            <w:tcW w:w="1924" w:type="dxa"/>
            <w:vAlign w:val="center"/>
          </w:tcPr>
          <w:p w:rsidR="008A6DE7" w:rsidRDefault="00CB49C5">
            <w:pPr>
              <w:jc w:val="right"/>
            </w:pPr>
            <w:r>
              <w:rPr>
                <w:color w:val="000000"/>
                <w:sz w:val="24"/>
                <w:szCs w:val="24"/>
              </w:rPr>
              <w:t>266,760.00</w:t>
            </w:r>
          </w:p>
        </w:tc>
        <w:tc>
          <w:tcPr>
            <w:tcW w:w="1644" w:type="dxa"/>
            <w:vAlign w:val="center"/>
          </w:tcPr>
          <w:p w:rsidR="008A6DE7" w:rsidRDefault="00CB49C5">
            <w:pPr>
              <w:jc w:val="right"/>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3,569,069.70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CE0750" w:rsidP="00C15CAC">
            <w:pPr>
              <w:spacing w:before="29" w:line="288" w:lineRule="auto"/>
              <w:ind w:left="17"/>
              <w:jc w:val="right"/>
              <w:rPr>
                <w:color w:val="000000"/>
                <w:sz w:val="24"/>
                <w:szCs w:val="24"/>
              </w:rPr>
            </w:pPr>
            <w:r w:rsidRPr="00CE0750">
              <w:rPr>
                <w:color w:val="000000"/>
                <w:sz w:val="24"/>
                <w:szCs w:val="24"/>
              </w:rPr>
              <w:t>4</w:t>
            </w:r>
            <w:r>
              <w:rPr>
                <w:rFonts w:hint="eastAsia"/>
                <w:color w:val="000000"/>
                <w:sz w:val="24"/>
                <w:szCs w:val="24"/>
              </w:rPr>
              <w:t>,</w:t>
            </w:r>
            <w:r w:rsidRPr="00CE0750">
              <w:rPr>
                <w:color w:val="000000"/>
                <w:sz w:val="24"/>
                <w:szCs w:val="24"/>
              </w:rPr>
              <w:t>921</w:t>
            </w:r>
            <w:r>
              <w:rPr>
                <w:rFonts w:hint="eastAsia"/>
                <w:color w:val="000000"/>
                <w:sz w:val="24"/>
                <w:szCs w:val="24"/>
              </w:rPr>
              <w:t>,</w:t>
            </w:r>
            <w:r w:rsidRPr="00CE0750">
              <w:rPr>
                <w:color w:val="000000"/>
                <w:sz w:val="24"/>
                <w:szCs w:val="24"/>
              </w:rPr>
              <w:t>000</w:t>
            </w:r>
            <w:r>
              <w:rPr>
                <w:rFonts w:hint="eastAsia"/>
                <w:color w:val="000000"/>
                <w:sz w:val="24"/>
                <w:szCs w:val="24"/>
              </w:rPr>
              <w:t>.00</w:t>
            </w:r>
          </w:p>
        </w:tc>
        <w:tc>
          <w:tcPr>
            <w:tcW w:w="1751" w:type="dxa"/>
            <w:vAlign w:val="center"/>
          </w:tcPr>
          <w:p w:rsidR="00AC592E" w:rsidRPr="00414345" w:rsidRDefault="00014A7D" w:rsidP="00C15CAC">
            <w:pPr>
              <w:spacing w:before="29" w:line="288" w:lineRule="auto"/>
              <w:ind w:left="17"/>
              <w:jc w:val="right"/>
              <w:rPr>
                <w:color w:val="000000"/>
                <w:sz w:val="24"/>
                <w:szCs w:val="24"/>
              </w:rPr>
            </w:pPr>
            <w:r>
              <w:rPr>
                <w:rFonts w:hint="eastAsia"/>
                <w:color w:val="000000"/>
                <w:sz w:val="24"/>
                <w:szCs w:val="24"/>
              </w:rPr>
              <w:t>9.3</w:t>
            </w:r>
            <w:r w:rsidR="00A735E4">
              <w:rPr>
                <w:color w:val="000000"/>
                <w:sz w:val="24"/>
                <w:szCs w:val="24"/>
              </w:rPr>
              <w:t>0</w:t>
            </w:r>
            <w:bookmarkStart w:id="0" w:name="_GoBack"/>
            <w:bookmarkEnd w:id="0"/>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CE0750" w:rsidP="00C15CAC">
            <w:pPr>
              <w:spacing w:before="29" w:line="288" w:lineRule="auto"/>
              <w:ind w:left="17"/>
              <w:jc w:val="right"/>
              <w:rPr>
                <w:color w:val="000000"/>
                <w:sz w:val="24"/>
                <w:szCs w:val="24"/>
              </w:rPr>
            </w:pPr>
            <w:r w:rsidRPr="00CE0750">
              <w:rPr>
                <w:color w:val="000000"/>
                <w:sz w:val="24"/>
                <w:szCs w:val="24"/>
              </w:rPr>
              <w:t>9</w:t>
            </w:r>
            <w:r>
              <w:rPr>
                <w:rFonts w:hint="eastAsia"/>
                <w:color w:val="000000"/>
                <w:sz w:val="24"/>
                <w:szCs w:val="24"/>
              </w:rPr>
              <w:t>,</w:t>
            </w:r>
            <w:r w:rsidRPr="00CE0750">
              <w:rPr>
                <w:color w:val="000000"/>
                <w:sz w:val="24"/>
                <w:szCs w:val="24"/>
              </w:rPr>
              <w:t>868</w:t>
            </w:r>
            <w:r>
              <w:rPr>
                <w:rFonts w:hint="eastAsia"/>
                <w:color w:val="000000"/>
                <w:sz w:val="24"/>
                <w:szCs w:val="24"/>
              </w:rPr>
              <w:t>,</w:t>
            </w:r>
            <w:r w:rsidRPr="00CE0750">
              <w:rPr>
                <w:color w:val="000000"/>
                <w:sz w:val="24"/>
                <w:szCs w:val="24"/>
              </w:rPr>
              <w:t>500</w:t>
            </w:r>
            <w:r w:rsidR="00AC592E" w:rsidRPr="00414345">
              <w:rPr>
                <w:color w:val="000000"/>
                <w:sz w:val="24"/>
                <w:szCs w:val="24"/>
              </w:rPr>
              <w:t>.00</w:t>
            </w:r>
          </w:p>
        </w:tc>
        <w:tc>
          <w:tcPr>
            <w:tcW w:w="1751" w:type="dxa"/>
            <w:vAlign w:val="center"/>
          </w:tcPr>
          <w:p w:rsidR="00AC592E" w:rsidRPr="00414345" w:rsidRDefault="00014A7D" w:rsidP="00C15CAC">
            <w:pPr>
              <w:spacing w:before="29" w:line="288" w:lineRule="auto"/>
              <w:ind w:left="17"/>
              <w:jc w:val="right"/>
              <w:rPr>
                <w:color w:val="000000"/>
                <w:sz w:val="24"/>
                <w:szCs w:val="24"/>
              </w:rPr>
            </w:pPr>
            <w:r>
              <w:rPr>
                <w:rFonts w:hint="eastAsia"/>
                <w:color w:val="000000"/>
                <w:sz w:val="24"/>
                <w:szCs w:val="24"/>
              </w:rPr>
              <w:t>18.6</w:t>
            </w:r>
            <w:r w:rsidR="00AC592E" w:rsidRPr="00414345">
              <w:rPr>
                <w:color w:val="000000"/>
                <w:sz w:val="24"/>
                <w:szCs w:val="24"/>
              </w:rPr>
              <w:t>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35,403,500.00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66.92</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293,547.80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0.55</w:t>
            </w:r>
          </w:p>
        </w:tc>
      </w:tr>
      <w:tr w:rsidR="00F323FF" w:rsidRPr="00414345" w:rsidTr="00014A7D">
        <w:trPr>
          <w:jc w:val="center"/>
        </w:trPr>
        <w:tc>
          <w:tcPr>
            <w:tcW w:w="828" w:type="dxa"/>
            <w:vAlign w:val="center"/>
          </w:tcPr>
          <w:p w:rsidR="00F323FF" w:rsidRPr="007A70C2" w:rsidRDefault="00F323FF" w:rsidP="00014A7D">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14A7D">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14A7D">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14A7D">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54,055,617.50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102.17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A6DE7">
        <w:trPr>
          <w:jc w:val="center"/>
        </w:trPr>
        <w:tc>
          <w:tcPr>
            <w:tcW w:w="850" w:type="dxa"/>
            <w:vAlign w:val="center"/>
          </w:tcPr>
          <w:p w:rsidR="008A6DE7" w:rsidRDefault="00CB49C5">
            <w:pPr>
              <w:jc w:val="center"/>
            </w:pPr>
            <w:r>
              <w:rPr>
                <w:color w:val="000000"/>
                <w:sz w:val="24"/>
                <w:szCs w:val="24"/>
              </w:rPr>
              <w:t>1</w:t>
            </w:r>
          </w:p>
        </w:tc>
        <w:tc>
          <w:tcPr>
            <w:tcW w:w="1475" w:type="dxa"/>
            <w:vAlign w:val="center"/>
          </w:tcPr>
          <w:p w:rsidR="008A6DE7" w:rsidRDefault="00CB49C5">
            <w:pPr>
              <w:jc w:val="center"/>
            </w:pPr>
            <w:r>
              <w:rPr>
                <w:color w:val="000000"/>
                <w:sz w:val="24"/>
                <w:szCs w:val="24"/>
              </w:rPr>
              <w:t>101461018</w:t>
            </w:r>
          </w:p>
        </w:tc>
        <w:tc>
          <w:tcPr>
            <w:tcW w:w="1769" w:type="dxa"/>
            <w:vAlign w:val="center"/>
          </w:tcPr>
          <w:p w:rsidR="008A6DE7" w:rsidRDefault="00CB49C5">
            <w:pPr>
              <w:jc w:val="center"/>
            </w:pPr>
            <w:r>
              <w:rPr>
                <w:color w:val="000000"/>
                <w:sz w:val="24"/>
                <w:szCs w:val="24"/>
              </w:rPr>
              <w:t>14</w:t>
            </w:r>
            <w:r>
              <w:rPr>
                <w:color w:val="000000"/>
                <w:sz w:val="24"/>
                <w:szCs w:val="24"/>
              </w:rPr>
              <w:t>株城发</w:t>
            </w:r>
            <w:r>
              <w:rPr>
                <w:color w:val="000000"/>
                <w:sz w:val="24"/>
                <w:szCs w:val="24"/>
              </w:rPr>
              <w:t>MTN001</w:t>
            </w:r>
          </w:p>
        </w:tc>
        <w:tc>
          <w:tcPr>
            <w:tcW w:w="1387" w:type="dxa"/>
            <w:vAlign w:val="center"/>
          </w:tcPr>
          <w:p w:rsidR="008A6DE7" w:rsidRDefault="00CB49C5">
            <w:pPr>
              <w:jc w:val="right"/>
            </w:pPr>
            <w:r>
              <w:rPr>
                <w:color w:val="000000"/>
                <w:sz w:val="24"/>
                <w:szCs w:val="24"/>
              </w:rPr>
              <w:t>50,000</w:t>
            </w:r>
          </w:p>
        </w:tc>
        <w:tc>
          <w:tcPr>
            <w:tcW w:w="2150" w:type="dxa"/>
            <w:vAlign w:val="center"/>
          </w:tcPr>
          <w:p w:rsidR="008A6DE7" w:rsidRDefault="00CB49C5">
            <w:pPr>
              <w:jc w:val="right"/>
            </w:pPr>
            <w:r>
              <w:rPr>
                <w:color w:val="000000"/>
                <w:sz w:val="24"/>
                <w:szCs w:val="24"/>
              </w:rPr>
              <w:t>5,178,500.00</w:t>
            </w:r>
          </w:p>
        </w:tc>
        <w:tc>
          <w:tcPr>
            <w:tcW w:w="1237" w:type="dxa"/>
            <w:vAlign w:val="center"/>
          </w:tcPr>
          <w:p w:rsidR="008A6DE7" w:rsidRDefault="00CB49C5">
            <w:pPr>
              <w:jc w:val="right"/>
            </w:pPr>
            <w:r>
              <w:rPr>
                <w:color w:val="000000"/>
                <w:sz w:val="24"/>
                <w:szCs w:val="24"/>
              </w:rPr>
              <w:t>9.79</w:t>
            </w:r>
          </w:p>
        </w:tc>
      </w:tr>
      <w:tr w:rsidR="008A6DE7">
        <w:trPr>
          <w:jc w:val="center"/>
        </w:trPr>
        <w:tc>
          <w:tcPr>
            <w:tcW w:w="850" w:type="dxa"/>
            <w:vAlign w:val="center"/>
          </w:tcPr>
          <w:p w:rsidR="008A6DE7" w:rsidRDefault="00CB49C5">
            <w:pPr>
              <w:jc w:val="center"/>
            </w:pPr>
            <w:r>
              <w:rPr>
                <w:color w:val="000000"/>
                <w:sz w:val="24"/>
                <w:szCs w:val="24"/>
              </w:rPr>
              <w:t>2</w:t>
            </w:r>
          </w:p>
        </w:tc>
        <w:tc>
          <w:tcPr>
            <w:tcW w:w="1475" w:type="dxa"/>
            <w:vAlign w:val="center"/>
          </w:tcPr>
          <w:p w:rsidR="008A6DE7" w:rsidRDefault="00CB49C5">
            <w:pPr>
              <w:jc w:val="center"/>
            </w:pPr>
            <w:r>
              <w:rPr>
                <w:color w:val="000000"/>
                <w:sz w:val="24"/>
                <w:szCs w:val="24"/>
              </w:rPr>
              <w:t>101554011</w:t>
            </w:r>
          </w:p>
        </w:tc>
        <w:tc>
          <w:tcPr>
            <w:tcW w:w="1769" w:type="dxa"/>
            <w:vAlign w:val="center"/>
          </w:tcPr>
          <w:p w:rsidR="008A6DE7" w:rsidRDefault="00CB49C5">
            <w:pPr>
              <w:jc w:val="center"/>
            </w:pPr>
            <w:r>
              <w:rPr>
                <w:color w:val="000000"/>
                <w:sz w:val="24"/>
                <w:szCs w:val="24"/>
              </w:rPr>
              <w:t>15</w:t>
            </w:r>
            <w:r>
              <w:rPr>
                <w:color w:val="000000"/>
                <w:sz w:val="24"/>
                <w:szCs w:val="24"/>
              </w:rPr>
              <w:t>淄博城运</w:t>
            </w:r>
            <w:r>
              <w:rPr>
                <w:color w:val="000000"/>
                <w:sz w:val="24"/>
                <w:szCs w:val="24"/>
              </w:rPr>
              <w:t>MTN001</w:t>
            </w:r>
          </w:p>
        </w:tc>
        <w:tc>
          <w:tcPr>
            <w:tcW w:w="1387" w:type="dxa"/>
            <w:vAlign w:val="center"/>
          </w:tcPr>
          <w:p w:rsidR="008A6DE7" w:rsidRDefault="00CB49C5">
            <w:pPr>
              <w:jc w:val="right"/>
            </w:pPr>
            <w:r>
              <w:rPr>
                <w:color w:val="000000"/>
                <w:sz w:val="24"/>
                <w:szCs w:val="24"/>
              </w:rPr>
              <w:t>50,000</w:t>
            </w:r>
          </w:p>
        </w:tc>
        <w:tc>
          <w:tcPr>
            <w:tcW w:w="2150" w:type="dxa"/>
            <w:vAlign w:val="center"/>
          </w:tcPr>
          <w:p w:rsidR="008A6DE7" w:rsidRDefault="00CB49C5">
            <w:pPr>
              <w:jc w:val="right"/>
            </w:pPr>
            <w:r>
              <w:rPr>
                <w:color w:val="000000"/>
                <w:sz w:val="24"/>
                <w:szCs w:val="24"/>
              </w:rPr>
              <w:t>5,132,000.00</w:t>
            </w:r>
          </w:p>
        </w:tc>
        <w:tc>
          <w:tcPr>
            <w:tcW w:w="1237" w:type="dxa"/>
            <w:vAlign w:val="center"/>
          </w:tcPr>
          <w:p w:rsidR="008A6DE7" w:rsidRDefault="00CB49C5">
            <w:pPr>
              <w:jc w:val="right"/>
            </w:pPr>
            <w:r>
              <w:rPr>
                <w:color w:val="000000"/>
                <w:sz w:val="24"/>
                <w:szCs w:val="24"/>
              </w:rPr>
              <w:t>9.70</w:t>
            </w:r>
          </w:p>
        </w:tc>
      </w:tr>
      <w:tr w:rsidR="008A6DE7">
        <w:trPr>
          <w:jc w:val="center"/>
        </w:trPr>
        <w:tc>
          <w:tcPr>
            <w:tcW w:w="850" w:type="dxa"/>
            <w:vAlign w:val="center"/>
          </w:tcPr>
          <w:p w:rsidR="008A6DE7" w:rsidRDefault="00CB49C5">
            <w:pPr>
              <w:jc w:val="center"/>
            </w:pPr>
            <w:r>
              <w:rPr>
                <w:color w:val="000000"/>
                <w:sz w:val="24"/>
                <w:szCs w:val="24"/>
              </w:rPr>
              <w:t>3</w:t>
            </w:r>
          </w:p>
        </w:tc>
        <w:tc>
          <w:tcPr>
            <w:tcW w:w="1475" w:type="dxa"/>
            <w:vAlign w:val="center"/>
          </w:tcPr>
          <w:p w:rsidR="008A6DE7" w:rsidRDefault="00CB49C5">
            <w:pPr>
              <w:jc w:val="center"/>
            </w:pPr>
            <w:r>
              <w:rPr>
                <w:color w:val="000000"/>
                <w:sz w:val="24"/>
                <w:szCs w:val="24"/>
              </w:rPr>
              <w:t>101354002</w:t>
            </w:r>
          </w:p>
        </w:tc>
        <w:tc>
          <w:tcPr>
            <w:tcW w:w="1769" w:type="dxa"/>
            <w:vAlign w:val="center"/>
          </w:tcPr>
          <w:p w:rsidR="008A6DE7" w:rsidRDefault="00CB49C5">
            <w:pPr>
              <w:jc w:val="center"/>
            </w:pPr>
            <w:r>
              <w:rPr>
                <w:color w:val="000000"/>
                <w:sz w:val="24"/>
                <w:szCs w:val="24"/>
              </w:rPr>
              <w:t>13</w:t>
            </w:r>
            <w:r>
              <w:rPr>
                <w:color w:val="000000"/>
                <w:sz w:val="24"/>
                <w:szCs w:val="24"/>
              </w:rPr>
              <w:t>桂机场</w:t>
            </w:r>
            <w:r>
              <w:rPr>
                <w:color w:val="000000"/>
                <w:sz w:val="24"/>
                <w:szCs w:val="24"/>
              </w:rPr>
              <w:t>MTN001</w:t>
            </w:r>
          </w:p>
        </w:tc>
        <w:tc>
          <w:tcPr>
            <w:tcW w:w="1387" w:type="dxa"/>
            <w:vAlign w:val="center"/>
          </w:tcPr>
          <w:p w:rsidR="008A6DE7" w:rsidRDefault="00CB49C5">
            <w:pPr>
              <w:jc w:val="right"/>
            </w:pPr>
            <w:r>
              <w:rPr>
                <w:color w:val="000000"/>
                <w:sz w:val="24"/>
                <w:szCs w:val="24"/>
              </w:rPr>
              <w:t>50,000</w:t>
            </w:r>
          </w:p>
        </w:tc>
        <w:tc>
          <w:tcPr>
            <w:tcW w:w="2150" w:type="dxa"/>
            <w:vAlign w:val="center"/>
          </w:tcPr>
          <w:p w:rsidR="008A6DE7" w:rsidRDefault="00CB49C5">
            <w:pPr>
              <w:jc w:val="right"/>
            </w:pPr>
            <w:r>
              <w:rPr>
                <w:color w:val="000000"/>
                <w:sz w:val="24"/>
                <w:szCs w:val="24"/>
              </w:rPr>
              <w:t>5,087,500.00</w:t>
            </w:r>
          </w:p>
        </w:tc>
        <w:tc>
          <w:tcPr>
            <w:tcW w:w="1237" w:type="dxa"/>
            <w:vAlign w:val="center"/>
          </w:tcPr>
          <w:p w:rsidR="008A6DE7" w:rsidRDefault="00CB49C5">
            <w:pPr>
              <w:jc w:val="right"/>
            </w:pPr>
            <w:r>
              <w:rPr>
                <w:color w:val="000000"/>
                <w:sz w:val="24"/>
                <w:szCs w:val="24"/>
              </w:rPr>
              <w:t>9.62</w:t>
            </w:r>
          </w:p>
        </w:tc>
      </w:tr>
      <w:tr w:rsidR="008A6DE7">
        <w:trPr>
          <w:jc w:val="center"/>
        </w:trPr>
        <w:tc>
          <w:tcPr>
            <w:tcW w:w="850" w:type="dxa"/>
            <w:vAlign w:val="center"/>
          </w:tcPr>
          <w:p w:rsidR="008A6DE7" w:rsidRDefault="00CB49C5">
            <w:pPr>
              <w:jc w:val="center"/>
            </w:pPr>
            <w:r>
              <w:rPr>
                <w:color w:val="000000"/>
                <w:sz w:val="24"/>
                <w:szCs w:val="24"/>
              </w:rPr>
              <w:t>4</w:t>
            </w:r>
          </w:p>
        </w:tc>
        <w:tc>
          <w:tcPr>
            <w:tcW w:w="1475" w:type="dxa"/>
            <w:vAlign w:val="center"/>
          </w:tcPr>
          <w:p w:rsidR="008A6DE7" w:rsidRDefault="00CB49C5">
            <w:pPr>
              <w:jc w:val="center"/>
            </w:pPr>
            <w:r>
              <w:rPr>
                <w:color w:val="000000"/>
                <w:sz w:val="24"/>
                <w:szCs w:val="24"/>
              </w:rPr>
              <w:t>101575001</w:t>
            </w:r>
          </w:p>
        </w:tc>
        <w:tc>
          <w:tcPr>
            <w:tcW w:w="1769" w:type="dxa"/>
            <w:vAlign w:val="center"/>
          </w:tcPr>
          <w:p w:rsidR="008A6DE7" w:rsidRDefault="00CB49C5">
            <w:pPr>
              <w:jc w:val="center"/>
            </w:pPr>
            <w:r>
              <w:rPr>
                <w:color w:val="000000"/>
                <w:sz w:val="24"/>
                <w:szCs w:val="24"/>
              </w:rPr>
              <w:t>15</w:t>
            </w:r>
            <w:r>
              <w:rPr>
                <w:color w:val="000000"/>
                <w:sz w:val="24"/>
                <w:szCs w:val="24"/>
              </w:rPr>
              <w:t>金融街</w:t>
            </w:r>
            <w:r>
              <w:rPr>
                <w:color w:val="000000"/>
                <w:sz w:val="24"/>
                <w:szCs w:val="24"/>
              </w:rPr>
              <w:t>MTN001</w:t>
            </w:r>
          </w:p>
        </w:tc>
        <w:tc>
          <w:tcPr>
            <w:tcW w:w="1387" w:type="dxa"/>
            <w:vAlign w:val="center"/>
          </w:tcPr>
          <w:p w:rsidR="008A6DE7" w:rsidRDefault="00CB49C5">
            <w:pPr>
              <w:jc w:val="right"/>
            </w:pPr>
            <w:r>
              <w:rPr>
                <w:color w:val="000000"/>
                <w:sz w:val="24"/>
                <w:szCs w:val="24"/>
              </w:rPr>
              <w:t>50,000</w:t>
            </w:r>
          </w:p>
        </w:tc>
        <w:tc>
          <w:tcPr>
            <w:tcW w:w="2150" w:type="dxa"/>
            <w:vAlign w:val="center"/>
          </w:tcPr>
          <w:p w:rsidR="008A6DE7" w:rsidRDefault="00CB49C5">
            <w:pPr>
              <w:jc w:val="right"/>
            </w:pPr>
            <w:r>
              <w:rPr>
                <w:color w:val="000000"/>
                <w:sz w:val="24"/>
                <w:szCs w:val="24"/>
              </w:rPr>
              <w:t>5,048,000.00</w:t>
            </w:r>
          </w:p>
        </w:tc>
        <w:tc>
          <w:tcPr>
            <w:tcW w:w="1237" w:type="dxa"/>
            <w:vAlign w:val="center"/>
          </w:tcPr>
          <w:p w:rsidR="008A6DE7" w:rsidRDefault="00CB49C5">
            <w:pPr>
              <w:jc w:val="right"/>
            </w:pPr>
            <w:r>
              <w:rPr>
                <w:color w:val="000000"/>
                <w:sz w:val="24"/>
                <w:szCs w:val="24"/>
              </w:rPr>
              <w:t>9.54</w:t>
            </w:r>
          </w:p>
        </w:tc>
      </w:tr>
      <w:tr w:rsidR="008A6DE7">
        <w:trPr>
          <w:jc w:val="center"/>
        </w:trPr>
        <w:tc>
          <w:tcPr>
            <w:tcW w:w="850" w:type="dxa"/>
            <w:vAlign w:val="center"/>
          </w:tcPr>
          <w:p w:rsidR="008A6DE7" w:rsidRDefault="00CB49C5">
            <w:pPr>
              <w:jc w:val="center"/>
            </w:pPr>
            <w:r>
              <w:rPr>
                <w:color w:val="000000"/>
                <w:sz w:val="24"/>
                <w:szCs w:val="24"/>
              </w:rPr>
              <w:t>5</w:t>
            </w:r>
          </w:p>
        </w:tc>
        <w:tc>
          <w:tcPr>
            <w:tcW w:w="1475" w:type="dxa"/>
            <w:vAlign w:val="center"/>
          </w:tcPr>
          <w:p w:rsidR="008A6DE7" w:rsidRDefault="00CB49C5">
            <w:pPr>
              <w:jc w:val="center"/>
            </w:pPr>
            <w:r>
              <w:rPr>
                <w:color w:val="000000"/>
                <w:sz w:val="24"/>
                <w:szCs w:val="24"/>
              </w:rPr>
              <w:t>101551028</w:t>
            </w:r>
          </w:p>
        </w:tc>
        <w:tc>
          <w:tcPr>
            <w:tcW w:w="1769" w:type="dxa"/>
            <w:vAlign w:val="center"/>
          </w:tcPr>
          <w:p w:rsidR="008A6DE7" w:rsidRDefault="00CB49C5">
            <w:pPr>
              <w:jc w:val="center"/>
            </w:pPr>
            <w:r>
              <w:rPr>
                <w:color w:val="000000"/>
                <w:sz w:val="24"/>
                <w:szCs w:val="24"/>
              </w:rPr>
              <w:t>15</w:t>
            </w:r>
            <w:r>
              <w:rPr>
                <w:color w:val="000000"/>
                <w:sz w:val="24"/>
                <w:szCs w:val="24"/>
              </w:rPr>
              <w:t>华侨城</w:t>
            </w:r>
            <w:r>
              <w:rPr>
                <w:color w:val="000000"/>
                <w:sz w:val="24"/>
                <w:szCs w:val="24"/>
              </w:rPr>
              <w:t>MTN001</w:t>
            </w:r>
          </w:p>
        </w:tc>
        <w:tc>
          <w:tcPr>
            <w:tcW w:w="1387" w:type="dxa"/>
            <w:vAlign w:val="center"/>
          </w:tcPr>
          <w:p w:rsidR="008A6DE7" w:rsidRDefault="00CB49C5">
            <w:pPr>
              <w:jc w:val="right"/>
            </w:pPr>
            <w:r>
              <w:rPr>
                <w:color w:val="000000"/>
                <w:sz w:val="24"/>
                <w:szCs w:val="24"/>
              </w:rPr>
              <w:t>50,000</w:t>
            </w:r>
          </w:p>
        </w:tc>
        <w:tc>
          <w:tcPr>
            <w:tcW w:w="2150" w:type="dxa"/>
            <w:vAlign w:val="center"/>
          </w:tcPr>
          <w:p w:rsidR="008A6DE7" w:rsidRDefault="00CB49C5">
            <w:pPr>
              <w:jc w:val="right"/>
            </w:pPr>
            <w:r>
              <w:rPr>
                <w:color w:val="000000"/>
                <w:sz w:val="24"/>
                <w:szCs w:val="24"/>
              </w:rPr>
              <w:t>5,034,000.00</w:t>
            </w:r>
          </w:p>
        </w:tc>
        <w:tc>
          <w:tcPr>
            <w:tcW w:w="1237" w:type="dxa"/>
            <w:vAlign w:val="center"/>
          </w:tcPr>
          <w:p w:rsidR="008A6DE7" w:rsidRDefault="00CB49C5">
            <w:pPr>
              <w:jc w:val="right"/>
            </w:pPr>
            <w:r>
              <w:rPr>
                <w:color w:val="000000"/>
                <w:sz w:val="24"/>
                <w:szCs w:val="24"/>
              </w:rPr>
              <w:t>9.51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16</w:t>
      </w:r>
      <w:r w:rsidRPr="00BE5388">
        <w:rPr>
          <w:bCs/>
          <w:color w:val="000000"/>
          <w:kern w:val="0"/>
          <w:sz w:val="24"/>
          <w:szCs w:val="24"/>
        </w:rPr>
        <w:t>华泰</w:t>
      </w:r>
      <w:r w:rsidRPr="00BE5388">
        <w:rPr>
          <w:bCs/>
          <w:color w:val="000000"/>
          <w:kern w:val="0"/>
          <w:sz w:val="24"/>
          <w:szCs w:val="24"/>
        </w:rPr>
        <w:t>G3</w:t>
      </w:r>
      <w:r w:rsidRPr="00BE5388">
        <w:rPr>
          <w:bCs/>
          <w:color w:val="000000"/>
          <w:kern w:val="0"/>
          <w:sz w:val="24"/>
          <w:szCs w:val="24"/>
        </w:rPr>
        <w:t>（证券代码：</w:t>
      </w:r>
      <w:r w:rsidRPr="00BE5388">
        <w:rPr>
          <w:bCs/>
          <w:color w:val="000000"/>
          <w:kern w:val="0"/>
          <w:sz w:val="24"/>
          <w:szCs w:val="24"/>
        </w:rPr>
        <w:t>136873</w:t>
      </w:r>
      <w:r w:rsidRPr="00BE5388">
        <w:rPr>
          <w:bCs/>
          <w:color w:val="000000"/>
          <w:kern w:val="0"/>
          <w:sz w:val="24"/>
          <w:szCs w:val="24"/>
        </w:rPr>
        <w:t>）外，未出现被监管部门立案调查，或在报告编制日前一年内受到公开谴责、处罚的情形。</w:t>
      </w:r>
    </w:p>
    <w:p w:rsidR="008A6DE7" w:rsidRDefault="00CB49C5">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16</w:t>
      </w:r>
      <w:r>
        <w:rPr>
          <w:bCs/>
          <w:color w:val="000000"/>
          <w:kern w:val="0"/>
          <w:sz w:val="24"/>
          <w:szCs w:val="24"/>
        </w:rPr>
        <w:t>华泰</w:t>
      </w:r>
      <w:r>
        <w:rPr>
          <w:bCs/>
          <w:color w:val="000000"/>
          <w:kern w:val="0"/>
          <w:sz w:val="24"/>
          <w:szCs w:val="24"/>
        </w:rPr>
        <w:t>G3</w:t>
      </w:r>
      <w:r>
        <w:rPr>
          <w:bCs/>
          <w:color w:val="000000"/>
          <w:kern w:val="0"/>
          <w:sz w:val="24"/>
          <w:szCs w:val="24"/>
        </w:rPr>
        <w:t>（证券代码：</w:t>
      </w:r>
      <w:r>
        <w:rPr>
          <w:bCs/>
          <w:color w:val="000000"/>
          <w:kern w:val="0"/>
          <w:sz w:val="24"/>
          <w:szCs w:val="24"/>
        </w:rPr>
        <w:t>136873</w:t>
      </w:r>
      <w:r>
        <w:rPr>
          <w:bCs/>
          <w:color w:val="000000"/>
          <w:kern w:val="0"/>
          <w:sz w:val="24"/>
          <w:szCs w:val="24"/>
        </w:rPr>
        <w:t>）的发行主体华泰证券于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29</w:t>
      </w:r>
      <w:r>
        <w:rPr>
          <w:bCs/>
          <w:color w:val="000000"/>
          <w:kern w:val="0"/>
          <w:sz w:val="24"/>
          <w:szCs w:val="24"/>
        </w:rPr>
        <w:t>日公告，公司因未按规定审查、了解客户真实身份违法违规行为于</w:t>
      </w:r>
      <w:r>
        <w:rPr>
          <w:bCs/>
          <w:color w:val="000000"/>
          <w:kern w:val="0"/>
          <w:sz w:val="24"/>
          <w:szCs w:val="24"/>
        </w:rPr>
        <w:t>2016</w:t>
      </w:r>
      <w:r>
        <w:rPr>
          <w:bCs/>
          <w:color w:val="000000"/>
          <w:kern w:val="0"/>
          <w:sz w:val="24"/>
          <w:szCs w:val="24"/>
        </w:rPr>
        <w:t>年</w:t>
      </w:r>
      <w:r>
        <w:rPr>
          <w:bCs/>
          <w:color w:val="000000"/>
          <w:kern w:val="0"/>
          <w:sz w:val="24"/>
          <w:szCs w:val="24"/>
        </w:rPr>
        <w:t>11</w:t>
      </w:r>
      <w:r>
        <w:rPr>
          <w:bCs/>
          <w:color w:val="000000"/>
          <w:kern w:val="0"/>
          <w:sz w:val="24"/>
          <w:szCs w:val="24"/>
        </w:rPr>
        <w:t>月</w:t>
      </w:r>
      <w:r>
        <w:rPr>
          <w:bCs/>
          <w:color w:val="000000"/>
          <w:kern w:val="0"/>
          <w:sz w:val="24"/>
          <w:szCs w:val="24"/>
        </w:rPr>
        <w:t>28</w:t>
      </w:r>
      <w:r>
        <w:rPr>
          <w:bCs/>
          <w:color w:val="000000"/>
          <w:kern w:val="0"/>
          <w:sz w:val="24"/>
          <w:szCs w:val="24"/>
        </w:rPr>
        <w:t>日收到中国证监会《行政处罚决定书》（</w:t>
      </w:r>
      <w:r>
        <w:rPr>
          <w:bCs/>
          <w:color w:val="000000"/>
          <w:kern w:val="0"/>
          <w:sz w:val="24"/>
          <w:szCs w:val="24"/>
        </w:rPr>
        <w:t>[2016]126</w:t>
      </w:r>
      <w:r>
        <w:rPr>
          <w:bCs/>
          <w:color w:val="000000"/>
          <w:kern w:val="0"/>
          <w:sz w:val="24"/>
          <w:szCs w:val="24"/>
        </w:rPr>
        <w:t>号）。据此，中国证监会决定对公司责令改正，给予警告，没收违法所得</w:t>
      </w:r>
      <w:r>
        <w:rPr>
          <w:bCs/>
          <w:color w:val="000000"/>
          <w:kern w:val="0"/>
          <w:sz w:val="24"/>
          <w:szCs w:val="24"/>
        </w:rPr>
        <w:t>18,235,275.00</w:t>
      </w:r>
      <w:r>
        <w:rPr>
          <w:bCs/>
          <w:color w:val="000000"/>
          <w:kern w:val="0"/>
          <w:sz w:val="24"/>
          <w:szCs w:val="24"/>
        </w:rPr>
        <w:t>元，并处以</w:t>
      </w:r>
      <w:r>
        <w:rPr>
          <w:bCs/>
          <w:color w:val="000000"/>
          <w:kern w:val="0"/>
          <w:sz w:val="24"/>
          <w:szCs w:val="24"/>
        </w:rPr>
        <w:t>54,705,825.00</w:t>
      </w:r>
      <w:r>
        <w:rPr>
          <w:bCs/>
          <w:color w:val="000000"/>
          <w:kern w:val="0"/>
          <w:sz w:val="24"/>
          <w:szCs w:val="24"/>
        </w:rPr>
        <w:t>元罚款。</w:t>
      </w:r>
    </w:p>
    <w:p w:rsidR="008A6DE7" w:rsidRDefault="00CB49C5">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6,295.84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33,770.01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836,651.48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19.98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876,737.31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43,507,163.14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90,934.06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2,009,779.49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41,588,317.71</w:t>
            </w:r>
          </w:p>
        </w:tc>
      </w:tr>
    </w:tbl>
    <w:p w:rsidR="008A6DE7" w:rsidRDefault="00CB49C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CE0750">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CE0750">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A6DE7" w:rsidRDefault="00CB49C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8A6DE7" w:rsidRDefault="00CB49C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8A6DE7" w:rsidRDefault="00CB49C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8A6DE7" w:rsidRDefault="00CB49C5">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8A6DE7" w:rsidRDefault="00CB49C5">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8A6DE7" w:rsidRDefault="00CB49C5">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8A6DE7" w:rsidRDefault="00CB49C5">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r>
        <w:rPr>
          <w:color w:val="000000"/>
          <w:sz w:val="24"/>
          <w:szCs w:val="24"/>
        </w:rPr>
        <w:t xml:space="preserve"> </w:t>
      </w:r>
    </w:p>
    <w:p w:rsidR="008A6DE7" w:rsidRDefault="00CB49C5">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8A6DE7" w:rsidRDefault="00CB49C5">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8A6DE7" w:rsidRDefault="00CB49C5">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8A6DE7" w:rsidRDefault="00CB49C5">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A6DE7" w:rsidRDefault="00CB49C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1D1" w:rsidRDefault="005A21D1" w:rsidP="00876D65">
      <w:r>
        <w:separator/>
      </w:r>
    </w:p>
  </w:endnote>
  <w:endnote w:type="continuationSeparator" w:id="0">
    <w:p w:rsidR="005A21D1" w:rsidRDefault="005A21D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7D" w:rsidRPr="001D0DB0" w:rsidRDefault="00014A7D"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35E4">
      <w:rPr>
        <w:noProof/>
        <w:kern w:val="0"/>
        <w:szCs w:val="21"/>
      </w:rPr>
      <w:t>10</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35E4">
      <w:rPr>
        <w:noProof/>
        <w:kern w:val="0"/>
        <w:szCs w:val="21"/>
      </w:rPr>
      <w:t>14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1D1" w:rsidRDefault="005A21D1" w:rsidP="00876D65">
      <w:r>
        <w:separator/>
      </w:r>
    </w:p>
  </w:footnote>
  <w:footnote w:type="continuationSeparator" w:id="0">
    <w:p w:rsidR="005A21D1" w:rsidRDefault="005A21D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A7D" w:rsidRPr="00CA574C" w:rsidRDefault="00014A7D"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1209"/>
    <w:rsid w:val="00014099"/>
    <w:rsid w:val="00014A7D"/>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05673"/>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F69D6"/>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21F0"/>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0E00"/>
    <w:rsid w:val="004D340C"/>
    <w:rsid w:val="004D495A"/>
    <w:rsid w:val="004D783D"/>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21D1"/>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A6DE7"/>
    <w:rsid w:val="008B2FDD"/>
    <w:rsid w:val="008B3C7E"/>
    <w:rsid w:val="008B4A75"/>
    <w:rsid w:val="008C75E7"/>
    <w:rsid w:val="008C7CA8"/>
    <w:rsid w:val="008C7FFA"/>
    <w:rsid w:val="008D09EC"/>
    <w:rsid w:val="008D7CBF"/>
    <w:rsid w:val="008E07EB"/>
    <w:rsid w:val="008E1D74"/>
    <w:rsid w:val="008E2DCB"/>
    <w:rsid w:val="008E326D"/>
    <w:rsid w:val="008E35F0"/>
    <w:rsid w:val="008E499E"/>
    <w:rsid w:val="008F3B64"/>
    <w:rsid w:val="008F5F67"/>
    <w:rsid w:val="008F60F2"/>
    <w:rsid w:val="0090217D"/>
    <w:rsid w:val="00905C5E"/>
    <w:rsid w:val="009078DC"/>
    <w:rsid w:val="00921735"/>
    <w:rsid w:val="00921AC7"/>
    <w:rsid w:val="00924582"/>
    <w:rsid w:val="00931291"/>
    <w:rsid w:val="0093367D"/>
    <w:rsid w:val="009349E6"/>
    <w:rsid w:val="00943134"/>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5CAE"/>
    <w:rsid w:val="00A669FC"/>
    <w:rsid w:val="00A66F42"/>
    <w:rsid w:val="00A735E4"/>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B49C5"/>
    <w:rsid w:val="00CD4E6D"/>
    <w:rsid w:val="00CD4F19"/>
    <w:rsid w:val="00CD5707"/>
    <w:rsid w:val="00CD7702"/>
    <w:rsid w:val="00CE0750"/>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97A75"/>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2360"/>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67655-72CB-46C8-8040-D34EA07C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 w:id="20298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68BB-FF4A-4AB3-BD3C-160041B97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2098</TotalTime>
  <Pages>14</Pages>
  <Words>1298</Words>
  <Characters>7399</Characters>
  <Application>Microsoft Office Word</Application>
  <DocSecurity>0</DocSecurity>
  <Lines>61</Lines>
  <Paragraphs>17</Paragraphs>
  <ScaleCrop>false</ScaleCrop>
  <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575</cp:revision>
  <dcterms:created xsi:type="dcterms:W3CDTF">2012-10-16T06:07:00Z</dcterms:created>
  <dcterms:modified xsi:type="dcterms:W3CDTF">2017-07-18T09:43:00Z</dcterms:modified>
</cp:coreProperties>
</file>