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2231B" w:rsidRDefault="00FC303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2231B" w:rsidRDefault="00FC303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2231B" w:rsidRDefault="00FC303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2231B" w:rsidRDefault="00FC303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2231B" w:rsidRDefault="00FC303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503,920,576.39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53E43" w:rsidRPr="00414345" w:rsidTr="00253E4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53E43" w:rsidRPr="00414345" w:rsidTr="00253E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-22,135,845.80</w:t>
            </w:r>
          </w:p>
        </w:tc>
      </w:tr>
      <w:tr w:rsidR="00253E43" w:rsidRPr="00414345" w:rsidTr="00253E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-7,405,390.85</w:t>
            </w:r>
          </w:p>
        </w:tc>
      </w:tr>
      <w:tr w:rsidR="00253E43" w:rsidRPr="00414345" w:rsidTr="00253E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-0.0152</w:t>
            </w:r>
          </w:p>
        </w:tc>
      </w:tr>
      <w:tr w:rsidR="00253E43" w:rsidRPr="00414345" w:rsidTr="00253E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822,913,435.51</w:t>
            </w:r>
          </w:p>
        </w:tc>
      </w:tr>
      <w:tr w:rsidR="00253E43" w:rsidRPr="00414345" w:rsidTr="00253E4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1.633</w:t>
            </w:r>
          </w:p>
        </w:tc>
      </w:tr>
    </w:tbl>
    <w:p w:rsidR="0062231B" w:rsidRDefault="00FC30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2231B">
        <w:trPr>
          <w:jc w:val="center"/>
        </w:trPr>
        <w:tc>
          <w:tcPr>
            <w:tcW w:w="1701" w:type="dxa"/>
            <w:vAlign w:val="center"/>
          </w:tcPr>
          <w:p w:rsidR="0062231B" w:rsidRDefault="00FC3037">
            <w:pPr>
              <w:jc w:val="left"/>
            </w:pPr>
            <w:r>
              <w:rPr>
                <w:color w:val="000000"/>
                <w:sz w:val="24"/>
                <w:szCs w:val="24"/>
              </w:rPr>
              <w:t>过去三个月</w:t>
            </w:r>
          </w:p>
        </w:tc>
        <w:tc>
          <w:tcPr>
            <w:tcW w:w="1045" w:type="dxa"/>
            <w:vAlign w:val="center"/>
          </w:tcPr>
          <w:p w:rsidR="0062231B" w:rsidRDefault="00FC3037">
            <w:pPr>
              <w:jc w:val="center"/>
            </w:pPr>
            <w:r>
              <w:rPr>
                <w:color w:val="000000"/>
                <w:sz w:val="24"/>
                <w:szCs w:val="24"/>
              </w:rPr>
              <w:t>-0.85%</w:t>
            </w:r>
          </w:p>
        </w:tc>
        <w:tc>
          <w:tcPr>
            <w:tcW w:w="1344" w:type="dxa"/>
            <w:vAlign w:val="center"/>
          </w:tcPr>
          <w:p w:rsidR="0062231B" w:rsidRDefault="00FC3037">
            <w:pPr>
              <w:jc w:val="center"/>
            </w:pPr>
            <w:r>
              <w:rPr>
                <w:color w:val="000000"/>
                <w:sz w:val="24"/>
                <w:szCs w:val="24"/>
              </w:rPr>
              <w:t>0.77%</w:t>
            </w:r>
          </w:p>
        </w:tc>
        <w:tc>
          <w:tcPr>
            <w:tcW w:w="1194" w:type="dxa"/>
            <w:vAlign w:val="center"/>
          </w:tcPr>
          <w:p w:rsidR="0062231B" w:rsidRDefault="00FC3037">
            <w:pPr>
              <w:jc w:val="center"/>
            </w:pPr>
            <w:r>
              <w:rPr>
                <w:color w:val="000000"/>
                <w:sz w:val="24"/>
                <w:szCs w:val="24"/>
              </w:rPr>
              <w:t>4.63%</w:t>
            </w:r>
          </w:p>
        </w:tc>
        <w:tc>
          <w:tcPr>
            <w:tcW w:w="1492" w:type="dxa"/>
            <w:vAlign w:val="center"/>
          </w:tcPr>
          <w:p w:rsidR="0062231B" w:rsidRDefault="00FC3037">
            <w:pPr>
              <w:jc w:val="center"/>
            </w:pPr>
            <w:r>
              <w:rPr>
                <w:color w:val="000000"/>
                <w:sz w:val="24"/>
                <w:szCs w:val="24"/>
              </w:rPr>
              <w:t>0.47%</w:t>
            </w:r>
          </w:p>
        </w:tc>
        <w:tc>
          <w:tcPr>
            <w:tcW w:w="1194" w:type="dxa"/>
            <w:vAlign w:val="center"/>
          </w:tcPr>
          <w:p w:rsidR="0062231B" w:rsidRDefault="00FC3037">
            <w:pPr>
              <w:jc w:val="center"/>
            </w:pPr>
            <w:r>
              <w:rPr>
                <w:color w:val="000000"/>
                <w:sz w:val="24"/>
                <w:szCs w:val="24"/>
              </w:rPr>
              <w:t>-5.48%</w:t>
            </w:r>
          </w:p>
        </w:tc>
        <w:tc>
          <w:tcPr>
            <w:tcW w:w="898" w:type="dxa"/>
            <w:vAlign w:val="center"/>
          </w:tcPr>
          <w:p w:rsidR="0062231B" w:rsidRDefault="00FC3037">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2231B">
        <w:trPr>
          <w:jc w:val="center"/>
        </w:trPr>
        <w:tc>
          <w:tcPr>
            <w:tcW w:w="846" w:type="dxa"/>
            <w:vAlign w:val="center"/>
          </w:tcPr>
          <w:p w:rsidR="0062231B" w:rsidRDefault="00FC3037">
            <w:pPr>
              <w:jc w:val="center"/>
            </w:pPr>
            <w:r>
              <w:rPr>
                <w:color w:val="000000"/>
                <w:sz w:val="24"/>
                <w:szCs w:val="24"/>
              </w:rPr>
              <w:t>何帅</w:t>
            </w:r>
          </w:p>
        </w:tc>
        <w:tc>
          <w:tcPr>
            <w:tcW w:w="845" w:type="dxa"/>
            <w:vAlign w:val="center"/>
          </w:tcPr>
          <w:p w:rsidR="0062231B" w:rsidRDefault="00FC3037">
            <w:pPr>
              <w:jc w:val="center"/>
            </w:pPr>
            <w:r>
              <w:rPr>
                <w:color w:val="000000"/>
                <w:sz w:val="24"/>
                <w:szCs w:val="24"/>
              </w:rPr>
              <w:t>交银优势行业混合、交银阿尔法核心混合的基金经理</w:t>
            </w:r>
          </w:p>
        </w:tc>
        <w:tc>
          <w:tcPr>
            <w:tcW w:w="1549" w:type="dxa"/>
            <w:vAlign w:val="center"/>
          </w:tcPr>
          <w:p w:rsidR="0062231B" w:rsidRDefault="00FC3037">
            <w:pPr>
              <w:jc w:val="center"/>
            </w:pPr>
            <w:r>
              <w:rPr>
                <w:color w:val="000000"/>
                <w:sz w:val="24"/>
                <w:szCs w:val="24"/>
              </w:rPr>
              <w:t>2015-09-16</w:t>
            </w:r>
          </w:p>
        </w:tc>
        <w:tc>
          <w:tcPr>
            <w:tcW w:w="1548" w:type="dxa"/>
            <w:vAlign w:val="center"/>
          </w:tcPr>
          <w:p w:rsidR="0062231B" w:rsidRDefault="00FC3037">
            <w:pPr>
              <w:jc w:val="center"/>
            </w:pPr>
            <w:r>
              <w:rPr>
                <w:color w:val="000000"/>
                <w:sz w:val="24"/>
                <w:szCs w:val="24"/>
              </w:rPr>
              <w:t>-</w:t>
            </w:r>
          </w:p>
        </w:tc>
        <w:tc>
          <w:tcPr>
            <w:tcW w:w="1407" w:type="dxa"/>
            <w:vAlign w:val="center"/>
          </w:tcPr>
          <w:p w:rsidR="0062231B" w:rsidRDefault="00FC3037">
            <w:pPr>
              <w:jc w:val="center"/>
            </w:pPr>
            <w:r>
              <w:rPr>
                <w:color w:val="000000"/>
                <w:sz w:val="24"/>
                <w:szCs w:val="24"/>
              </w:rPr>
              <w:t>7</w:t>
            </w:r>
            <w:r>
              <w:rPr>
                <w:color w:val="000000"/>
                <w:sz w:val="24"/>
                <w:szCs w:val="24"/>
              </w:rPr>
              <w:t>年</w:t>
            </w:r>
          </w:p>
        </w:tc>
        <w:tc>
          <w:tcPr>
            <w:tcW w:w="2673" w:type="dxa"/>
            <w:vAlign w:val="center"/>
          </w:tcPr>
          <w:p w:rsidR="0062231B" w:rsidRDefault="00FC3037">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2231B" w:rsidRDefault="00FC303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2231B" w:rsidRDefault="00FC303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2231B" w:rsidRDefault="00FC303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2231B" w:rsidRDefault="00FC3037">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2231B" w:rsidRDefault="00FC3037">
      <w:pPr>
        <w:spacing w:before="29" w:line="288" w:lineRule="auto"/>
        <w:ind w:firstLineChars="200" w:firstLine="480"/>
        <w:rPr>
          <w:color w:val="000000"/>
          <w:sz w:val="24"/>
          <w:szCs w:val="24"/>
        </w:rPr>
      </w:pPr>
      <w:r>
        <w:rPr>
          <w:color w:val="000000"/>
          <w:sz w:val="24"/>
          <w:szCs w:val="24"/>
        </w:rPr>
        <w:t>2017</w:t>
      </w:r>
      <w:r>
        <w:rPr>
          <w:color w:val="000000"/>
          <w:sz w:val="24"/>
          <w:szCs w:val="24"/>
        </w:rPr>
        <w:t>年二季度</w:t>
      </w:r>
      <w:r>
        <w:rPr>
          <w:color w:val="000000"/>
          <w:sz w:val="24"/>
          <w:szCs w:val="24"/>
        </w:rPr>
        <w:t>A</w:t>
      </w:r>
      <w:r>
        <w:rPr>
          <w:color w:val="000000"/>
          <w:sz w:val="24"/>
          <w:szCs w:val="24"/>
        </w:rPr>
        <w:t>股市场分化较为明显，上证指数下跌</w:t>
      </w:r>
      <w:r>
        <w:rPr>
          <w:color w:val="000000"/>
          <w:sz w:val="24"/>
          <w:szCs w:val="24"/>
        </w:rPr>
        <w:t>0.9%</w:t>
      </w:r>
      <w:r>
        <w:rPr>
          <w:color w:val="000000"/>
          <w:sz w:val="24"/>
          <w:szCs w:val="24"/>
        </w:rPr>
        <w:t>，创业板指数下跌</w:t>
      </w:r>
      <w:r>
        <w:rPr>
          <w:color w:val="000000"/>
          <w:sz w:val="24"/>
          <w:szCs w:val="24"/>
        </w:rPr>
        <w:t>4.7%</w:t>
      </w:r>
      <w:r>
        <w:rPr>
          <w:color w:val="000000"/>
          <w:sz w:val="24"/>
          <w:szCs w:val="24"/>
        </w:rPr>
        <w:t>。其中家电、白酒等白马蓝筹上涨明显，而中小板块等高估值成长股则跌幅明显。</w:t>
      </w:r>
    </w:p>
    <w:p w:rsidR="0062231B" w:rsidRDefault="00FC3037">
      <w:pPr>
        <w:spacing w:before="29" w:line="288" w:lineRule="auto"/>
        <w:ind w:firstLineChars="200" w:firstLine="480"/>
        <w:rPr>
          <w:color w:val="000000"/>
          <w:sz w:val="24"/>
          <w:szCs w:val="24"/>
        </w:rPr>
      </w:pPr>
      <w:r>
        <w:rPr>
          <w:color w:val="000000"/>
          <w:sz w:val="24"/>
          <w:szCs w:val="24"/>
        </w:rPr>
        <w:t>本基金在二季度未获得明显超额收益，主要原因是蓝筹类个股配置较少，仍以成长</w:t>
      </w:r>
      <w:r>
        <w:rPr>
          <w:color w:val="000000"/>
          <w:sz w:val="24"/>
          <w:szCs w:val="24"/>
        </w:rPr>
        <w:lastRenderedPageBreak/>
        <w:t>股为主。</w:t>
      </w:r>
    </w:p>
    <w:p w:rsidR="0062231B" w:rsidRDefault="00FC3037">
      <w:pPr>
        <w:spacing w:before="29" w:line="288" w:lineRule="auto"/>
        <w:ind w:firstLineChars="200" w:firstLine="480"/>
        <w:rPr>
          <w:color w:val="000000"/>
          <w:sz w:val="24"/>
          <w:szCs w:val="24"/>
        </w:rPr>
      </w:pPr>
      <w:r>
        <w:rPr>
          <w:color w:val="000000"/>
          <w:sz w:val="24"/>
          <w:szCs w:val="24"/>
        </w:rPr>
        <w:t>经济增速有所波动，经济韧性可能较强。在货币中性，特别是金融杠杆被政策控制的环境下，市场流动性边际趋紧，市场大幅上涨较难。而同时市场存量流动性仍充裕，并且大量优质成长股估值处于较合理甚至低估状态，预计市场大的下跌风险不大。市场整体预计震荡走势概率较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选择可持续成长的行业及个股，一直是本基金主要的选股方式。选股方向是尽量减少对宏观经济的依赖以及受市场风格的判断影响。在新股发行加速及金融去杠杆的背景下，投资则更应该返朴归真，就是通过公司业绩增长的驱动，力求获得市值的上升。所以在个股选择上，会更注重自下而上，持仓个股之间并无太多板块关联，而完全基于我们的能力圈，挖掘并持有深度研究过的，对公司今后几年持续的成长性及竞争力有信心的公司，并在合理的估值体系下进行投资，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1.633</w:t>
      </w:r>
      <w:r w:rsidRPr="00414345">
        <w:rPr>
          <w:color w:val="000000"/>
          <w:sz w:val="24"/>
          <w:szCs w:val="24"/>
        </w:rPr>
        <w:t>元，本报告期份额净值增长率为</w:t>
      </w:r>
      <w:r w:rsidRPr="00414345">
        <w:rPr>
          <w:color w:val="000000"/>
          <w:sz w:val="24"/>
          <w:szCs w:val="24"/>
        </w:rPr>
        <w:t>-0.85%</w:t>
      </w:r>
      <w:r w:rsidRPr="00414345">
        <w:rPr>
          <w:color w:val="000000"/>
          <w:sz w:val="24"/>
          <w:szCs w:val="24"/>
        </w:rPr>
        <w:t>，同期业绩比较基准增长率为</w:t>
      </w:r>
      <w:r w:rsidRPr="00414345">
        <w:rPr>
          <w:color w:val="000000"/>
          <w:sz w:val="24"/>
          <w:szCs w:val="24"/>
        </w:rPr>
        <w:t>4.63%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657,929,490.01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657,929,490.01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55,687.10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55,687.10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160,862,860.18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9,897,917.50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828,745,954.79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E955AC" w:rsidRDefault="00E955AC" w:rsidP="00E955AC">
      <w:pPr>
        <w:rPr>
          <w:b/>
          <w:bCs/>
          <w:sz w:val="24"/>
          <w:szCs w:val="24"/>
        </w:rPr>
      </w:pPr>
      <w:r>
        <w:rPr>
          <w:b/>
          <w:bCs/>
          <w:color w:val="000000"/>
          <w:sz w:val="24"/>
          <w:szCs w:val="24"/>
        </w:rPr>
        <w:t>5.2.1</w:t>
      </w:r>
      <w:r>
        <w:rPr>
          <w:rFonts w:ascii="宋体" w:hAnsi="宋体" w:hint="eastAsia"/>
          <w:b/>
          <w:bCs/>
          <w:color w:val="000000"/>
          <w:sz w:val="24"/>
          <w:szCs w:val="24"/>
        </w:rPr>
        <w:t>报告期末按行业分类的境内股票投资组合</w:t>
      </w:r>
    </w:p>
    <w:tbl>
      <w:tblPr>
        <w:tblW w:w="0" w:type="dxa"/>
        <w:jc w:val="center"/>
        <w:tblCellMar>
          <w:left w:w="0" w:type="dxa"/>
          <w:right w:w="0" w:type="dxa"/>
        </w:tblCellMar>
        <w:tblLook w:val="04A0" w:firstRow="1" w:lastRow="0" w:firstColumn="1" w:lastColumn="0" w:noHBand="0" w:noVBand="1"/>
      </w:tblPr>
      <w:tblGrid>
        <w:gridCol w:w="845"/>
        <w:gridCol w:w="3544"/>
        <w:gridCol w:w="2841"/>
        <w:gridCol w:w="1638"/>
      </w:tblGrid>
      <w:tr w:rsidR="00E955AC" w:rsidTr="00473CAD">
        <w:trPr>
          <w:trHeight w:val="390"/>
          <w:jc w:val="center"/>
        </w:trPr>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napToGrid w:val="0"/>
              <w:spacing w:before="29" w:line="288" w:lineRule="auto"/>
              <w:jc w:val="center"/>
              <w:rPr>
                <w:rFonts w:ascii="Calibri" w:hAnsi="Calibri" w:cs="宋体"/>
                <w:sz w:val="24"/>
                <w:szCs w:val="24"/>
              </w:rPr>
            </w:pPr>
            <w:r>
              <w:rPr>
                <w:rFonts w:ascii="宋体" w:hAnsi="宋体" w:hint="eastAsia"/>
                <w:sz w:val="24"/>
                <w:szCs w:val="24"/>
              </w:rPr>
              <w:t>代码</w:t>
            </w:r>
          </w:p>
        </w:tc>
        <w:tc>
          <w:tcPr>
            <w:tcW w:w="3544" w:type="dxa"/>
            <w:tcBorders>
              <w:top w:val="single" w:sz="8" w:space="0" w:color="000000"/>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rFonts w:ascii="宋体" w:hAnsi="宋体" w:hint="eastAsia"/>
                <w:sz w:val="24"/>
                <w:szCs w:val="24"/>
              </w:rPr>
              <w:t>行业类别</w:t>
            </w:r>
          </w:p>
        </w:tc>
        <w:tc>
          <w:tcPr>
            <w:tcW w:w="28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rFonts w:ascii="宋体" w:hAnsi="宋体" w:hint="eastAsia"/>
                <w:sz w:val="24"/>
                <w:szCs w:val="24"/>
              </w:rPr>
              <w:t>公允价值（元）</w:t>
            </w:r>
          </w:p>
        </w:tc>
        <w:tc>
          <w:tcPr>
            <w:tcW w:w="1638"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rFonts w:ascii="宋体" w:hAnsi="宋体" w:hint="eastAsia"/>
                <w:sz w:val="24"/>
                <w:szCs w:val="24"/>
              </w:rPr>
              <w:t>占基金资产净值比例（％）</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A</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农、林、牧、渔业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autoSpaceDE w:val="0"/>
              <w:autoSpaceDN w:val="0"/>
              <w:spacing w:before="29" w:line="288" w:lineRule="auto"/>
              <w:ind w:left="15"/>
              <w:jc w:val="right"/>
              <w:rPr>
                <w:sz w:val="24"/>
                <w:szCs w:val="24"/>
              </w:rPr>
            </w:pPr>
            <w:r>
              <w:rPr>
                <w:sz w:val="24"/>
                <w:szCs w:val="24"/>
              </w:rPr>
              <w:t>14,647,233.84</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autoSpaceDE w:val="0"/>
              <w:autoSpaceDN w:val="0"/>
              <w:spacing w:before="29" w:line="288" w:lineRule="auto"/>
              <w:ind w:left="15"/>
              <w:jc w:val="right"/>
              <w:rPr>
                <w:sz w:val="24"/>
                <w:szCs w:val="24"/>
              </w:rPr>
            </w:pPr>
            <w:r>
              <w:rPr>
                <w:sz w:val="24"/>
                <w:szCs w:val="24"/>
              </w:rPr>
              <w:t>1.78</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B</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采矿业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1,033,890.00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0.13</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C</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制造业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252,236,281.08</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30.65</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D</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电力、热力、燃气及水生产和供应业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8,563,282.00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1.04</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E</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建筑业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38,778.24</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0.00</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F</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批发和零售业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14,751,004.00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1.79</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G</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交通运输、仓储和邮政业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912,978.00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0.11</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H</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sz w:val="24"/>
                <w:szCs w:val="24"/>
              </w:rPr>
            </w:pPr>
            <w:r>
              <w:rPr>
                <w:rFonts w:ascii="宋体" w:hAnsi="宋体" w:hint="eastAsia"/>
                <w:sz w:val="24"/>
                <w:szCs w:val="24"/>
              </w:rPr>
              <w:t>住宿和餐饮业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sz w:val="24"/>
                <w:szCs w:val="24"/>
              </w:rPr>
            </w:pPr>
            <w:r>
              <w:rPr>
                <w:sz w:val="24"/>
                <w:szCs w:val="24"/>
              </w:rPr>
              <w:t>I</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rPr>
                <w:sz w:val="24"/>
                <w:szCs w:val="24"/>
              </w:rPr>
            </w:pPr>
            <w:r>
              <w:rPr>
                <w:rFonts w:ascii="宋体" w:hAnsi="宋体" w:hint="eastAsia"/>
                <w:sz w:val="24"/>
                <w:szCs w:val="24"/>
              </w:rPr>
              <w:t>信息传输、软件和信息技术服务业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97,720,562.80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11.87</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J</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金融业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66,172,313.87</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8.04</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K</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房地产业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784,640.00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0.10</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L</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租赁和商务服务业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26,873,213.18</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3.27</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M</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科学研究和技术服务业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N</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水利、环境和公共设施管理业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65,356,614.70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7.94</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O</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居民服务、修理和其他服务业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P</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教育</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Q</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卫生和社会工作</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27,133,862.80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3.30</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R</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文化、体育和娱乐业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81,602,655.50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9.92</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napToGrid w:val="0"/>
              <w:spacing w:before="29" w:line="288" w:lineRule="auto"/>
              <w:jc w:val="center"/>
              <w:rPr>
                <w:color w:val="000000"/>
                <w:sz w:val="24"/>
                <w:szCs w:val="24"/>
              </w:rPr>
            </w:pPr>
            <w:r>
              <w:rPr>
                <w:color w:val="000000"/>
                <w:sz w:val="24"/>
                <w:szCs w:val="24"/>
              </w:rPr>
              <w:t>S</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综合</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102,180.00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0.01</w:t>
            </w:r>
          </w:p>
        </w:tc>
      </w:tr>
      <w:tr w:rsidR="00E955AC" w:rsidTr="00473CAD">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E955AC" w:rsidRDefault="00E955AC" w:rsidP="00473CAD">
            <w:pPr>
              <w:snapToGrid w:val="0"/>
              <w:spacing w:before="29" w:line="288" w:lineRule="auto"/>
              <w:jc w:val="center"/>
              <w:rPr>
                <w:color w:val="000000"/>
                <w:sz w:val="24"/>
                <w:szCs w:val="24"/>
              </w:rPr>
            </w:pP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E955AC" w:rsidRDefault="00E955AC" w:rsidP="00473CAD">
            <w:pPr>
              <w:snapToGrid w:val="0"/>
              <w:spacing w:before="29" w:line="288" w:lineRule="auto"/>
              <w:jc w:val="left"/>
              <w:rPr>
                <w:color w:val="000000"/>
                <w:sz w:val="24"/>
                <w:szCs w:val="24"/>
              </w:rPr>
            </w:pPr>
            <w:r>
              <w:rPr>
                <w:rFonts w:ascii="宋体" w:hAnsi="宋体" w:hint="eastAsia"/>
                <w:color w:val="000000"/>
                <w:sz w:val="24"/>
                <w:szCs w:val="24"/>
              </w:rPr>
              <w:t>合计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657,929,490.01</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E955AC" w:rsidRDefault="00E955AC" w:rsidP="00473CAD">
            <w:pPr>
              <w:spacing w:before="29" w:line="288" w:lineRule="auto"/>
              <w:jc w:val="right"/>
              <w:rPr>
                <w:sz w:val="24"/>
                <w:szCs w:val="24"/>
              </w:rPr>
            </w:pPr>
            <w:r>
              <w:rPr>
                <w:sz w:val="24"/>
                <w:szCs w:val="24"/>
              </w:rPr>
              <w:t>79.95</w:t>
            </w:r>
          </w:p>
        </w:tc>
      </w:tr>
    </w:tbl>
    <w:p w:rsidR="00E955AC" w:rsidRPr="00E955AC" w:rsidRDefault="00E955AC" w:rsidP="00F51C4E">
      <w:pPr>
        <w:jc w:val="left"/>
        <w:rPr>
          <w:rFonts w:asciiTheme="minorEastAsia" w:eastAsiaTheme="minorEastAsia" w:hAnsiTheme="minorEastAsia" w:hint="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r w:rsidRPr="00E417BC">
        <w:rPr>
          <w:rFonts w:eastAsiaTheme="minorEastAsia"/>
          <w:b/>
          <w:bCs/>
          <w:color w:val="000000" w:themeColor="text1"/>
          <w:kern w:val="0"/>
          <w:sz w:val="24"/>
        </w:rPr>
        <w:t>5.2.2</w:t>
      </w:r>
      <w:bookmarkEnd w:id="0"/>
      <w:r w:rsidRPr="008A409E">
        <w:rPr>
          <w:rFonts w:asciiTheme="minorEastAsia" w:eastAsiaTheme="minorEastAsia" w:hAnsiTheme="minorEastAsia" w:hint="eastAsia"/>
          <w:b/>
          <w:bCs/>
          <w:color w:val="000000" w:themeColor="text1"/>
          <w:kern w:val="0"/>
          <w:sz w:val="24"/>
        </w:rPr>
        <w:t>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2231B">
        <w:trPr>
          <w:jc w:val="center"/>
        </w:trPr>
        <w:tc>
          <w:tcPr>
            <w:tcW w:w="855" w:type="dxa"/>
            <w:vAlign w:val="center"/>
          </w:tcPr>
          <w:p w:rsidR="0062231B" w:rsidRDefault="00FC3037">
            <w:pPr>
              <w:jc w:val="center"/>
            </w:pPr>
            <w:r>
              <w:rPr>
                <w:color w:val="000000"/>
                <w:sz w:val="24"/>
                <w:szCs w:val="24"/>
              </w:rPr>
              <w:t>1</w:t>
            </w:r>
          </w:p>
        </w:tc>
        <w:tc>
          <w:tcPr>
            <w:tcW w:w="1334" w:type="dxa"/>
            <w:vAlign w:val="center"/>
          </w:tcPr>
          <w:p w:rsidR="0062231B" w:rsidRDefault="00FC3037">
            <w:pPr>
              <w:jc w:val="center"/>
            </w:pPr>
            <w:r>
              <w:rPr>
                <w:color w:val="000000"/>
                <w:sz w:val="24"/>
                <w:szCs w:val="24"/>
              </w:rPr>
              <w:t>002343</w:t>
            </w:r>
          </w:p>
        </w:tc>
        <w:tc>
          <w:tcPr>
            <w:tcW w:w="1777" w:type="dxa"/>
            <w:vAlign w:val="center"/>
          </w:tcPr>
          <w:p w:rsidR="0062231B" w:rsidRDefault="00FC3037">
            <w:pPr>
              <w:jc w:val="center"/>
            </w:pPr>
            <w:r>
              <w:rPr>
                <w:color w:val="000000"/>
                <w:sz w:val="24"/>
                <w:szCs w:val="24"/>
              </w:rPr>
              <w:t>慈文传媒</w:t>
            </w:r>
          </w:p>
        </w:tc>
        <w:tc>
          <w:tcPr>
            <w:tcW w:w="1334" w:type="dxa"/>
            <w:vAlign w:val="center"/>
          </w:tcPr>
          <w:p w:rsidR="0062231B" w:rsidRDefault="00FC3037">
            <w:pPr>
              <w:jc w:val="right"/>
            </w:pPr>
            <w:r>
              <w:rPr>
                <w:color w:val="000000"/>
                <w:sz w:val="24"/>
                <w:szCs w:val="24"/>
              </w:rPr>
              <w:t>1,713,019</w:t>
            </w:r>
          </w:p>
        </w:tc>
        <w:tc>
          <w:tcPr>
            <w:tcW w:w="1924" w:type="dxa"/>
            <w:vAlign w:val="center"/>
          </w:tcPr>
          <w:p w:rsidR="0062231B" w:rsidRDefault="00FC3037">
            <w:pPr>
              <w:jc w:val="right"/>
            </w:pPr>
            <w:r>
              <w:rPr>
                <w:color w:val="000000"/>
                <w:sz w:val="24"/>
                <w:szCs w:val="24"/>
              </w:rPr>
              <w:t>64,854,899.34</w:t>
            </w:r>
          </w:p>
        </w:tc>
        <w:tc>
          <w:tcPr>
            <w:tcW w:w="1644" w:type="dxa"/>
            <w:vAlign w:val="center"/>
          </w:tcPr>
          <w:p w:rsidR="0062231B" w:rsidRDefault="00FC3037">
            <w:pPr>
              <w:jc w:val="right"/>
            </w:pPr>
            <w:r>
              <w:rPr>
                <w:color w:val="000000"/>
                <w:sz w:val="24"/>
                <w:szCs w:val="24"/>
              </w:rPr>
              <w:t>7.88</w:t>
            </w:r>
          </w:p>
        </w:tc>
      </w:tr>
      <w:tr w:rsidR="0062231B">
        <w:trPr>
          <w:jc w:val="center"/>
        </w:trPr>
        <w:tc>
          <w:tcPr>
            <w:tcW w:w="855" w:type="dxa"/>
            <w:vAlign w:val="center"/>
          </w:tcPr>
          <w:p w:rsidR="0062231B" w:rsidRDefault="00FC3037">
            <w:pPr>
              <w:jc w:val="center"/>
            </w:pPr>
            <w:r>
              <w:rPr>
                <w:color w:val="000000"/>
                <w:sz w:val="24"/>
                <w:szCs w:val="24"/>
              </w:rPr>
              <w:t>2</w:t>
            </w:r>
          </w:p>
        </w:tc>
        <w:tc>
          <w:tcPr>
            <w:tcW w:w="1334" w:type="dxa"/>
            <w:vAlign w:val="center"/>
          </w:tcPr>
          <w:p w:rsidR="0062231B" w:rsidRDefault="00FC3037">
            <w:pPr>
              <w:jc w:val="center"/>
            </w:pPr>
            <w:r>
              <w:rPr>
                <w:color w:val="000000"/>
                <w:sz w:val="24"/>
                <w:szCs w:val="24"/>
              </w:rPr>
              <w:t>300308</w:t>
            </w:r>
          </w:p>
        </w:tc>
        <w:tc>
          <w:tcPr>
            <w:tcW w:w="1777" w:type="dxa"/>
            <w:vAlign w:val="center"/>
          </w:tcPr>
          <w:p w:rsidR="0062231B" w:rsidRDefault="00FC3037">
            <w:pPr>
              <w:jc w:val="center"/>
            </w:pPr>
            <w:r>
              <w:rPr>
                <w:color w:val="000000"/>
                <w:sz w:val="24"/>
                <w:szCs w:val="24"/>
              </w:rPr>
              <w:t>中际装备</w:t>
            </w:r>
          </w:p>
        </w:tc>
        <w:tc>
          <w:tcPr>
            <w:tcW w:w="1334" w:type="dxa"/>
            <w:vAlign w:val="center"/>
          </w:tcPr>
          <w:p w:rsidR="0062231B" w:rsidRDefault="00FC3037">
            <w:pPr>
              <w:jc w:val="right"/>
            </w:pPr>
            <w:r>
              <w:rPr>
                <w:color w:val="000000"/>
                <w:sz w:val="24"/>
                <w:szCs w:val="24"/>
              </w:rPr>
              <w:t>1,381,046</w:t>
            </w:r>
          </w:p>
        </w:tc>
        <w:tc>
          <w:tcPr>
            <w:tcW w:w="1924" w:type="dxa"/>
            <w:vAlign w:val="center"/>
          </w:tcPr>
          <w:p w:rsidR="0062231B" w:rsidRDefault="00FC3037">
            <w:pPr>
              <w:jc w:val="right"/>
            </w:pPr>
            <w:r>
              <w:rPr>
                <w:color w:val="000000"/>
                <w:sz w:val="24"/>
                <w:szCs w:val="24"/>
              </w:rPr>
              <w:t>56,802,421.98</w:t>
            </w:r>
          </w:p>
        </w:tc>
        <w:tc>
          <w:tcPr>
            <w:tcW w:w="1644" w:type="dxa"/>
            <w:vAlign w:val="center"/>
          </w:tcPr>
          <w:p w:rsidR="0062231B" w:rsidRDefault="00FC3037">
            <w:pPr>
              <w:jc w:val="right"/>
            </w:pPr>
            <w:r>
              <w:rPr>
                <w:color w:val="000000"/>
                <w:sz w:val="24"/>
                <w:szCs w:val="24"/>
              </w:rPr>
              <w:t>6.90</w:t>
            </w:r>
          </w:p>
        </w:tc>
      </w:tr>
      <w:tr w:rsidR="0062231B">
        <w:trPr>
          <w:jc w:val="center"/>
        </w:trPr>
        <w:tc>
          <w:tcPr>
            <w:tcW w:w="855" w:type="dxa"/>
            <w:vAlign w:val="center"/>
          </w:tcPr>
          <w:p w:rsidR="0062231B" w:rsidRDefault="00FC3037">
            <w:pPr>
              <w:jc w:val="center"/>
            </w:pPr>
            <w:r>
              <w:rPr>
                <w:color w:val="000000"/>
                <w:sz w:val="24"/>
                <w:szCs w:val="24"/>
              </w:rPr>
              <w:t>3</w:t>
            </w:r>
          </w:p>
        </w:tc>
        <w:tc>
          <w:tcPr>
            <w:tcW w:w="1334" w:type="dxa"/>
            <w:vAlign w:val="center"/>
          </w:tcPr>
          <w:p w:rsidR="0062231B" w:rsidRDefault="00FC3037">
            <w:pPr>
              <w:jc w:val="center"/>
            </w:pPr>
            <w:r>
              <w:rPr>
                <w:color w:val="000000"/>
                <w:sz w:val="24"/>
                <w:szCs w:val="24"/>
              </w:rPr>
              <w:t>600054</w:t>
            </w:r>
          </w:p>
        </w:tc>
        <w:tc>
          <w:tcPr>
            <w:tcW w:w="1777" w:type="dxa"/>
            <w:vAlign w:val="center"/>
          </w:tcPr>
          <w:p w:rsidR="0062231B" w:rsidRDefault="00FC3037">
            <w:pPr>
              <w:jc w:val="center"/>
            </w:pPr>
            <w:r>
              <w:rPr>
                <w:color w:val="000000"/>
                <w:sz w:val="24"/>
                <w:szCs w:val="24"/>
              </w:rPr>
              <w:t>黄山旅游</w:t>
            </w:r>
          </w:p>
        </w:tc>
        <w:tc>
          <w:tcPr>
            <w:tcW w:w="1334" w:type="dxa"/>
            <w:vAlign w:val="center"/>
          </w:tcPr>
          <w:p w:rsidR="0062231B" w:rsidRDefault="00FC3037">
            <w:pPr>
              <w:jc w:val="right"/>
            </w:pPr>
            <w:r>
              <w:rPr>
                <w:color w:val="000000"/>
                <w:sz w:val="24"/>
                <w:szCs w:val="24"/>
              </w:rPr>
              <w:t>3,078,922</w:t>
            </w:r>
          </w:p>
        </w:tc>
        <w:tc>
          <w:tcPr>
            <w:tcW w:w="1924" w:type="dxa"/>
            <w:vAlign w:val="center"/>
          </w:tcPr>
          <w:p w:rsidR="0062231B" w:rsidRDefault="00FC3037">
            <w:pPr>
              <w:jc w:val="right"/>
            </w:pPr>
            <w:r>
              <w:rPr>
                <w:color w:val="000000"/>
                <w:sz w:val="24"/>
                <w:szCs w:val="24"/>
              </w:rPr>
              <w:t>52,649,566.20</w:t>
            </w:r>
          </w:p>
        </w:tc>
        <w:tc>
          <w:tcPr>
            <w:tcW w:w="1644" w:type="dxa"/>
            <w:vAlign w:val="center"/>
          </w:tcPr>
          <w:p w:rsidR="0062231B" w:rsidRDefault="00FC3037">
            <w:pPr>
              <w:jc w:val="right"/>
            </w:pPr>
            <w:r>
              <w:rPr>
                <w:color w:val="000000"/>
                <w:sz w:val="24"/>
                <w:szCs w:val="24"/>
              </w:rPr>
              <w:t>6.40</w:t>
            </w:r>
          </w:p>
        </w:tc>
      </w:tr>
      <w:tr w:rsidR="0062231B">
        <w:trPr>
          <w:jc w:val="center"/>
        </w:trPr>
        <w:tc>
          <w:tcPr>
            <w:tcW w:w="855" w:type="dxa"/>
            <w:vAlign w:val="center"/>
          </w:tcPr>
          <w:p w:rsidR="0062231B" w:rsidRDefault="00FC3037">
            <w:pPr>
              <w:jc w:val="center"/>
            </w:pPr>
            <w:r>
              <w:rPr>
                <w:color w:val="000000"/>
                <w:sz w:val="24"/>
                <w:szCs w:val="24"/>
              </w:rPr>
              <w:t>4</w:t>
            </w:r>
          </w:p>
        </w:tc>
        <w:tc>
          <w:tcPr>
            <w:tcW w:w="1334" w:type="dxa"/>
            <w:vAlign w:val="center"/>
          </w:tcPr>
          <w:p w:rsidR="0062231B" w:rsidRDefault="00FC3037">
            <w:pPr>
              <w:jc w:val="center"/>
            </w:pPr>
            <w:r>
              <w:rPr>
                <w:color w:val="000000"/>
                <w:sz w:val="24"/>
                <w:szCs w:val="24"/>
              </w:rPr>
              <w:t>300365</w:t>
            </w:r>
          </w:p>
        </w:tc>
        <w:tc>
          <w:tcPr>
            <w:tcW w:w="1777" w:type="dxa"/>
            <w:vAlign w:val="center"/>
          </w:tcPr>
          <w:p w:rsidR="0062231B" w:rsidRDefault="00FC3037">
            <w:pPr>
              <w:jc w:val="center"/>
            </w:pPr>
            <w:r>
              <w:rPr>
                <w:color w:val="000000"/>
                <w:sz w:val="24"/>
                <w:szCs w:val="24"/>
              </w:rPr>
              <w:t>恒华科技</w:t>
            </w:r>
          </w:p>
        </w:tc>
        <w:tc>
          <w:tcPr>
            <w:tcW w:w="1334" w:type="dxa"/>
            <w:vAlign w:val="center"/>
          </w:tcPr>
          <w:p w:rsidR="0062231B" w:rsidRDefault="00FC3037">
            <w:pPr>
              <w:jc w:val="right"/>
            </w:pPr>
            <w:r>
              <w:rPr>
                <w:color w:val="000000"/>
                <w:sz w:val="24"/>
                <w:szCs w:val="24"/>
              </w:rPr>
              <w:t>1,416,185</w:t>
            </w:r>
          </w:p>
        </w:tc>
        <w:tc>
          <w:tcPr>
            <w:tcW w:w="1924" w:type="dxa"/>
            <w:vAlign w:val="center"/>
          </w:tcPr>
          <w:p w:rsidR="0062231B" w:rsidRDefault="00FC3037">
            <w:pPr>
              <w:jc w:val="right"/>
            </w:pPr>
            <w:r>
              <w:rPr>
                <w:color w:val="000000"/>
                <w:sz w:val="24"/>
                <w:szCs w:val="24"/>
              </w:rPr>
              <w:t>50,557,804.50</w:t>
            </w:r>
          </w:p>
        </w:tc>
        <w:tc>
          <w:tcPr>
            <w:tcW w:w="1644" w:type="dxa"/>
            <w:vAlign w:val="center"/>
          </w:tcPr>
          <w:p w:rsidR="0062231B" w:rsidRDefault="00FC3037">
            <w:pPr>
              <w:jc w:val="right"/>
            </w:pPr>
            <w:r>
              <w:rPr>
                <w:color w:val="000000"/>
                <w:sz w:val="24"/>
                <w:szCs w:val="24"/>
              </w:rPr>
              <w:t>6.14</w:t>
            </w:r>
          </w:p>
        </w:tc>
      </w:tr>
      <w:tr w:rsidR="0062231B">
        <w:trPr>
          <w:jc w:val="center"/>
        </w:trPr>
        <w:tc>
          <w:tcPr>
            <w:tcW w:w="855" w:type="dxa"/>
            <w:vAlign w:val="center"/>
          </w:tcPr>
          <w:p w:rsidR="0062231B" w:rsidRDefault="00FC3037">
            <w:pPr>
              <w:jc w:val="center"/>
            </w:pPr>
            <w:r>
              <w:rPr>
                <w:color w:val="000000"/>
                <w:sz w:val="24"/>
                <w:szCs w:val="24"/>
              </w:rPr>
              <w:t>5</w:t>
            </w:r>
          </w:p>
        </w:tc>
        <w:tc>
          <w:tcPr>
            <w:tcW w:w="1334" w:type="dxa"/>
            <w:vAlign w:val="center"/>
          </w:tcPr>
          <w:p w:rsidR="0062231B" w:rsidRDefault="00FC3037">
            <w:pPr>
              <w:jc w:val="center"/>
            </w:pPr>
            <w:r>
              <w:rPr>
                <w:color w:val="000000"/>
                <w:sz w:val="24"/>
                <w:szCs w:val="24"/>
              </w:rPr>
              <w:t>600967</w:t>
            </w:r>
          </w:p>
        </w:tc>
        <w:tc>
          <w:tcPr>
            <w:tcW w:w="1777" w:type="dxa"/>
            <w:vAlign w:val="center"/>
          </w:tcPr>
          <w:p w:rsidR="0062231B" w:rsidRDefault="00FC3037">
            <w:pPr>
              <w:jc w:val="center"/>
            </w:pPr>
            <w:r>
              <w:rPr>
                <w:color w:val="000000"/>
                <w:sz w:val="24"/>
                <w:szCs w:val="24"/>
              </w:rPr>
              <w:t>内蒙一机</w:t>
            </w:r>
          </w:p>
        </w:tc>
        <w:tc>
          <w:tcPr>
            <w:tcW w:w="1334" w:type="dxa"/>
            <w:vAlign w:val="center"/>
          </w:tcPr>
          <w:p w:rsidR="0062231B" w:rsidRDefault="00FC3037">
            <w:pPr>
              <w:jc w:val="right"/>
            </w:pPr>
            <w:r>
              <w:rPr>
                <w:color w:val="000000"/>
                <w:sz w:val="24"/>
                <w:szCs w:val="24"/>
              </w:rPr>
              <w:t>2,767,532</w:t>
            </w:r>
          </w:p>
        </w:tc>
        <w:tc>
          <w:tcPr>
            <w:tcW w:w="1924" w:type="dxa"/>
            <w:vAlign w:val="center"/>
          </w:tcPr>
          <w:p w:rsidR="0062231B" w:rsidRDefault="00FC3037">
            <w:pPr>
              <w:jc w:val="right"/>
            </w:pPr>
            <w:r>
              <w:rPr>
                <w:color w:val="000000"/>
                <w:sz w:val="24"/>
                <w:szCs w:val="24"/>
              </w:rPr>
              <w:t>37,721,461.16</w:t>
            </w:r>
          </w:p>
        </w:tc>
        <w:tc>
          <w:tcPr>
            <w:tcW w:w="1644" w:type="dxa"/>
            <w:vAlign w:val="center"/>
          </w:tcPr>
          <w:p w:rsidR="0062231B" w:rsidRDefault="00FC3037">
            <w:pPr>
              <w:jc w:val="right"/>
            </w:pPr>
            <w:r>
              <w:rPr>
                <w:color w:val="000000"/>
                <w:sz w:val="24"/>
                <w:szCs w:val="24"/>
              </w:rPr>
              <w:t>4.58</w:t>
            </w:r>
          </w:p>
        </w:tc>
      </w:tr>
      <w:tr w:rsidR="0062231B">
        <w:trPr>
          <w:jc w:val="center"/>
        </w:trPr>
        <w:tc>
          <w:tcPr>
            <w:tcW w:w="855" w:type="dxa"/>
            <w:vAlign w:val="center"/>
          </w:tcPr>
          <w:p w:rsidR="0062231B" w:rsidRDefault="00FC3037">
            <w:pPr>
              <w:jc w:val="center"/>
            </w:pPr>
            <w:r>
              <w:rPr>
                <w:color w:val="000000"/>
                <w:sz w:val="24"/>
                <w:szCs w:val="24"/>
              </w:rPr>
              <w:t>6</w:t>
            </w:r>
          </w:p>
        </w:tc>
        <w:tc>
          <w:tcPr>
            <w:tcW w:w="1334" w:type="dxa"/>
            <w:vAlign w:val="center"/>
          </w:tcPr>
          <w:p w:rsidR="0062231B" w:rsidRDefault="00FC3037">
            <w:pPr>
              <w:jc w:val="center"/>
            </w:pPr>
            <w:r>
              <w:rPr>
                <w:color w:val="000000"/>
                <w:sz w:val="24"/>
                <w:szCs w:val="24"/>
              </w:rPr>
              <w:t>603868</w:t>
            </w:r>
          </w:p>
        </w:tc>
        <w:tc>
          <w:tcPr>
            <w:tcW w:w="1777" w:type="dxa"/>
            <w:vAlign w:val="center"/>
          </w:tcPr>
          <w:p w:rsidR="0062231B" w:rsidRDefault="00FC3037">
            <w:pPr>
              <w:jc w:val="center"/>
            </w:pPr>
            <w:r>
              <w:rPr>
                <w:color w:val="000000"/>
                <w:sz w:val="24"/>
                <w:szCs w:val="24"/>
              </w:rPr>
              <w:t>飞科电器</w:t>
            </w:r>
          </w:p>
        </w:tc>
        <w:tc>
          <w:tcPr>
            <w:tcW w:w="1334" w:type="dxa"/>
            <w:vAlign w:val="center"/>
          </w:tcPr>
          <w:p w:rsidR="0062231B" w:rsidRDefault="00FC3037">
            <w:pPr>
              <w:jc w:val="right"/>
            </w:pPr>
            <w:r>
              <w:rPr>
                <w:color w:val="000000"/>
                <w:sz w:val="24"/>
                <w:szCs w:val="24"/>
              </w:rPr>
              <w:t>518,120</w:t>
            </w:r>
          </w:p>
        </w:tc>
        <w:tc>
          <w:tcPr>
            <w:tcW w:w="1924" w:type="dxa"/>
            <w:vAlign w:val="center"/>
          </w:tcPr>
          <w:p w:rsidR="0062231B" w:rsidRDefault="00FC3037">
            <w:pPr>
              <w:jc w:val="right"/>
            </w:pPr>
            <w:r>
              <w:rPr>
                <w:color w:val="000000"/>
                <w:sz w:val="24"/>
                <w:szCs w:val="24"/>
              </w:rPr>
              <w:t>32,040,540.80</w:t>
            </w:r>
          </w:p>
        </w:tc>
        <w:tc>
          <w:tcPr>
            <w:tcW w:w="1644" w:type="dxa"/>
            <w:vAlign w:val="center"/>
          </w:tcPr>
          <w:p w:rsidR="0062231B" w:rsidRDefault="00FC3037">
            <w:pPr>
              <w:jc w:val="right"/>
            </w:pPr>
            <w:r>
              <w:rPr>
                <w:color w:val="000000"/>
                <w:sz w:val="24"/>
                <w:szCs w:val="24"/>
              </w:rPr>
              <w:t>3.89</w:t>
            </w:r>
          </w:p>
        </w:tc>
      </w:tr>
      <w:tr w:rsidR="0062231B">
        <w:trPr>
          <w:jc w:val="center"/>
        </w:trPr>
        <w:tc>
          <w:tcPr>
            <w:tcW w:w="855" w:type="dxa"/>
            <w:vAlign w:val="center"/>
          </w:tcPr>
          <w:p w:rsidR="0062231B" w:rsidRDefault="00FC3037">
            <w:pPr>
              <w:jc w:val="center"/>
            </w:pPr>
            <w:r>
              <w:rPr>
                <w:color w:val="000000"/>
                <w:sz w:val="24"/>
                <w:szCs w:val="24"/>
              </w:rPr>
              <w:t>7</w:t>
            </w:r>
          </w:p>
        </w:tc>
        <w:tc>
          <w:tcPr>
            <w:tcW w:w="1334" w:type="dxa"/>
            <w:vAlign w:val="center"/>
          </w:tcPr>
          <w:p w:rsidR="0062231B" w:rsidRDefault="00FC3037">
            <w:pPr>
              <w:jc w:val="center"/>
            </w:pPr>
            <w:r>
              <w:rPr>
                <w:color w:val="000000"/>
                <w:sz w:val="24"/>
                <w:szCs w:val="24"/>
              </w:rPr>
              <w:t>002045</w:t>
            </w:r>
          </w:p>
        </w:tc>
        <w:tc>
          <w:tcPr>
            <w:tcW w:w="1777" w:type="dxa"/>
            <w:vAlign w:val="center"/>
          </w:tcPr>
          <w:p w:rsidR="0062231B" w:rsidRDefault="00FC3037">
            <w:pPr>
              <w:jc w:val="center"/>
            </w:pPr>
            <w:r>
              <w:rPr>
                <w:color w:val="000000"/>
                <w:sz w:val="24"/>
                <w:szCs w:val="24"/>
              </w:rPr>
              <w:t>国光电器</w:t>
            </w:r>
          </w:p>
        </w:tc>
        <w:tc>
          <w:tcPr>
            <w:tcW w:w="1334" w:type="dxa"/>
            <w:vAlign w:val="center"/>
          </w:tcPr>
          <w:p w:rsidR="0062231B" w:rsidRDefault="00FC3037">
            <w:pPr>
              <w:jc w:val="right"/>
            </w:pPr>
            <w:r>
              <w:rPr>
                <w:color w:val="000000"/>
                <w:sz w:val="24"/>
                <w:szCs w:val="24"/>
              </w:rPr>
              <w:t>1,803,387</w:t>
            </w:r>
          </w:p>
        </w:tc>
        <w:tc>
          <w:tcPr>
            <w:tcW w:w="1924" w:type="dxa"/>
            <w:vAlign w:val="center"/>
          </w:tcPr>
          <w:p w:rsidR="0062231B" w:rsidRDefault="00FC3037">
            <w:pPr>
              <w:jc w:val="right"/>
            </w:pPr>
            <w:r>
              <w:rPr>
                <w:color w:val="000000"/>
                <w:sz w:val="24"/>
                <w:szCs w:val="24"/>
              </w:rPr>
              <w:t>28,655,819.43</w:t>
            </w:r>
          </w:p>
        </w:tc>
        <w:tc>
          <w:tcPr>
            <w:tcW w:w="1644" w:type="dxa"/>
            <w:vAlign w:val="center"/>
          </w:tcPr>
          <w:p w:rsidR="0062231B" w:rsidRDefault="00FC3037">
            <w:pPr>
              <w:jc w:val="right"/>
            </w:pPr>
            <w:r>
              <w:rPr>
                <w:color w:val="000000"/>
                <w:sz w:val="24"/>
                <w:szCs w:val="24"/>
              </w:rPr>
              <w:t>3.48</w:t>
            </w:r>
          </w:p>
        </w:tc>
      </w:tr>
      <w:tr w:rsidR="0062231B">
        <w:trPr>
          <w:jc w:val="center"/>
        </w:trPr>
        <w:tc>
          <w:tcPr>
            <w:tcW w:w="855" w:type="dxa"/>
            <w:vAlign w:val="center"/>
          </w:tcPr>
          <w:p w:rsidR="0062231B" w:rsidRDefault="00FC3037">
            <w:pPr>
              <w:jc w:val="center"/>
            </w:pPr>
            <w:r>
              <w:rPr>
                <w:color w:val="000000"/>
                <w:sz w:val="24"/>
                <w:szCs w:val="24"/>
              </w:rPr>
              <w:t>8</w:t>
            </w:r>
          </w:p>
        </w:tc>
        <w:tc>
          <w:tcPr>
            <w:tcW w:w="1334" w:type="dxa"/>
            <w:vAlign w:val="center"/>
          </w:tcPr>
          <w:p w:rsidR="0062231B" w:rsidRDefault="00FC3037">
            <w:pPr>
              <w:jc w:val="center"/>
            </w:pPr>
            <w:r>
              <w:rPr>
                <w:color w:val="000000"/>
                <w:sz w:val="24"/>
                <w:szCs w:val="24"/>
              </w:rPr>
              <w:t>300347</w:t>
            </w:r>
          </w:p>
        </w:tc>
        <w:tc>
          <w:tcPr>
            <w:tcW w:w="1777" w:type="dxa"/>
            <w:vAlign w:val="center"/>
          </w:tcPr>
          <w:p w:rsidR="0062231B" w:rsidRDefault="00FC3037">
            <w:pPr>
              <w:jc w:val="center"/>
            </w:pPr>
            <w:r>
              <w:rPr>
                <w:color w:val="000000"/>
                <w:sz w:val="24"/>
                <w:szCs w:val="24"/>
              </w:rPr>
              <w:t>泰格医药</w:t>
            </w:r>
          </w:p>
        </w:tc>
        <w:tc>
          <w:tcPr>
            <w:tcW w:w="1334" w:type="dxa"/>
            <w:vAlign w:val="center"/>
          </w:tcPr>
          <w:p w:rsidR="0062231B" w:rsidRDefault="00FC3037">
            <w:pPr>
              <w:jc w:val="right"/>
            </w:pPr>
            <w:r>
              <w:rPr>
                <w:color w:val="000000"/>
                <w:sz w:val="24"/>
                <w:szCs w:val="24"/>
              </w:rPr>
              <w:t>1,121,234</w:t>
            </w:r>
          </w:p>
        </w:tc>
        <w:tc>
          <w:tcPr>
            <w:tcW w:w="1924" w:type="dxa"/>
            <w:vAlign w:val="center"/>
          </w:tcPr>
          <w:p w:rsidR="0062231B" w:rsidRDefault="00FC3037">
            <w:pPr>
              <w:jc w:val="right"/>
            </w:pPr>
            <w:r>
              <w:rPr>
                <w:color w:val="000000"/>
                <w:sz w:val="24"/>
                <w:szCs w:val="24"/>
              </w:rPr>
              <w:t>27,133,862.80</w:t>
            </w:r>
          </w:p>
        </w:tc>
        <w:tc>
          <w:tcPr>
            <w:tcW w:w="1644" w:type="dxa"/>
            <w:vAlign w:val="center"/>
          </w:tcPr>
          <w:p w:rsidR="0062231B" w:rsidRDefault="00FC3037">
            <w:pPr>
              <w:jc w:val="right"/>
            </w:pPr>
            <w:r>
              <w:rPr>
                <w:color w:val="000000"/>
                <w:sz w:val="24"/>
                <w:szCs w:val="24"/>
              </w:rPr>
              <w:t>3.30</w:t>
            </w:r>
          </w:p>
        </w:tc>
      </w:tr>
      <w:tr w:rsidR="0062231B">
        <w:trPr>
          <w:jc w:val="center"/>
        </w:trPr>
        <w:tc>
          <w:tcPr>
            <w:tcW w:w="855" w:type="dxa"/>
            <w:vAlign w:val="center"/>
          </w:tcPr>
          <w:p w:rsidR="0062231B" w:rsidRDefault="00FC3037">
            <w:pPr>
              <w:jc w:val="center"/>
            </w:pPr>
            <w:r>
              <w:rPr>
                <w:color w:val="000000"/>
                <w:sz w:val="24"/>
                <w:szCs w:val="24"/>
              </w:rPr>
              <w:t>9</w:t>
            </w:r>
          </w:p>
        </w:tc>
        <w:tc>
          <w:tcPr>
            <w:tcW w:w="1334" w:type="dxa"/>
            <w:vAlign w:val="center"/>
          </w:tcPr>
          <w:p w:rsidR="0062231B" w:rsidRDefault="00FC3037">
            <w:pPr>
              <w:jc w:val="center"/>
            </w:pPr>
            <w:r>
              <w:rPr>
                <w:color w:val="000000"/>
                <w:sz w:val="24"/>
                <w:szCs w:val="24"/>
              </w:rPr>
              <w:t>002027</w:t>
            </w:r>
          </w:p>
        </w:tc>
        <w:tc>
          <w:tcPr>
            <w:tcW w:w="1777" w:type="dxa"/>
            <w:vAlign w:val="center"/>
          </w:tcPr>
          <w:p w:rsidR="0062231B" w:rsidRDefault="00FC3037">
            <w:pPr>
              <w:jc w:val="center"/>
            </w:pPr>
            <w:r>
              <w:rPr>
                <w:color w:val="000000"/>
                <w:sz w:val="24"/>
                <w:szCs w:val="24"/>
              </w:rPr>
              <w:t>分众传媒</w:t>
            </w:r>
          </w:p>
        </w:tc>
        <w:tc>
          <w:tcPr>
            <w:tcW w:w="1334" w:type="dxa"/>
            <w:vAlign w:val="center"/>
          </w:tcPr>
          <w:p w:rsidR="0062231B" w:rsidRDefault="00FC3037">
            <w:pPr>
              <w:jc w:val="right"/>
            </w:pPr>
            <w:r>
              <w:rPr>
                <w:color w:val="000000"/>
                <w:sz w:val="24"/>
                <w:szCs w:val="24"/>
              </w:rPr>
              <w:t>1,938,596</w:t>
            </w:r>
          </w:p>
        </w:tc>
        <w:tc>
          <w:tcPr>
            <w:tcW w:w="1924" w:type="dxa"/>
            <w:vAlign w:val="center"/>
          </w:tcPr>
          <w:p w:rsidR="0062231B" w:rsidRDefault="00FC3037">
            <w:pPr>
              <w:jc w:val="right"/>
            </w:pPr>
            <w:r>
              <w:rPr>
                <w:color w:val="000000"/>
                <w:sz w:val="24"/>
                <w:szCs w:val="24"/>
              </w:rPr>
              <w:t>26,675,080.96</w:t>
            </w:r>
          </w:p>
        </w:tc>
        <w:tc>
          <w:tcPr>
            <w:tcW w:w="1644" w:type="dxa"/>
            <w:vAlign w:val="center"/>
          </w:tcPr>
          <w:p w:rsidR="0062231B" w:rsidRDefault="00FC3037">
            <w:pPr>
              <w:jc w:val="right"/>
            </w:pPr>
            <w:r>
              <w:rPr>
                <w:color w:val="000000"/>
                <w:sz w:val="24"/>
                <w:szCs w:val="24"/>
              </w:rPr>
              <w:t>3.24</w:t>
            </w:r>
          </w:p>
        </w:tc>
      </w:tr>
      <w:tr w:rsidR="0062231B">
        <w:trPr>
          <w:jc w:val="center"/>
        </w:trPr>
        <w:tc>
          <w:tcPr>
            <w:tcW w:w="855" w:type="dxa"/>
            <w:vAlign w:val="center"/>
          </w:tcPr>
          <w:p w:rsidR="0062231B" w:rsidRDefault="00FC3037">
            <w:pPr>
              <w:jc w:val="center"/>
            </w:pPr>
            <w:r>
              <w:rPr>
                <w:color w:val="000000"/>
                <w:sz w:val="24"/>
                <w:szCs w:val="24"/>
              </w:rPr>
              <w:t>10</w:t>
            </w:r>
          </w:p>
        </w:tc>
        <w:tc>
          <w:tcPr>
            <w:tcW w:w="1334" w:type="dxa"/>
            <w:vAlign w:val="center"/>
          </w:tcPr>
          <w:p w:rsidR="0062231B" w:rsidRDefault="00FC3037">
            <w:pPr>
              <w:jc w:val="center"/>
            </w:pPr>
            <w:r>
              <w:rPr>
                <w:color w:val="000000"/>
                <w:sz w:val="24"/>
                <w:szCs w:val="24"/>
              </w:rPr>
              <w:t>002195</w:t>
            </w:r>
          </w:p>
        </w:tc>
        <w:tc>
          <w:tcPr>
            <w:tcW w:w="1777" w:type="dxa"/>
            <w:vAlign w:val="center"/>
          </w:tcPr>
          <w:p w:rsidR="0062231B" w:rsidRDefault="00FC3037">
            <w:pPr>
              <w:jc w:val="center"/>
            </w:pPr>
            <w:r>
              <w:rPr>
                <w:color w:val="000000"/>
                <w:sz w:val="24"/>
                <w:szCs w:val="24"/>
              </w:rPr>
              <w:t>二三四五</w:t>
            </w:r>
          </w:p>
        </w:tc>
        <w:tc>
          <w:tcPr>
            <w:tcW w:w="1334" w:type="dxa"/>
            <w:vAlign w:val="center"/>
          </w:tcPr>
          <w:p w:rsidR="0062231B" w:rsidRDefault="00FC3037">
            <w:pPr>
              <w:jc w:val="right"/>
            </w:pPr>
            <w:r>
              <w:rPr>
                <w:color w:val="000000"/>
                <w:sz w:val="24"/>
                <w:szCs w:val="24"/>
              </w:rPr>
              <w:t>3,591,886</w:t>
            </w:r>
          </w:p>
        </w:tc>
        <w:tc>
          <w:tcPr>
            <w:tcW w:w="1924" w:type="dxa"/>
            <w:vAlign w:val="center"/>
          </w:tcPr>
          <w:p w:rsidR="0062231B" w:rsidRDefault="00FC3037">
            <w:pPr>
              <w:jc w:val="right"/>
            </w:pPr>
            <w:r>
              <w:rPr>
                <w:color w:val="000000"/>
                <w:sz w:val="24"/>
                <w:szCs w:val="24"/>
              </w:rPr>
              <w:t>25,681,984.90</w:t>
            </w:r>
          </w:p>
        </w:tc>
        <w:tc>
          <w:tcPr>
            <w:tcW w:w="1644" w:type="dxa"/>
            <w:vAlign w:val="center"/>
          </w:tcPr>
          <w:p w:rsidR="0062231B" w:rsidRDefault="00FC3037">
            <w:pPr>
              <w:jc w:val="right"/>
            </w:pPr>
            <w:r>
              <w:rPr>
                <w:color w:val="000000"/>
                <w:sz w:val="24"/>
                <w:szCs w:val="24"/>
              </w:rPr>
              <w:t>3.12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55,687.10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55,687.10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rsidR="0062231B">
        <w:trPr>
          <w:jc w:val="center"/>
        </w:trPr>
        <w:tc>
          <w:tcPr>
            <w:tcW w:w="850" w:type="dxa"/>
            <w:vAlign w:val="center"/>
          </w:tcPr>
          <w:p w:rsidR="0062231B" w:rsidRDefault="00FC3037">
            <w:pPr>
              <w:jc w:val="center"/>
            </w:pPr>
            <w:r>
              <w:rPr>
                <w:color w:val="000000"/>
                <w:sz w:val="24"/>
                <w:szCs w:val="24"/>
              </w:rPr>
              <w:lastRenderedPageBreak/>
              <w:t>1</w:t>
            </w:r>
          </w:p>
        </w:tc>
        <w:tc>
          <w:tcPr>
            <w:tcW w:w="1475" w:type="dxa"/>
            <w:vAlign w:val="center"/>
          </w:tcPr>
          <w:p w:rsidR="0062231B" w:rsidRDefault="00FC3037">
            <w:pPr>
              <w:jc w:val="center"/>
            </w:pPr>
            <w:r>
              <w:rPr>
                <w:color w:val="000000"/>
                <w:sz w:val="24"/>
                <w:szCs w:val="24"/>
              </w:rPr>
              <w:t>113011</w:t>
            </w:r>
          </w:p>
        </w:tc>
        <w:tc>
          <w:tcPr>
            <w:tcW w:w="1769" w:type="dxa"/>
            <w:vAlign w:val="center"/>
          </w:tcPr>
          <w:p w:rsidR="0062231B" w:rsidRDefault="00FC3037">
            <w:pPr>
              <w:jc w:val="center"/>
            </w:pPr>
            <w:r>
              <w:rPr>
                <w:color w:val="000000"/>
                <w:sz w:val="24"/>
                <w:szCs w:val="24"/>
              </w:rPr>
              <w:t>光大转债</w:t>
            </w:r>
          </w:p>
        </w:tc>
        <w:tc>
          <w:tcPr>
            <w:tcW w:w="1387" w:type="dxa"/>
            <w:vAlign w:val="center"/>
          </w:tcPr>
          <w:p w:rsidR="0062231B" w:rsidRDefault="00FC3037">
            <w:pPr>
              <w:jc w:val="right"/>
            </w:pPr>
            <w:r>
              <w:rPr>
                <w:color w:val="000000"/>
                <w:sz w:val="24"/>
                <w:szCs w:val="24"/>
              </w:rPr>
              <w:t>530</w:t>
            </w:r>
          </w:p>
        </w:tc>
        <w:tc>
          <w:tcPr>
            <w:tcW w:w="2150" w:type="dxa"/>
            <w:vAlign w:val="center"/>
          </w:tcPr>
          <w:p w:rsidR="0062231B" w:rsidRDefault="00FC3037">
            <w:pPr>
              <w:jc w:val="right"/>
            </w:pPr>
            <w:r>
              <w:rPr>
                <w:color w:val="000000"/>
                <w:sz w:val="24"/>
                <w:szCs w:val="24"/>
              </w:rPr>
              <w:t>55,687.10</w:t>
            </w:r>
          </w:p>
        </w:tc>
        <w:tc>
          <w:tcPr>
            <w:tcW w:w="1237" w:type="dxa"/>
            <w:vAlign w:val="center"/>
          </w:tcPr>
          <w:p w:rsidR="0062231B" w:rsidRDefault="00FC3037">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592,699.29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9,254,950.22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35,728.74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14,464.25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9,897,917.50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491,045,593.11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69,075,901.51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56,200,918.23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503,920,576.39</w:t>
            </w:r>
          </w:p>
        </w:tc>
      </w:tr>
    </w:tbl>
    <w:p w:rsidR="0062231B" w:rsidRDefault="00FC303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C7F9B" w:rsidTr="00424D30">
        <w:tc>
          <w:tcPr>
            <w:tcW w:w="993" w:type="dxa"/>
            <w:vMerge w:val="restart"/>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r w:rsidRPr="00DE315A">
              <w:rPr>
                <w:rFonts w:ascii="宋体" w:hAnsi="宋体" w:hint="eastAsia"/>
                <w:color w:val="000000"/>
                <w:kern w:val="0"/>
                <w:sz w:val="24"/>
                <w:szCs w:val="24"/>
              </w:rPr>
              <w:lastRenderedPageBreak/>
              <w:t>投资者类别</w:t>
            </w:r>
            <w:r w:rsidRPr="00DE315A">
              <w:rPr>
                <w:rFonts w:ascii="宋体" w:hAnsi="宋体"/>
                <w:color w:val="000000"/>
                <w:kern w:val="0"/>
                <w:sz w:val="24"/>
                <w:szCs w:val="24"/>
              </w:rPr>
              <w:t xml:space="preserve">  </w:t>
            </w:r>
          </w:p>
        </w:tc>
        <w:tc>
          <w:tcPr>
            <w:tcW w:w="5670" w:type="dxa"/>
            <w:gridSpan w:val="5"/>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r w:rsidRPr="00DE315A">
              <w:rPr>
                <w:rFonts w:ascii="宋体" w:hAnsi="宋体" w:hint="eastAsia"/>
                <w:color w:val="000000"/>
                <w:kern w:val="0"/>
                <w:sz w:val="24"/>
                <w:szCs w:val="24"/>
              </w:rPr>
              <w:t>报告期内持有基金份额变化情况</w:t>
            </w:r>
          </w:p>
        </w:tc>
        <w:tc>
          <w:tcPr>
            <w:tcW w:w="2549" w:type="dxa"/>
            <w:gridSpan w:val="2"/>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r w:rsidRPr="00DE315A">
              <w:rPr>
                <w:rFonts w:ascii="宋体" w:hAnsi="宋体" w:hint="eastAsia"/>
                <w:color w:val="000000"/>
                <w:kern w:val="0"/>
                <w:sz w:val="24"/>
                <w:szCs w:val="24"/>
              </w:rPr>
              <w:t>报告期末持有基金情况</w:t>
            </w:r>
          </w:p>
        </w:tc>
      </w:tr>
      <w:tr w:rsidR="003C50AD" w:rsidRPr="004C7F9B" w:rsidTr="00424D30">
        <w:tc>
          <w:tcPr>
            <w:tcW w:w="993" w:type="dxa"/>
            <w:vMerge/>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r w:rsidRPr="00DE315A">
              <w:rPr>
                <w:rFonts w:ascii="宋体" w:hAnsi="宋体" w:hint="eastAsia"/>
                <w:color w:val="000000"/>
                <w:kern w:val="0"/>
                <w:sz w:val="24"/>
                <w:szCs w:val="24"/>
              </w:rPr>
              <w:t>序号</w:t>
            </w:r>
          </w:p>
        </w:tc>
        <w:tc>
          <w:tcPr>
            <w:tcW w:w="1843" w:type="dxa"/>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r w:rsidRPr="00DE315A">
              <w:rPr>
                <w:rFonts w:ascii="宋体" w:hAnsi="宋体" w:hint="eastAsia"/>
                <w:color w:val="000000"/>
                <w:kern w:val="0"/>
                <w:sz w:val="24"/>
                <w:szCs w:val="24"/>
              </w:rPr>
              <w:t>持有基金份额比例达到或者超过</w:t>
            </w:r>
            <w:r w:rsidRPr="00DE315A">
              <w:rPr>
                <w:rFonts w:ascii="宋体" w:hAnsi="宋体"/>
                <w:color w:val="000000"/>
                <w:kern w:val="0"/>
                <w:sz w:val="24"/>
                <w:szCs w:val="24"/>
              </w:rPr>
              <w:t>20%的时间区间</w:t>
            </w:r>
          </w:p>
        </w:tc>
        <w:tc>
          <w:tcPr>
            <w:tcW w:w="851" w:type="dxa"/>
            <w:vAlign w:val="center"/>
          </w:tcPr>
          <w:p w:rsidR="003C50AD" w:rsidRPr="00DE315A" w:rsidRDefault="003C50AD" w:rsidP="00424D30">
            <w:pPr>
              <w:widowControl/>
              <w:jc w:val="center"/>
              <w:rPr>
                <w:rFonts w:ascii="宋体" w:hAnsi="宋体"/>
                <w:b/>
                <w:bCs/>
                <w:color w:val="000000"/>
                <w:kern w:val="0"/>
                <w:sz w:val="24"/>
                <w:szCs w:val="24"/>
              </w:rPr>
            </w:pPr>
            <w:r w:rsidRPr="00DE315A">
              <w:rPr>
                <w:rFonts w:ascii="宋体" w:hAnsi="宋体" w:hint="eastAsia"/>
                <w:color w:val="000000"/>
                <w:kern w:val="0"/>
                <w:sz w:val="24"/>
                <w:szCs w:val="24"/>
              </w:rPr>
              <w:t>期初份额</w:t>
            </w:r>
          </w:p>
        </w:tc>
        <w:tc>
          <w:tcPr>
            <w:tcW w:w="850" w:type="dxa"/>
            <w:vAlign w:val="center"/>
          </w:tcPr>
          <w:p w:rsidR="003C50AD" w:rsidRPr="00DE315A" w:rsidRDefault="003C50AD" w:rsidP="00424D30">
            <w:pPr>
              <w:widowControl/>
              <w:jc w:val="center"/>
              <w:rPr>
                <w:rFonts w:ascii="宋体" w:hAnsi="宋体"/>
                <w:b/>
                <w:bCs/>
                <w:color w:val="000000"/>
                <w:kern w:val="0"/>
                <w:sz w:val="24"/>
                <w:szCs w:val="24"/>
              </w:rPr>
            </w:pPr>
            <w:r w:rsidRPr="00DE315A">
              <w:rPr>
                <w:rFonts w:ascii="宋体" w:hAnsi="宋体" w:hint="eastAsia"/>
                <w:color w:val="000000"/>
                <w:kern w:val="0"/>
                <w:sz w:val="24"/>
                <w:szCs w:val="24"/>
              </w:rPr>
              <w:t>申购份额</w:t>
            </w:r>
          </w:p>
        </w:tc>
        <w:tc>
          <w:tcPr>
            <w:tcW w:w="1134" w:type="dxa"/>
            <w:vAlign w:val="center"/>
          </w:tcPr>
          <w:p w:rsidR="003C50AD" w:rsidRPr="00DE315A" w:rsidRDefault="003C50AD" w:rsidP="00424D30">
            <w:pPr>
              <w:widowControl/>
              <w:jc w:val="center"/>
              <w:rPr>
                <w:rFonts w:ascii="宋体" w:hAnsi="宋体"/>
                <w:b/>
                <w:bCs/>
                <w:color w:val="000000"/>
                <w:kern w:val="0"/>
                <w:sz w:val="24"/>
                <w:szCs w:val="24"/>
              </w:rPr>
            </w:pPr>
            <w:r w:rsidRPr="00DE315A">
              <w:rPr>
                <w:rFonts w:ascii="宋体" w:hAnsi="宋体" w:hint="eastAsia"/>
                <w:color w:val="000000"/>
                <w:kern w:val="0"/>
                <w:sz w:val="24"/>
                <w:szCs w:val="24"/>
              </w:rPr>
              <w:t>赎回份额</w:t>
            </w:r>
          </w:p>
        </w:tc>
        <w:tc>
          <w:tcPr>
            <w:tcW w:w="1419" w:type="dxa"/>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r w:rsidRPr="00DE315A">
              <w:rPr>
                <w:rFonts w:ascii="宋体" w:hAnsi="宋体" w:hint="eastAsia"/>
                <w:color w:val="000000"/>
                <w:kern w:val="0"/>
                <w:sz w:val="24"/>
                <w:szCs w:val="24"/>
              </w:rPr>
              <w:t>持有份额</w:t>
            </w:r>
          </w:p>
        </w:tc>
        <w:tc>
          <w:tcPr>
            <w:tcW w:w="1130" w:type="dxa"/>
            <w:vAlign w:val="center"/>
          </w:tcPr>
          <w:p w:rsidR="003C50AD" w:rsidRPr="00DE315A" w:rsidRDefault="003C50AD" w:rsidP="00424D30">
            <w:pPr>
              <w:autoSpaceDE w:val="0"/>
              <w:autoSpaceDN w:val="0"/>
              <w:adjustRightInd w:val="0"/>
              <w:jc w:val="center"/>
              <w:rPr>
                <w:rFonts w:ascii="宋体" w:hAnsi="宋体"/>
                <w:b/>
                <w:bCs/>
                <w:color w:val="000000"/>
                <w:kern w:val="0"/>
                <w:sz w:val="24"/>
                <w:szCs w:val="24"/>
              </w:rPr>
            </w:pPr>
            <w:r w:rsidRPr="00DE315A">
              <w:rPr>
                <w:rFonts w:ascii="宋体" w:hAnsi="宋体" w:hint="eastAsia"/>
                <w:color w:val="000000"/>
                <w:kern w:val="0"/>
                <w:sz w:val="24"/>
                <w:szCs w:val="24"/>
              </w:rPr>
              <w:t>份额占比</w:t>
            </w:r>
          </w:p>
        </w:tc>
      </w:tr>
      <w:tr w:rsidR="0062231B" w:rsidRPr="004C7F9B">
        <w:tc>
          <w:tcPr>
            <w:tcW w:w="993" w:type="dxa"/>
            <w:vMerge w:val="restart"/>
          </w:tcPr>
          <w:p w:rsidR="0062231B" w:rsidRPr="00DE315A" w:rsidRDefault="0062231B">
            <w:pPr>
              <w:rPr>
                <w:sz w:val="24"/>
                <w:szCs w:val="24"/>
              </w:rPr>
            </w:pPr>
          </w:p>
          <w:p w:rsidR="0062231B" w:rsidRPr="00DE315A" w:rsidRDefault="00FC3037">
            <w:pPr>
              <w:rPr>
                <w:sz w:val="24"/>
                <w:szCs w:val="24"/>
              </w:rPr>
            </w:pPr>
            <w:r w:rsidRPr="00DE315A">
              <w:rPr>
                <w:rFonts w:ascii="宋体" w:hAnsi="宋体" w:hint="eastAsia"/>
                <w:bCs/>
                <w:color w:val="000000"/>
                <w:kern w:val="0"/>
                <w:sz w:val="24"/>
                <w:szCs w:val="24"/>
              </w:rPr>
              <w:t>机构</w:t>
            </w:r>
          </w:p>
        </w:tc>
        <w:tc>
          <w:tcPr>
            <w:tcW w:w="992" w:type="dxa"/>
            <w:vAlign w:val="center"/>
          </w:tcPr>
          <w:p w:rsidR="0062231B" w:rsidRPr="00DE315A" w:rsidRDefault="00FC3037">
            <w:pPr>
              <w:jc w:val="center"/>
              <w:rPr>
                <w:sz w:val="24"/>
                <w:szCs w:val="24"/>
              </w:rPr>
            </w:pPr>
            <w:r w:rsidRPr="00DE315A">
              <w:rPr>
                <w:rFonts w:ascii="宋体" w:hAnsi="宋体"/>
                <w:color w:val="000000"/>
                <w:kern w:val="0"/>
                <w:sz w:val="24"/>
                <w:szCs w:val="24"/>
              </w:rPr>
              <w:t>1</w:t>
            </w:r>
          </w:p>
        </w:tc>
        <w:tc>
          <w:tcPr>
            <w:tcW w:w="1843" w:type="dxa"/>
            <w:vAlign w:val="center"/>
          </w:tcPr>
          <w:p w:rsidR="0062231B" w:rsidRPr="00DE315A" w:rsidRDefault="00FC3037">
            <w:pPr>
              <w:jc w:val="center"/>
              <w:rPr>
                <w:sz w:val="24"/>
                <w:szCs w:val="24"/>
              </w:rPr>
            </w:pPr>
            <w:r w:rsidRPr="00DE315A">
              <w:rPr>
                <w:rFonts w:ascii="宋体" w:hAnsi="宋体"/>
                <w:color w:val="000000"/>
                <w:kern w:val="0"/>
                <w:sz w:val="24"/>
                <w:szCs w:val="24"/>
              </w:rPr>
              <w:t>2017/4/1-2017/6/30</w:t>
            </w:r>
          </w:p>
        </w:tc>
        <w:tc>
          <w:tcPr>
            <w:tcW w:w="851" w:type="dxa"/>
            <w:vAlign w:val="center"/>
          </w:tcPr>
          <w:p w:rsidR="0062231B" w:rsidRPr="00DE315A" w:rsidRDefault="00FC3037">
            <w:pPr>
              <w:jc w:val="center"/>
              <w:rPr>
                <w:sz w:val="24"/>
                <w:szCs w:val="24"/>
              </w:rPr>
            </w:pPr>
            <w:r w:rsidRPr="00DE315A">
              <w:rPr>
                <w:rFonts w:ascii="宋体" w:hAnsi="宋体"/>
                <w:color w:val="000000"/>
                <w:kern w:val="0"/>
                <w:sz w:val="24"/>
                <w:szCs w:val="24"/>
              </w:rPr>
              <w:t>42,752,885.85</w:t>
            </w:r>
          </w:p>
        </w:tc>
        <w:tc>
          <w:tcPr>
            <w:tcW w:w="850" w:type="dxa"/>
            <w:vAlign w:val="center"/>
          </w:tcPr>
          <w:p w:rsidR="0062231B" w:rsidRPr="00DE315A" w:rsidRDefault="00FC3037">
            <w:pPr>
              <w:jc w:val="center"/>
              <w:rPr>
                <w:sz w:val="24"/>
                <w:szCs w:val="24"/>
              </w:rPr>
            </w:pPr>
            <w:r w:rsidRPr="00DE315A">
              <w:rPr>
                <w:rFonts w:ascii="宋体" w:hAnsi="宋体"/>
                <w:color w:val="000000"/>
                <w:kern w:val="0"/>
                <w:sz w:val="24"/>
                <w:szCs w:val="24"/>
              </w:rPr>
              <w:t>61,881,467.05</w:t>
            </w:r>
          </w:p>
        </w:tc>
        <w:tc>
          <w:tcPr>
            <w:tcW w:w="1134" w:type="dxa"/>
            <w:vAlign w:val="center"/>
          </w:tcPr>
          <w:p w:rsidR="0062231B" w:rsidRPr="00DE315A" w:rsidRDefault="00FC3037">
            <w:pPr>
              <w:jc w:val="center"/>
              <w:rPr>
                <w:sz w:val="24"/>
                <w:szCs w:val="24"/>
              </w:rPr>
            </w:pPr>
            <w:r w:rsidRPr="00DE315A">
              <w:rPr>
                <w:rFonts w:ascii="宋体" w:hAnsi="宋体"/>
                <w:color w:val="000000"/>
                <w:kern w:val="0"/>
                <w:sz w:val="24"/>
                <w:szCs w:val="24"/>
              </w:rPr>
              <w:t>-</w:t>
            </w:r>
          </w:p>
        </w:tc>
        <w:tc>
          <w:tcPr>
            <w:tcW w:w="1419" w:type="dxa"/>
            <w:vAlign w:val="center"/>
          </w:tcPr>
          <w:p w:rsidR="0062231B" w:rsidRPr="00DE315A" w:rsidRDefault="00FC3037">
            <w:pPr>
              <w:jc w:val="center"/>
              <w:rPr>
                <w:sz w:val="24"/>
                <w:szCs w:val="24"/>
              </w:rPr>
            </w:pPr>
            <w:r w:rsidRPr="00DE315A">
              <w:rPr>
                <w:rFonts w:ascii="宋体" w:hAnsi="宋体"/>
                <w:color w:val="000000"/>
                <w:kern w:val="0"/>
                <w:sz w:val="24"/>
                <w:szCs w:val="24"/>
              </w:rPr>
              <w:t>104,634,352.90</w:t>
            </w:r>
          </w:p>
        </w:tc>
        <w:tc>
          <w:tcPr>
            <w:tcW w:w="1130" w:type="dxa"/>
            <w:vAlign w:val="center"/>
          </w:tcPr>
          <w:p w:rsidR="0062231B" w:rsidRPr="00DE315A" w:rsidRDefault="00FC3037">
            <w:pPr>
              <w:jc w:val="center"/>
              <w:rPr>
                <w:sz w:val="24"/>
                <w:szCs w:val="24"/>
              </w:rPr>
            </w:pPr>
            <w:r w:rsidRPr="00DE315A">
              <w:rPr>
                <w:rFonts w:ascii="宋体" w:hAnsi="宋体"/>
                <w:color w:val="000000"/>
                <w:kern w:val="0"/>
                <w:sz w:val="24"/>
                <w:szCs w:val="24"/>
              </w:rPr>
              <w:t>20.76%</w:t>
            </w:r>
          </w:p>
        </w:tc>
      </w:tr>
      <w:tr w:rsidR="0062231B" w:rsidRPr="004C7F9B">
        <w:tc>
          <w:tcPr>
            <w:tcW w:w="993" w:type="dxa"/>
            <w:vMerge/>
          </w:tcPr>
          <w:p w:rsidR="0062231B" w:rsidRPr="00DE315A" w:rsidRDefault="0062231B">
            <w:pPr>
              <w:rPr>
                <w:sz w:val="24"/>
                <w:szCs w:val="24"/>
              </w:rPr>
            </w:pPr>
          </w:p>
        </w:tc>
        <w:tc>
          <w:tcPr>
            <w:tcW w:w="992" w:type="dxa"/>
            <w:vAlign w:val="center"/>
          </w:tcPr>
          <w:p w:rsidR="0062231B" w:rsidRPr="00DE315A" w:rsidRDefault="00FC3037">
            <w:pPr>
              <w:jc w:val="center"/>
              <w:rPr>
                <w:sz w:val="24"/>
                <w:szCs w:val="24"/>
              </w:rPr>
            </w:pPr>
            <w:r w:rsidRPr="00DE315A">
              <w:rPr>
                <w:rFonts w:ascii="宋体" w:hAnsi="宋体"/>
                <w:color w:val="000000"/>
                <w:kern w:val="0"/>
                <w:sz w:val="24"/>
                <w:szCs w:val="24"/>
              </w:rPr>
              <w:t>2</w:t>
            </w:r>
          </w:p>
        </w:tc>
        <w:tc>
          <w:tcPr>
            <w:tcW w:w="1843" w:type="dxa"/>
            <w:vAlign w:val="center"/>
          </w:tcPr>
          <w:p w:rsidR="0062231B" w:rsidRPr="00DE315A" w:rsidRDefault="00FC3037">
            <w:pPr>
              <w:jc w:val="center"/>
              <w:rPr>
                <w:sz w:val="24"/>
                <w:szCs w:val="24"/>
              </w:rPr>
            </w:pPr>
            <w:r w:rsidRPr="00DE315A">
              <w:rPr>
                <w:rFonts w:ascii="宋体" w:hAnsi="宋体"/>
                <w:color w:val="000000"/>
                <w:kern w:val="0"/>
                <w:sz w:val="24"/>
                <w:szCs w:val="24"/>
              </w:rPr>
              <w:t>2017/4/1-2017/6/30</w:t>
            </w:r>
          </w:p>
        </w:tc>
        <w:tc>
          <w:tcPr>
            <w:tcW w:w="851" w:type="dxa"/>
            <w:vAlign w:val="center"/>
          </w:tcPr>
          <w:p w:rsidR="0062231B" w:rsidRPr="00DE315A" w:rsidRDefault="00FC3037">
            <w:pPr>
              <w:jc w:val="center"/>
              <w:rPr>
                <w:sz w:val="24"/>
                <w:szCs w:val="24"/>
              </w:rPr>
            </w:pPr>
            <w:r w:rsidRPr="00DE315A">
              <w:rPr>
                <w:rFonts w:ascii="宋体" w:hAnsi="宋体"/>
                <w:color w:val="000000"/>
                <w:kern w:val="0"/>
                <w:sz w:val="24"/>
                <w:szCs w:val="24"/>
              </w:rPr>
              <w:t>172,301,106.33</w:t>
            </w:r>
          </w:p>
        </w:tc>
        <w:tc>
          <w:tcPr>
            <w:tcW w:w="850" w:type="dxa"/>
            <w:vAlign w:val="center"/>
          </w:tcPr>
          <w:p w:rsidR="0062231B" w:rsidRPr="00DE315A" w:rsidRDefault="00FC3037">
            <w:pPr>
              <w:jc w:val="center"/>
              <w:rPr>
                <w:sz w:val="24"/>
                <w:szCs w:val="24"/>
              </w:rPr>
            </w:pPr>
            <w:r w:rsidRPr="00DE315A">
              <w:rPr>
                <w:rFonts w:ascii="宋体" w:hAnsi="宋体"/>
                <w:color w:val="000000"/>
                <w:kern w:val="0"/>
                <w:sz w:val="24"/>
                <w:szCs w:val="24"/>
              </w:rPr>
              <w:t>-</w:t>
            </w:r>
          </w:p>
        </w:tc>
        <w:tc>
          <w:tcPr>
            <w:tcW w:w="1134" w:type="dxa"/>
            <w:vAlign w:val="center"/>
          </w:tcPr>
          <w:p w:rsidR="0062231B" w:rsidRPr="00DE315A" w:rsidRDefault="00FC3037">
            <w:pPr>
              <w:jc w:val="center"/>
              <w:rPr>
                <w:sz w:val="24"/>
                <w:szCs w:val="24"/>
              </w:rPr>
            </w:pPr>
            <w:r w:rsidRPr="00DE315A">
              <w:rPr>
                <w:rFonts w:ascii="宋体" w:hAnsi="宋体"/>
                <w:color w:val="000000"/>
                <w:kern w:val="0"/>
                <w:sz w:val="24"/>
                <w:szCs w:val="24"/>
              </w:rPr>
              <w:t>-</w:t>
            </w:r>
          </w:p>
        </w:tc>
        <w:tc>
          <w:tcPr>
            <w:tcW w:w="1419" w:type="dxa"/>
            <w:vAlign w:val="center"/>
          </w:tcPr>
          <w:p w:rsidR="0062231B" w:rsidRPr="00DE315A" w:rsidRDefault="00FC3037">
            <w:pPr>
              <w:jc w:val="center"/>
              <w:rPr>
                <w:sz w:val="24"/>
                <w:szCs w:val="24"/>
              </w:rPr>
            </w:pPr>
            <w:r w:rsidRPr="00DE315A">
              <w:rPr>
                <w:rFonts w:ascii="宋体" w:hAnsi="宋体"/>
                <w:color w:val="000000"/>
                <w:kern w:val="0"/>
                <w:sz w:val="24"/>
                <w:szCs w:val="24"/>
              </w:rPr>
              <w:t>172,301,106.33</w:t>
            </w:r>
          </w:p>
        </w:tc>
        <w:tc>
          <w:tcPr>
            <w:tcW w:w="1130" w:type="dxa"/>
            <w:vAlign w:val="center"/>
          </w:tcPr>
          <w:p w:rsidR="0062231B" w:rsidRPr="00DE315A" w:rsidRDefault="00FC3037">
            <w:pPr>
              <w:jc w:val="center"/>
              <w:rPr>
                <w:sz w:val="24"/>
                <w:szCs w:val="24"/>
              </w:rPr>
            </w:pPr>
            <w:r w:rsidRPr="00DE315A">
              <w:rPr>
                <w:rFonts w:ascii="宋体" w:hAnsi="宋体"/>
                <w:color w:val="000000"/>
                <w:kern w:val="0"/>
                <w:sz w:val="24"/>
                <w:szCs w:val="24"/>
              </w:rPr>
              <w:t>34.19%</w:t>
            </w:r>
          </w:p>
        </w:tc>
      </w:tr>
    </w:tbl>
    <w:p w:rsidR="003C50AD" w:rsidRPr="00DE315A" w:rsidRDefault="003C50AD" w:rsidP="003C50AD">
      <w:pPr>
        <w:autoSpaceDE w:val="0"/>
        <w:autoSpaceDN w:val="0"/>
        <w:adjustRightInd w:val="0"/>
        <w:spacing w:line="360" w:lineRule="auto"/>
        <w:jc w:val="left"/>
        <w:rPr>
          <w:rFonts w:ascii="宋体" w:hAnsi="宋体"/>
          <w:bCs/>
          <w:color w:val="000000"/>
          <w:kern w:val="0"/>
          <w:sz w:val="24"/>
          <w:szCs w:val="24"/>
        </w:rPr>
      </w:pPr>
      <w:r w:rsidRPr="00DE315A">
        <w:rPr>
          <w:rFonts w:ascii="宋体" w:hAnsi="宋体" w:hint="eastAsia"/>
          <w:bCs/>
          <w:color w:val="000000"/>
          <w:kern w:val="0"/>
          <w:sz w:val="24"/>
          <w:szCs w:val="24"/>
        </w:rPr>
        <w:t>注：本基金本报告期内出现单一投资者持有基金份额比例超过基金总份额</w:t>
      </w:r>
      <w:r w:rsidRPr="00DE315A">
        <w:rPr>
          <w:rFonts w:ascii="宋体" w:hAnsi="宋体"/>
          <w:bCs/>
          <w:color w:val="000000"/>
          <w:kern w:val="0"/>
          <w:sz w:val="24"/>
          <w:szCs w:val="24"/>
        </w:rPr>
        <w:t>20%的情况。如该类投资者集中赎回，可能会对本基金带来流动性冲击，从而影响基金的投资运作和收益水平。基金管理人将加强流动性管理，防范相关风险，保护持有人利益。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2231B" w:rsidRDefault="00FC303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62231B" w:rsidRDefault="00FC303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62231B" w:rsidRDefault="00FC303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62231B" w:rsidRDefault="00FC303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62231B" w:rsidRDefault="00FC303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62231B" w:rsidRDefault="00FC303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62231B" w:rsidRDefault="00FC303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2231B" w:rsidRDefault="00FC303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w:t>
      </w:r>
      <w:r w:rsidRPr="00414345">
        <w:rPr>
          <w:color w:val="000000"/>
          <w:sz w:val="24"/>
          <w:szCs w:val="24"/>
        </w:rPr>
        <w:lastRenderedPageBreak/>
        <w:t>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A5" w:rsidRDefault="008C56A5" w:rsidP="00876D65">
      <w:r>
        <w:separator/>
      </w:r>
    </w:p>
  </w:endnote>
  <w:endnote w:type="continuationSeparator" w:id="0">
    <w:p w:rsidR="008C56A5" w:rsidRDefault="008C56A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417BC">
      <w:rPr>
        <w:noProof/>
        <w:kern w:val="0"/>
        <w:szCs w:val="21"/>
      </w:rPr>
      <w:t>8</w:t>
    </w:r>
    <w:r w:rsidR="0052479B">
      <w:rPr>
        <w:kern w:val="0"/>
        <w:szCs w:val="21"/>
      </w:rPr>
      <w:fldChar w:fldCharType="end"/>
    </w:r>
    <w:proofErr w:type="gramStart"/>
    <w:r>
      <w:rPr>
        <w:rFonts w:hint="eastAsia"/>
        <w:kern w:val="0"/>
        <w:szCs w:val="21"/>
      </w:rPr>
      <w:t>页共</w:t>
    </w:r>
    <w:proofErr w:type="gramEnd"/>
    <w:r w:rsidR="0052479B">
      <w:rPr>
        <w:kern w:val="0"/>
        <w:szCs w:val="21"/>
      </w:rPr>
      <w:fldChar w:fldCharType="begin"/>
    </w:r>
    <w:r>
      <w:rPr>
        <w:kern w:val="0"/>
        <w:szCs w:val="21"/>
      </w:rPr>
      <w:instrText xml:space="preserve"> NUMPAGES </w:instrText>
    </w:r>
    <w:r w:rsidR="0052479B">
      <w:rPr>
        <w:kern w:val="0"/>
        <w:szCs w:val="21"/>
      </w:rPr>
      <w:fldChar w:fldCharType="separate"/>
    </w:r>
    <w:r w:rsidR="00E417BC">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A5" w:rsidRDefault="008C56A5" w:rsidP="00876D65">
      <w:r>
        <w:separator/>
      </w:r>
    </w:p>
  </w:footnote>
  <w:footnote w:type="continuationSeparator" w:id="0">
    <w:p w:rsidR="008C56A5" w:rsidRDefault="008C56A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53E43"/>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C7F9B"/>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231B"/>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56A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97E71"/>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315A"/>
    <w:rsid w:val="00DE4B43"/>
    <w:rsid w:val="00E02660"/>
    <w:rsid w:val="00E04BE1"/>
    <w:rsid w:val="00E215BA"/>
    <w:rsid w:val="00E36549"/>
    <w:rsid w:val="00E40D31"/>
    <w:rsid w:val="00E41260"/>
    <w:rsid w:val="00E417BC"/>
    <w:rsid w:val="00E44E18"/>
    <w:rsid w:val="00E52DBC"/>
    <w:rsid w:val="00E54301"/>
    <w:rsid w:val="00E54BF5"/>
    <w:rsid w:val="00E554A1"/>
    <w:rsid w:val="00E55ABD"/>
    <w:rsid w:val="00E60817"/>
    <w:rsid w:val="00E609C6"/>
    <w:rsid w:val="00E62DE5"/>
    <w:rsid w:val="00E705CC"/>
    <w:rsid w:val="00E84C7E"/>
    <w:rsid w:val="00E85E4B"/>
    <w:rsid w:val="00E8670B"/>
    <w:rsid w:val="00E955AC"/>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3037"/>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0F1D806-4657-4FD5-9D82-010FAB24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6A06-5CB2-4019-A730-F7210AB3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12</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573</cp:revision>
  <dcterms:created xsi:type="dcterms:W3CDTF">2012-10-16T06:07:00Z</dcterms:created>
  <dcterms:modified xsi:type="dcterms:W3CDTF">2017-07-18T09:30:00Z</dcterms:modified>
</cp:coreProperties>
</file>