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交银施罗德策略回报灵活配置混合型证券投资基金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C57B36">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42877" w:rsidRDefault="00C57B3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42877" w:rsidRDefault="00C57B36">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42877" w:rsidRDefault="00C57B3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42877" w:rsidRDefault="00C57B3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42877" w:rsidRDefault="00C57B36">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C57B3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交银策略回报灵活配置混合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725,278,244.49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本基金根据对宏观经济周期和市场环境的分析研究，自上而下配置资产，并通过对类属资产灵活运用多种投资策略，力争实现基金资产的长期稳定增值。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本基金将通过</w:t>
            </w:r>
            <w:r w:rsidRPr="00414345">
              <w:rPr>
                <w:color w:val="000000"/>
                <w:kern w:val="0"/>
                <w:sz w:val="24"/>
                <w:szCs w:val="24"/>
              </w:rPr>
              <w:t>“</w:t>
            </w:r>
            <w:r w:rsidRPr="00414345">
              <w:rPr>
                <w:color w:val="000000"/>
                <w:kern w:val="0"/>
                <w:sz w:val="24"/>
                <w:szCs w:val="24"/>
              </w:rPr>
              <w:t>自上而下</w:t>
            </w:r>
            <w:r w:rsidRPr="00414345">
              <w:rPr>
                <w:color w:val="000000"/>
                <w:kern w:val="0"/>
                <w:sz w:val="24"/>
                <w:szCs w:val="24"/>
              </w:rPr>
              <w:t>”</w:t>
            </w:r>
            <w:r w:rsidRPr="00414345">
              <w:rPr>
                <w:color w:val="000000"/>
                <w:kern w:val="0"/>
                <w:sz w:val="24"/>
                <w:szCs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本基金为混合型证券投资基金，其预期收益和风险高于货币市场基金、债券型基金，而低于股票型基金，属于证券投资基金中的中高风险品种。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C57B3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57B36" w:rsidRPr="00414345" w:rsidTr="00C57B36">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C57B36" w:rsidRPr="00414345" w:rsidTr="00C57B3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29,610,733.62</w:t>
            </w:r>
          </w:p>
        </w:tc>
      </w:tr>
      <w:tr w:rsidR="00C57B36" w:rsidRPr="00414345" w:rsidTr="00C57B3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83,133,453.57</w:t>
            </w:r>
          </w:p>
        </w:tc>
      </w:tr>
      <w:tr w:rsidR="00C57B36" w:rsidRPr="00414345" w:rsidTr="00C57B3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0.1105</w:t>
            </w:r>
          </w:p>
        </w:tc>
      </w:tr>
      <w:tr w:rsidR="00C57B36" w:rsidRPr="00414345" w:rsidTr="00C57B3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889,334,171.10</w:t>
            </w:r>
          </w:p>
        </w:tc>
      </w:tr>
      <w:tr w:rsidR="00C57B36" w:rsidRPr="00414345" w:rsidTr="00C57B36">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1.226</w:t>
            </w:r>
          </w:p>
        </w:tc>
      </w:tr>
    </w:tbl>
    <w:p w:rsidR="00042877" w:rsidRDefault="00C57B3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42877">
        <w:trPr>
          <w:jc w:val="center"/>
        </w:trPr>
        <w:tc>
          <w:tcPr>
            <w:tcW w:w="1701" w:type="dxa"/>
            <w:vAlign w:val="center"/>
          </w:tcPr>
          <w:p w:rsidR="00042877" w:rsidRDefault="00C57B36">
            <w:pPr>
              <w:jc w:val="left"/>
            </w:pPr>
            <w:r>
              <w:rPr>
                <w:color w:val="000000"/>
                <w:sz w:val="24"/>
                <w:szCs w:val="24"/>
              </w:rPr>
              <w:t>过去三个月</w:t>
            </w:r>
          </w:p>
        </w:tc>
        <w:tc>
          <w:tcPr>
            <w:tcW w:w="1045" w:type="dxa"/>
            <w:vAlign w:val="center"/>
          </w:tcPr>
          <w:p w:rsidR="00042877" w:rsidRDefault="00C57B36">
            <w:pPr>
              <w:jc w:val="center"/>
            </w:pPr>
            <w:r>
              <w:rPr>
                <w:color w:val="000000"/>
                <w:sz w:val="24"/>
                <w:szCs w:val="24"/>
              </w:rPr>
              <w:t>10.35%</w:t>
            </w:r>
          </w:p>
        </w:tc>
        <w:tc>
          <w:tcPr>
            <w:tcW w:w="1344" w:type="dxa"/>
            <w:vAlign w:val="center"/>
          </w:tcPr>
          <w:p w:rsidR="00042877" w:rsidRDefault="00C57B36">
            <w:pPr>
              <w:jc w:val="center"/>
            </w:pPr>
            <w:r>
              <w:rPr>
                <w:color w:val="000000"/>
                <w:sz w:val="24"/>
                <w:szCs w:val="24"/>
              </w:rPr>
              <w:t>1.02%</w:t>
            </w:r>
          </w:p>
        </w:tc>
        <w:tc>
          <w:tcPr>
            <w:tcW w:w="1194" w:type="dxa"/>
            <w:vAlign w:val="center"/>
          </w:tcPr>
          <w:p w:rsidR="00042877" w:rsidRDefault="00C57B36">
            <w:pPr>
              <w:jc w:val="center"/>
            </w:pPr>
            <w:r>
              <w:rPr>
                <w:color w:val="000000"/>
                <w:sz w:val="24"/>
                <w:szCs w:val="24"/>
              </w:rPr>
              <w:t>3.75%</w:t>
            </w:r>
          </w:p>
        </w:tc>
        <w:tc>
          <w:tcPr>
            <w:tcW w:w="1492" w:type="dxa"/>
            <w:vAlign w:val="center"/>
          </w:tcPr>
          <w:p w:rsidR="00042877" w:rsidRDefault="00C57B36">
            <w:pPr>
              <w:jc w:val="center"/>
            </w:pPr>
            <w:r>
              <w:rPr>
                <w:color w:val="000000"/>
                <w:sz w:val="24"/>
                <w:szCs w:val="24"/>
              </w:rPr>
              <w:t>0.38%</w:t>
            </w:r>
          </w:p>
        </w:tc>
        <w:tc>
          <w:tcPr>
            <w:tcW w:w="1194" w:type="dxa"/>
            <w:vAlign w:val="center"/>
          </w:tcPr>
          <w:p w:rsidR="00042877" w:rsidRDefault="00C57B36">
            <w:pPr>
              <w:jc w:val="center"/>
            </w:pPr>
            <w:r>
              <w:rPr>
                <w:color w:val="000000"/>
                <w:sz w:val="24"/>
                <w:szCs w:val="24"/>
              </w:rPr>
              <w:t>6.60%</w:t>
            </w:r>
          </w:p>
        </w:tc>
        <w:tc>
          <w:tcPr>
            <w:tcW w:w="898" w:type="dxa"/>
            <w:vAlign w:val="center"/>
          </w:tcPr>
          <w:p w:rsidR="00042877" w:rsidRDefault="00C57B36">
            <w:pPr>
              <w:jc w:val="center"/>
            </w:pPr>
            <w:r>
              <w:rPr>
                <w:color w:val="000000"/>
                <w:sz w:val="24"/>
                <w:szCs w:val="24"/>
              </w:rPr>
              <w:t>0.64%</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交银施罗德策略回报灵活配置混合型证券投资基金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注：本基金由交银施罗德荣安保本混合型证券投资基金转型而来。基金转型日为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27</w:t>
      </w:r>
      <w:r w:rsidRPr="00414345">
        <w:rPr>
          <w:color w:val="000000"/>
          <w:sz w:val="24"/>
          <w:szCs w:val="24"/>
        </w:rPr>
        <w:t>日。本基金的投资转型期为交银施罗德荣安保本混合型证券投资基金保本周期到期选择期截止日次日（即</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27</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C57B3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42877">
        <w:trPr>
          <w:jc w:val="center"/>
        </w:trPr>
        <w:tc>
          <w:tcPr>
            <w:tcW w:w="846" w:type="dxa"/>
            <w:vAlign w:val="center"/>
          </w:tcPr>
          <w:p w:rsidR="00042877" w:rsidRDefault="00C57B36">
            <w:pPr>
              <w:jc w:val="center"/>
            </w:pPr>
            <w:r>
              <w:rPr>
                <w:color w:val="000000"/>
                <w:sz w:val="24"/>
                <w:szCs w:val="24"/>
              </w:rPr>
              <w:t>王少成</w:t>
            </w:r>
          </w:p>
        </w:tc>
        <w:tc>
          <w:tcPr>
            <w:tcW w:w="845" w:type="dxa"/>
            <w:vAlign w:val="center"/>
          </w:tcPr>
          <w:p w:rsidR="00042877" w:rsidRDefault="00C57B36">
            <w:pPr>
              <w:jc w:val="center"/>
            </w:pPr>
            <w:r>
              <w:rPr>
                <w:color w:val="000000"/>
                <w:sz w:val="24"/>
                <w:szCs w:val="24"/>
              </w:rPr>
              <w:t>交银成长混合、交银策略回报灵活配置混合、交银成长</w:t>
            </w:r>
            <w:r>
              <w:rPr>
                <w:color w:val="000000"/>
                <w:sz w:val="24"/>
                <w:szCs w:val="24"/>
              </w:rPr>
              <w:t>30</w:t>
            </w:r>
            <w:r>
              <w:rPr>
                <w:color w:val="000000"/>
                <w:sz w:val="24"/>
                <w:szCs w:val="24"/>
              </w:rPr>
              <w:t>混合、交银荣和保本混合的基金经理，公司权益投资总监</w:t>
            </w:r>
          </w:p>
        </w:tc>
        <w:tc>
          <w:tcPr>
            <w:tcW w:w="1549" w:type="dxa"/>
            <w:vAlign w:val="center"/>
          </w:tcPr>
          <w:p w:rsidR="00042877" w:rsidRDefault="00C57B36">
            <w:pPr>
              <w:jc w:val="center"/>
            </w:pPr>
            <w:r>
              <w:rPr>
                <w:color w:val="000000"/>
                <w:sz w:val="24"/>
                <w:szCs w:val="24"/>
              </w:rPr>
              <w:t>2015-11-07</w:t>
            </w:r>
          </w:p>
        </w:tc>
        <w:tc>
          <w:tcPr>
            <w:tcW w:w="1548" w:type="dxa"/>
            <w:vAlign w:val="center"/>
          </w:tcPr>
          <w:p w:rsidR="00042877" w:rsidRDefault="00C57B36">
            <w:pPr>
              <w:jc w:val="center"/>
            </w:pPr>
            <w:r>
              <w:rPr>
                <w:color w:val="000000"/>
                <w:sz w:val="24"/>
                <w:szCs w:val="24"/>
              </w:rPr>
              <w:t>-</w:t>
            </w:r>
          </w:p>
        </w:tc>
        <w:tc>
          <w:tcPr>
            <w:tcW w:w="1407" w:type="dxa"/>
            <w:vAlign w:val="center"/>
          </w:tcPr>
          <w:p w:rsidR="00042877" w:rsidRDefault="00C57B36">
            <w:pPr>
              <w:jc w:val="center"/>
            </w:pPr>
            <w:r>
              <w:rPr>
                <w:color w:val="000000"/>
                <w:sz w:val="24"/>
                <w:szCs w:val="24"/>
              </w:rPr>
              <w:t>13</w:t>
            </w:r>
            <w:r>
              <w:rPr>
                <w:color w:val="000000"/>
                <w:sz w:val="24"/>
                <w:szCs w:val="24"/>
              </w:rPr>
              <w:t>年</w:t>
            </w:r>
          </w:p>
        </w:tc>
        <w:tc>
          <w:tcPr>
            <w:tcW w:w="2673" w:type="dxa"/>
            <w:vAlign w:val="center"/>
          </w:tcPr>
          <w:p w:rsidR="00042877" w:rsidRDefault="00C57B36">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r w:rsidR="00042877">
        <w:trPr>
          <w:jc w:val="center"/>
        </w:trPr>
        <w:tc>
          <w:tcPr>
            <w:tcW w:w="846" w:type="dxa"/>
            <w:vAlign w:val="center"/>
          </w:tcPr>
          <w:p w:rsidR="00042877" w:rsidRDefault="00C57B36">
            <w:pPr>
              <w:jc w:val="center"/>
            </w:pPr>
            <w:r>
              <w:rPr>
                <w:color w:val="000000"/>
                <w:sz w:val="24"/>
                <w:szCs w:val="24"/>
              </w:rPr>
              <w:t>韩威俊</w:t>
            </w:r>
          </w:p>
        </w:tc>
        <w:tc>
          <w:tcPr>
            <w:tcW w:w="845" w:type="dxa"/>
            <w:vAlign w:val="center"/>
          </w:tcPr>
          <w:p w:rsidR="00042877" w:rsidRDefault="00C57B36">
            <w:pPr>
              <w:jc w:val="center"/>
            </w:pPr>
            <w:r>
              <w:rPr>
                <w:color w:val="000000"/>
                <w:sz w:val="24"/>
                <w:szCs w:val="24"/>
              </w:rPr>
              <w:t>交银趋势混合、交银策略回报灵活配置混合的基金经理</w:t>
            </w:r>
          </w:p>
        </w:tc>
        <w:tc>
          <w:tcPr>
            <w:tcW w:w="1549" w:type="dxa"/>
            <w:vAlign w:val="center"/>
          </w:tcPr>
          <w:p w:rsidR="00042877" w:rsidRDefault="00C57B36">
            <w:pPr>
              <w:jc w:val="center"/>
            </w:pPr>
            <w:r>
              <w:rPr>
                <w:color w:val="000000"/>
                <w:sz w:val="24"/>
                <w:szCs w:val="24"/>
              </w:rPr>
              <w:t>2016-01-20</w:t>
            </w:r>
          </w:p>
        </w:tc>
        <w:tc>
          <w:tcPr>
            <w:tcW w:w="1548" w:type="dxa"/>
            <w:vAlign w:val="center"/>
          </w:tcPr>
          <w:p w:rsidR="00042877" w:rsidRDefault="00C57B36">
            <w:pPr>
              <w:jc w:val="center"/>
            </w:pPr>
            <w:r>
              <w:rPr>
                <w:color w:val="000000"/>
                <w:sz w:val="24"/>
                <w:szCs w:val="24"/>
              </w:rPr>
              <w:t>-</w:t>
            </w:r>
          </w:p>
        </w:tc>
        <w:tc>
          <w:tcPr>
            <w:tcW w:w="1407" w:type="dxa"/>
            <w:vAlign w:val="center"/>
          </w:tcPr>
          <w:p w:rsidR="00042877" w:rsidRDefault="00C57B36">
            <w:pPr>
              <w:jc w:val="center"/>
            </w:pPr>
            <w:r>
              <w:rPr>
                <w:color w:val="000000"/>
                <w:sz w:val="24"/>
                <w:szCs w:val="24"/>
              </w:rPr>
              <w:t>11</w:t>
            </w:r>
            <w:r>
              <w:rPr>
                <w:color w:val="000000"/>
                <w:sz w:val="24"/>
                <w:szCs w:val="24"/>
              </w:rPr>
              <w:t>年</w:t>
            </w:r>
          </w:p>
        </w:tc>
        <w:tc>
          <w:tcPr>
            <w:tcW w:w="2673" w:type="dxa"/>
            <w:vAlign w:val="center"/>
          </w:tcPr>
          <w:p w:rsidR="00042877" w:rsidRDefault="00C57B36">
            <w:r>
              <w:rPr>
                <w:color w:val="000000"/>
                <w:sz w:val="24"/>
                <w:szCs w:val="24"/>
              </w:rPr>
              <w:t>韩威俊先生，上海财经大学金融学硕士。历任申银万国证券研究所助理分析师、北京鼎天资产</w:t>
            </w:r>
            <w:r w:rsidR="004C6AD8" w:rsidRPr="004C6AD8">
              <w:rPr>
                <w:rFonts w:hint="eastAsia"/>
                <w:color w:val="000000"/>
                <w:sz w:val="24"/>
                <w:szCs w:val="24"/>
              </w:rPr>
              <w:t>管理有限公司</w:t>
            </w:r>
            <w:r>
              <w:rPr>
                <w:color w:val="000000"/>
                <w:sz w:val="24"/>
                <w:szCs w:val="24"/>
              </w:rPr>
              <w:t>董事助理、申银万国证券研究所行业分析师、信诚基金管理有限公司投资分析师。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42877" w:rsidRDefault="00C57B3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42877" w:rsidRDefault="00C57B3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42877" w:rsidRDefault="00C57B3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42877" w:rsidRDefault="00C57B36">
      <w:pPr>
        <w:spacing w:before="29" w:line="288" w:lineRule="auto"/>
        <w:ind w:firstLineChars="200" w:firstLine="480"/>
        <w:rPr>
          <w:color w:val="000000"/>
          <w:sz w:val="24"/>
          <w:szCs w:val="24"/>
        </w:rPr>
      </w:pPr>
      <w:r>
        <w:rPr>
          <w:color w:val="000000"/>
          <w:sz w:val="24"/>
          <w:szCs w:val="24"/>
        </w:rPr>
        <w:t>回顾</w:t>
      </w:r>
      <w:r>
        <w:rPr>
          <w:color w:val="000000"/>
          <w:sz w:val="24"/>
          <w:szCs w:val="24"/>
        </w:rPr>
        <w:t>2017</w:t>
      </w:r>
      <w:r>
        <w:rPr>
          <w:color w:val="000000"/>
          <w:sz w:val="24"/>
          <w:szCs w:val="24"/>
        </w:rPr>
        <w:t>年二季度，在金融去杠杆的背景下，整个市场的流动性压力明显增加，风险偏好明显下降，市场整体呈现出存量博弈状态。整个市场风格偏差较大，部分低估值蓝筹白马出现明显上涨，估值较高的成长股压力较大。</w:t>
      </w:r>
    </w:p>
    <w:p w:rsidR="00042877" w:rsidRDefault="00C57B36">
      <w:pPr>
        <w:spacing w:before="29" w:line="288" w:lineRule="auto"/>
        <w:ind w:firstLineChars="200" w:firstLine="480"/>
        <w:rPr>
          <w:color w:val="000000"/>
          <w:sz w:val="24"/>
          <w:szCs w:val="24"/>
        </w:rPr>
      </w:pPr>
      <w:r>
        <w:rPr>
          <w:color w:val="000000"/>
          <w:sz w:val="24"/>
          <w:szCs w:val="24"/>
        </w:rPr>
        <w:t>本基金在二季度继续维持配置现金流趋势性向上的价值成长白马，获得了比较明显的绝对收益和相对收益。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预计市场的流动性仍然是指数运行的主要矛盾，整体估值水平仍然将继续下移。大部分蓝筹白马的估值修复行情基本上告一段落，后续预计应该更加注重自下而上，选择业绩能够持续超预期的品种做集中重点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日，本基金基金份额净值为</w:t>
      </w:r>
      <w:r w:rsidR="005C5EDA" w:rsidRPr="00414345">
        <w:rPr>
          <w:color w:val="000000"/>
          <w:sz w:val="24"/>
          <w:szCs w:val="24"/>
        </w:rPr>
        <w:t>1.226</w:t>
      </w:r>
      <w:r w:rsidRPr="00414345">
        <w:rPr>
          <w:color w:val="000000"/>
          <w:sz w:val="24"/>
          <w:szCs w:val="24"/>
        </w:rPr>
        <w:t>元，本报告期份额净值增长率为</w:t>
      </w:r>
      <w:r w:rsidRPr="00414345">
        <w:rPr>
          <w:color w:val="000000"/>
          <w:sz w:val="24"/>
          <w:szCs w:val="24"/>
        </w:rPr>
        <w:t>10.35%</w:t>
      </w:r>
      <w:r w:rsidRPr="00414345">
        <w:rPr>
          <w:color w:val="000000"/>
          <w:sz w:val="24"/>
          <w:szCs w:val="24"/>
        </w:rPr>
        <w:t>，同期业绩比较基准增长率为</w:t>
      </w:r>
      <w:r w:rsidRPr="00414345">
        <w:rPr>
          <w:color w:val="000000"/>
          <w:sz w:val="24"/>
          <w:szCs w:val="24"/>
        </w:rPr>
        <w:t>3.75%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C57B3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704,759,589.86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78.52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704,759,589.86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78.52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39,712,000.00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4.42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39,712,000.00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4.42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149,791,997.61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16.69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3,325,395.25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0.37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897,588,982.72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8D1AF7">
            <w:pPr>
              <w:spacing w:before="29" w:line="288" w:lineRule="auto"/>
              <w:jc w:val="right"/>
              <w:rPr>
                <w:sz w:val="24"/>
                <w:szCs w:val="24"/>
              </w:rPr>
            </w:pPr>
            <w:r w:rsidRPr="00414345">
              <w:rPr>
                <w:sz w:val="24"/>
                <w:szCs w:val="24"/>
              </w:rPr>
              <w:t>555,</w:t>
            </w:r>
            <w:r w:rsidR="008D1AF7">
              <w:rPr>
                <w:rFonts w:hint="eastAsia"/>
                <w:sz w:val="24"/>
                <w:szCs w:val="24"/>
              </w:rPr>
              <w:t>724</w:t>
            </w:r>
            <w:r w:rsidRPr="00414345">
              <w:rPr>
                <w:sz w:val="24"/>
                <w:szCs w:val="24"/>
              </w:rPr>
              <w:t>,</w:t>
            </w:r>
            <w:r w:rsidR="008D1AF7">
              <w:rPr>
                <w:rFonts w:hint="eastAsia"/>
                <w:sz w:val="24"/>
                <w:szCs w:val="24"/>
              </w:rPr>
              <w:t>131.88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8D1AF7">
            <w:pPr>
              <w:spacing w:before="29" w:line="288" w:lineRule="auto"/>
              <w:jc w:val="right"/>
              <w:rPr>
                <w:sz w:val="24"/>
                <w:szCs w:val="24"/>
              </w:rPr>
            </w:pPr>
            <w:r w:rsidRPr="00414345">
              <w:rPr>
                <w:sz w:val="24"/>
                <w:szCs w:val="24"/>
              </w:rPr>
              <w:t>62.4</w:t>
            </w:r>
            <w:r w:rsidR="008D1AF7">
              <w:rPr>
                <w:rFonts w:hint="eastAsia"/>
                <w:sz w:val="24"/>
                <w:szCs w:val="24"/>
              </w:rPr>
              <w:t>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1,372.80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36,252,284.76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C57B36"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57B36" w:rsidRPr="00414345" w:rsidRDefault="00C57B36"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C57B36" w:rsidRPr="00414345" w:rsidRDefault="00C57B36"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C57B36" w:rsidRPr="007F52FA" w:rsidRDefault="00C57B36" w:rsidP="008D1AF7">
            <w:pPr>
              <w:spacing w:before="29" w:line="288" w:lineRule="auto"/>
              <w:jc w:val="right"/>
              <w:rPr>
                <w:sz w:val="24"/>
              </w:rPr>
            </w:pPr>
            <w:r w:rsidRPr="00684082">
              <w:rPr>
                <w:sz w:val="24"/>
              </w:rPr>
              <w:t>7</w:t>
            </w:r>
            <w:r>
              <w:rPr>
                <w:rFonts w:hint="eastAsia"/>
                <w:sz w:val="24"/>
              </w:rPr>
              <w:t>,</w:t>
            </w:r>
            <w:r w:rsidRPr="00684082">
              <w:rPr>
                <w:sz w:val="24"/>
              </w:rPr>
              <w:t>639.62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C57B36" w:rsidRPr="007F52FA" w:rsidRDefault="00C57B36" w:rsidP="008D1AF7">
            <w:pPr>
              <w:spacing w:before="29" w:line="288" w:lineRule="auto"/>
              <w:jc w:val="right"/>
              <w:rPr>
                <w:sz w:val="24"/>
              </w:rPr>
            </w:pPr>
            <w:r w:rsidRPr="00684082">
              <w:rPr>
                <w:sz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75,327,842.00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11,288,877.60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26,157,441.20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704,759,589.86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79.25</w:t>
            </w:r>
          </w:p>
        </w:tc>
      </w:tr>
    </w:tbl>
    <w:p w:rsidR="00F64DB6" w:rsidRDefault="00F64DB6"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42877">
        <w:trPr>
          <w:jc w:val="center"/>
        </w:trPr>
        <w:tc>
          <w:tcPr>
            <w:tcW w:w="855" w:type="dxa"/>
            <w:vAlign w:val="center"/>
          </w:tcPr>
          <w:p w:rsidR="00042877" w:rsidRDefault="00C57B36">
            <w:pPr>
              <w:jc w:val="center"/>
            </w:pPr>
            <w:r>
              <w:rPr>
                <w:color w:val="000000"/>
                <w:sz w:val="24"/>
                <w:szCs w:val="24"/>
              </w:rPr>
              <w:t>1</w:t>
            </w:r>
          </w:p>
        </w:tc>
        <w:tc>
          <w:tcPr>
            <w:tcW w:w="1334" w:type="dxa"/>
            <w:vAlign w:val="center"/>
          </w:tcPr>
          <w:p w:rsidR="00042877" w:rsidRDefault="00C57B36">
            <w:pPr>
              <w:jc w:val="center"/>
            </w:pPr>
            <w:r>
              <w:rPr>
                <w:color w:val="000000"/>
                <w:sz w:val="24"/>
                <w:szCs w:val="24"/>
              </w:rPr>
              <w:t>603808</w:t>
            </w:r>
          </w:p>
        </w:tc>
        <w:tc>
          <w:tcPr>
            <w:tcW w:w="1777" w:type="dxa"/>
            <w:vAlign w:val="center"/>
          </w:tcPr>
          <w:p w:rsidR="00042877" w:rsidRDefault="00C57B36">
            <w:pPr>
              <w:jc w:val="center"/>
            </w:pPr>
            <w:r>
              <w:rPr>
                <w:color w:val="000000"/>
                <w:sz w:val="24"/>
                <w:szCs w:val="24"/>
              </w:rPr>
              <w:t>歌力思</w:t>
            </w:r>
          </w:p>
        </w:tc>
        <w:tc>
          <w:tcPr>
            <w:tcW w:w="1334" w:type="dxa"/>
            <w:vAlign w:val="center"/>
          </w:tcPr>
          <w:p w:rsidR="00042877" w:rsidRDefault="00C57B36">
            <w:pPr>
              <w:jc w:val="right"/>
            </w:pPr>
            <w:r>
              <w:rPr>
                <w:color w:val="000000"/>
                <w:sz w:val="24"/>
                <w:szCs w:val="24"/>
              </w:rPr>
              <w:t>2,832,707</w:t>
            </w:r>
          </w:p>
        </w:tc>
        <w:tc>
          <w:tcPr>
            <w:tcW w:w="1924" w:type="dxa"/>
            <w:vAlign w:val="center"/>
          </w:tcPr>
          <w:p w:rsidR="00042877" w:rsidRDefault="00C57B36">
            <w:pPr>
              <w:jc w:val="right"/>
            </w:pPr>
            <w:r>
              <w:rPr>
                <w:color w:val="000000"/>
                <w:sz w:val="24"/>
                <w:szCs w:val="24"/>
              </w:rPr>
              <w:t>83,621,510.64</w:t>
            </w:r>
          </w:p>
        </w:tc>
        <w:tc>
          <w:tcPr>
            <w:tcW w:w="1644" w:type="dxa"/>
            <w:vAlign w:val="center"/>
          </w:tcPr>
          <w:p w:rsidR="00042877" w:rsidRDefault="00C57B36">
            <w:pPr>
              <w:jc w:val="right"/>
            </w:pPr>
            <w:r>
              <w:rPr>
                <w:color w:val="000000"/>
                <w:sz w:val="24"/>
                <w:szCs w:val="24"/>
              </w:rPr>
              <w:t>9.40</w:t>
            </w:r>
          </w:p>
        </w:tc>
      </w:tr>
      <w:tr w:rsidR="00042877">
        <w:trPr>
          <w:jc w:val="center"/>
        </w:trPr>
        <w:tc>
          <w:tcPr>
            <w:tcW w:w="855" w:type="dxa"/>
            <w:vAlign w:val="center"/>
          </w:tcPr>
          <w:p w:rsidR="00042877" w:rsidRDefault="00C57B36">
            <w:pPr>
              <w:jc w:val="center"/>
            </w:pPr>
            <w:r>
              <w:rPr>
                <w:color w:val="000000"/>
                <w:sz w:val="24"/>
                <w:szCs w:val="24"/>
              </w:rPr>
              <w:t>2</w:t>
            </w:r>
          </w:p>
        </w:tc>
        <w:tc>
          <w:tcPr>
            <w:tcW w:w="1334" w:type="dxa"/>
            <w:vAlign w:val="center"/>
          </w:tcPr>
          <w:p w:rsidR="00042877" w:rsidRDefault="00C57B36">
            <w:pPr>
              <w:jc w:val="center"/>
            </w:pPr>
            <w:r>
              <w:rPr>
                <w:color w:val="000000"/>
                <w:sz w:val="24"/>
                <w:szCs w:val="24"/>
              </w:rPr>
              <w:t>600197</w:t>
            </w:r>
          </w:p>
        </w:tc>
        <w:tc>
          <w:tcPr>
            <w:tcW w:w="1777" w:type="dxa"/>
            <w:vAlign w:val="center"/>
          </w:tcPr>
          <w:p w:rsidR="00042877" w:rsidRDefault="00C57B36">
            <w:pPr>
              <w:jc w:val="center"/>
            </w:pPr>
            <w:r>
              <w:rPr>
                <w:color w:val="000000"/>
                <w:sz w:val="24"/>
                <w:szCs w:val="24"/>
              </w:rPr>
              <w:t>伊力特</w:t>
            </w:r>
          </w:p>
        </w:tc>
        <w:tc>
          <w:tcPr>
            <w:tcW w:w="1334" w:type="dxa"/>
            <w:vAlign w:val="center"/>
          </w:tcPr>
          <w:p w:rsidR="00042877" w:rsidRDefault="00C57B36">
            <w:pPr>
              <w:jc w:val="right"/>
            </w:pPr>
            <w:r>
              <w:rPr>
                <w:color w:val="000000"/>
                <w:sz w:val="24"/>
                <w:szCs w:val="24"/>
              </w:rPr>
              <w:t>4,278,626</w:t>
            </w:r>
          </w:p>
        </w:tc>
        <w:tc>
          <w:tcPr>
            <w:tcW w:w="1924" w:type="dxa"/>
            <w:vAlign w:val="center"/>
          </w:tcPr>
          <w:p w:rsidR="00042877" w:rsidRDefault="00C57B36">
            <w:pPr>
              <w:jc w:val="right"/>
            </w:pPr>
            <w:r>
              <w:rPr>
                <w:color w:val="000000"/>
                <w:sz w:val="24"/>
                <w:szCs w:val="24"/>
              </w:rPr>
              <w:t>83,561,565.78</w:t>
            </w:r>
          </w:p>
        </w:tc>
        <w:tc>
          <w:tcPr>
            <w:tcW w:w="1644" w:type="dxa"/>
            <w:vAlign w:val="center"/>
          </w:tcPr>
          <w:p w:rsidR="00042877" w:rsidRDefault="00C57B36">
            <w:pPr>
              <w:jc w:val="right"/>
            </w:pPr>
            <w:r>
              <w:rPr>
                <w:color w:val="000000"/>
                <w:sz w:val="24"/>
                <w:szCs w:val="24"/>
              </w:rPr>
              <w:t>9.40</w:t>
            </w:r>
          </w:p>
        </w:tc>
      </w:tr>
      <w:tr w:rsidR="00042877">
        <w:trPr>
          <w:jc w:val="center"/>
        </w:trPr>
        <w:tc>
          <w:tcPr>
            <w:tcW w:w="855" w:type="dxa"/>
            <w:vAlign w:val="center"/>
          </w:tcPr>
          <w:p w:rsidR="00042877" w:rsidRDefault="00C57B36">
            <w:pPr>
              <w:jc w:val="center"/>
            </w:pPr>
            <w:r>
              <w:rPr>
                <w:color w:val="000000"/>
                <w:sz w:val="24"/>
                <w:szCs w:val="24"/>
              </w:rPr>
              <w:t>3</w:t>
            </w:r>
          </w:p>
        </w:tc>
        <w:tc>
          <w:tcPr>
            <w:tcW w:w="1334" w:type="dxa"/>
            <w:vAlign w:val="center"/>
          </w:tcPr>
          <w:p w:rsidR="00042877" w:rsidRDefault="00C57B36">
            <w:pPr>
              <w:jc w:val="center"/>
            </w:pPr>
            <w:r>
              <w:rPr>
                <w:color w:val="000000"/>
                <w:sz w:val="24"/>
                <w:szCs w:val="24"/>
              </w:rPr>
              <w:t>600887</w:t>
            </w:r>
          </w:p>
        </w:tc>
        <w:tc>
          <w:tcPr>
            <w:tcW w:w="1777" w:type="dxa"/>
            <w:vAlign w:val="center"/>
          </w:tcPr>
          <w:p w:rsidR="00042877" w:rsidRDefault="00C57B36">
            <w:pPr>
              <w:jc w:val="center"/>
            </w:pPr>
            <w:r>
              <w:rPr>
                <w:color w:val="000000"/>
                <w:sz w:val="24"/>
                <w:szCs w:val="24"/>
              </w:rPr>
              <w:t>伊利股份</w:t>
            </w:r>
          </w:p>
        </w:tc>
        <w:tc>
          <w:tcPr>
            <w:tcW w:w="1334" w:type="dxa"/>
            <w:vAlign w:val="center"/>
          </w:tcPr>
          <w:p w:rsidR="00042877" w:rsidRDefault="00C57B36">
            <w:pPr>
              <w:jc w:val="right"/>
            </w:pPr>
            <w:r>
              <w:rPr>
                <w:color w:val="000000"/>
                <w:sz w:val="24"/>
                <w:szCs w:val="24"/>
              </w:rPr>
              <w:t>3,792,780</w:t>
            </w:r>
          </w:p>
        </w:tc>
        <w:tc>
          <w:tcPr>
            <w:tcW w:w="1924" w:type="dxa"/>
            <w:vAlign w:val="center"/>
          </w:tcPr>
          <w:p w:rsidR="00042877" w:rsidRDefault="00C57B36">
            <w:pPr>
              <w:jc w:val="right"/>
            </w:pPr>
            <w:r>
              <w:rPr>
                <w:color w:val="000000"/>
                <w:sz w:val="24"/>
                <w:szCs w:val="24"/>
              </w:rPr>
              <w:t>81,886,120.20</w:t>
            </w:r>
          </w:p>
        </w:tc>
        <w:tc>
          <w:tcPr>
            <w:tcW w:w="1644" w:type="dxa"/>
            <w:vAlign w:val="center"/>
          </w:tcPr>
          <w:p w:rsidR="00042877" w:rsidRDefault="00C57B36">
            <w:pPr>
              <w:jc w:val="right"/>
            </w:pPr>
            <w:r>
              <w:rPr>
                <w:color w:val="000000"/>
                <w:sz w:val="24"/>
                <w:szCs w:val="24"/>
              </w:rPr>
              <w:t>9.21</w:t>
            </w:r>
          </w:p>
        </w:tc>
      </w:tr>
      <w:tr w:rsidR="00042877">
        <w:trPr>
          <w:jc w:val="center"/>
        </w:trPr>
        <w:tc>
          <w:tcPr>
            <w:tcW w:w="855" w:type="dxa"/>
            <w:vAlign w:val="center"/>
          </w:tcPr>
          <w:p w:rsidR="00042877" w:rsidRDefault="00C57B36">
            <w:pPr>
              <w:jc w:val="center"/>
            </w:pPr>
            <w:r>
              <w:rPr>
                <w:color w:val="000000"/>
                <w:sz w:val="24"/>
                <w:szCs w:val="24"/>
              </w:rPr>
              <w:t>4</w:t>
            </w:r>
          </w:p>
        </w:tc>
        <w:tc>
          <w:tcPr>
            <w:tcW w:w="1334" w:type="dxa"/>
            <w:vAlign w:val="center"/>
          </w:tcPr>
          <w:p w:rsidR="00042877" w:rsidRDefault="00C57B36">
            <w:pPr>
              <w:jc w:val="center"/>
            </w:pPr>
            <w:r>
              <w:rPr>
                <w:color w:val="000000"/>
                <w:sz w:val="24"/>
                <w:szCs w:val="24"/>
              </w:rPr>
              <w:t>603355</w:t>
            </w:r>
          </w:p>
        </w:tc>
        <w:tc>
          <w:tcPr>
            <w:tcW w:w="1777" w:type="dxa"/>
            <w:vAlign w:val="center"/>
          </w:tcPr>
          <w:p w:rsidR="00042877" w:rsidRDefault="00C57B36">
            <w:pPr>
              <w:jc w:val="center"/>
            </w:pPr>
            <w:r>
              <w:rPr>
                <w:color w:val="000000"/>
                <w:sz w:val="24"/>
                <w:szCs w:val="24"/>
              </w:rPr>
              <w:t>莱克电气</w:t>
            </w:r>
          </w:p>
        </w:tc>
        <w:tc>
          <w:tcPr>
            <w:tcW w:w="1334" w:type="dxa"/>
            <w:vAlign w:val="center"/>
          </w:tcPr>
          <w:p w:rsidR="00042877" w:rsidRDefault="00C57B36">
            <w:pPr>
              <w:jc w:val="right"/>
            </w:pPr>
            <w:r>
              <w:rPr>
                <w:color w:val="000000"/>
                <w:sz w:val="24"/>
                <w:szCs w:val="24"/>
              </w:rPr>
              <w:t>1,387,814</w:t>
            </w:r>
          </w:p>
        </w:tc>
        <w:tc>
          <w:tcPr>
            <w:tcW w:w="1924" w:type="dxa"/>
            <w:vAlign w:val="center"/>
          </w:tcPr>
          <w:p w:rsidR="00042877" w:rsidRDefault="00C57B36">
            <w:pPr>
              <w:jc w:val="right"/>
            </w:pPr>
            <w:r>
              <w:rPr>
                <w:color w:val="000000"/>
                <w:sz w:val="24"/>
                <w:szCs w:val="24"/>
              </w:rPr>
              <w:t>81,561,828.78</w:t>
            </w:r>
          </w:p>
        </w:tc>
        <w:tc>
          <w:tcPr>
            <w:tcW w:w="1644" w:type="dxa"/>
            <w:vAlign w:val="center"/>
          </w:tcPr>
          <w:p w:rsidR="00042877" w:rsidRDefault="00C57B36">
            <w:pPr>
              <w:jc w:val="right"/>
            </w:pPr>
            <w:r>
              <w:rPr>
                <w:color w:val="000000"/>
                <w:sz w:val="24"/>
                <w:szCs w:val="24"/>
              </w:rPr>
              <w:t>9.17</w:t>
            </w:r>
          </w:p>
        </w:tc>
      </w:tr>
      <w:tr w:rsidR="00042877">
        <w:trPr>
          <w:jc w:val="center"/>
        </w:trPr>
        <w:tc>
          <w:tcPr>
            <w:tcW w:w="855" w:type="dxa"/>
            <w:vAlign w:val="center"/>
          </w:tcPr>
          <w:p w:rsidR="00042877" w:rsidRDefault="00C57B36">
            <w:pPr>
              <w:jc w:val="center"/>
            </w:pPr>
            <w:r>
              <w:rPr>
                <w:color w:val="000000"/>
                <w:sz w:val="24"/>
                <w:szCs w:val="24"/>
              </w:rPr>
              <w:t>5</w:t>
            </w:r>
          </w:p>
        </w:tc>
        <w:tc>
          <w:tcPr>
            <w:tcW w:w="1334" w:type="dxa"/>
            <w:vAlign w:val="center"/>
          </w:tcPr>
          <w:p w:rsidR="00042877" w:rsidRDefault="00C57B36">
            <w:pPr>
              <w:jc w:val="center"/>
            </w:pPr>
            <w:r>
              <w:rPr>
                <w:color w:val="000000"/>
                <w:sz w:val="24"/>
                <w:szCs w:val="24"/>
              </w:rPr>
              <w:t>000921</w:t>
            </w:r>
          </w:p>
        </w:tc>
        <w:tc>
          <w:tcPr>
            <w:tcW w:w="1777" w:type="dxa"/>
            <w:vAlign w:val="center"/>
          </w:tcPr>
          <w:p w:rsidR="00042877" w:rsidRDefault="00C57B36">
            <w:pPr>
              <w:jc w:val="center"/>
            </w:pPr>
            <w:r>
              <w:rPr>
                <w:color w:val="000000"/>
                <w:sz w:val="24"/>
                <w:szCs w:val="24"/>
              </w:rPr>
              <w:t>海信科龙</w:t>
            </w:r>
          </w:p>
        </w:tc>
        <w:tc>
          <w:tcPr>
            <w:tcW w:w="1334" w:type="dxa"/>
            <w:vAlign w:val="center"/>
          </w:tcPr>
          <w:p w:rsidR="00042877" w:rsidRDefault="00C57B36">
            <w:pPr>
              <w:jc w:val="right"/>
            </w:pPr>
            <w:r>
              <w:rPr>
                <w:color w:val="000000"/>
                <w:sz w:val="24"/>
                <w:szCs w:val="24"/>
              </w:rPr>
              <w:t>4,691,787</w:t>
            </w:r>
          </w:p>
        </w:tc>
        <w:tc>
          <w:tcPr>
            <w:tcW w:w="1924" w:type="dxa"/>
            <w:vAlign w:val="center"/>
          </w:tcPr>
          <w:p w:rsidR="00042877" w:rsidRDefault="00C57B36">
            <w:pPr>
              <w:jc w:val="right"/>
            </w:pPr>
            <w:r>
              <w:rPr>
                <w:color w:val="000000"/>
                <w:sz w:val="24"/>
                <w:szCs w:val="24"/>
              </w:rPr>
              <w:t>80,745,654.27</w:t>
            </w:r>
          </w:p>
        </w:tc>
        <w:tc>
          <w:tcPr>
            <w:tcW w:w="1644" w:type="dxa"/>
            <w:vAlign w:val="center"/>
          </w:tcPr>
          <w:p w:rsidR="00042877" w:rsidRDefault="00C57B36">
            <w:pPr>
              <w:jc w:val="right"/>
            </w:pPr>
            <w:r>
              <w:rPr>
                <w:color w:val="000000"/>
                <w:sz w:val="24"/>
                <w:szCs w:val="24"/>
              </w:rPr>
              <w:t>9.08</w:t>
            </w:r>
          </w:p>
        </w:tc>
      </w:tr>
      <w:tr w:rsidR="00042877">
        <w:trPr>
          <w:jc w:val="center"/>
        </w:trPr>
        <w:tc>
          <w:tcPr>
            <w:tcW w:w="855" w:type="dxa"/>
            <w:vAlign w:val="center"/>
          </w:tcPr>
          <w:p w:rsidR="00042877" w:rsidRDefault="00C57B36">
            <w:pPr>
              <w:jc w:val="center"/>
            </w:pPr>
            <w:r>
              <w:rPr>
                <w:color w:val="000000"/>
                <w:sz w:val="24"/>
                <w:szCs w:val="24"/>
              </w:rPr>
              <w:t>6</w:t>
            </w:r>
          </w:p>
        </w:tc>
        <w:tc>
          <w:tcPr>
            <w:tcW w:w="1334" w:type="dxa"/>
            <w:vAlign w:val="center"/>
          </w:tcPr>
          <w:p w:rsidR="00042877" w:rsidRDefault="00C57B36">
            <w:pPr>
              <w:jc w:val="center"/>
            </w:pPr>
            <w:r>
              <w:rPr>
                <w:color w:val="000000"/>
                <w:sz w:val="24"/>
                <w:szCs w:val="24"/>
              </w:rPr>
              <w:t>000858</w:t>
            </w:r>
          </w:p>
        </w:tc>
        <w:tc>
          <w:tcPr>
            <w:tcW w:w="1777" w:type="dxa"/>
            <w:vAlign w:val="center"/>
          </w:tcPr>
          <w:p w:rsidR="00042877" w:rsidRDefault="00C57B36">
            <w:pPr>
              <w:jc w:val="center"/>
            </w:pPr>
            <w:r>
              <w:rPr>
                <w:color w:val="000000"/>
                <w:sz w:val="24"/>
                <w:szCs w:val="24"/>
              </w:rPr>
              <w:t>五</w:t>
            </w:r>
            <w:r>
              <w:rPr>
                <w:color w:val="000000"/>
                <w:sz w:val="24"/>
                <w:szCs w:val="24"/>
              </w:rPr>
              <w:t xml:space="preserve"> </w:t>
            </w:r>
            <w:r>
              <w:rPr>
                <w:color w:val="000000"/>
                <w:sz w:val="24"/>
                <w:szCs w:val="24"/>
              </w:rPr>
              <w:t>粮</w:t>
            </w:r>
            <w:r>
              <w:rPr>
                <w:color w:val="000000"/>
                <w:sz w:val="24"/>
                <w:szCs w:val="24"/>
              </w:rPr>
              <w:t xml:space="preserve"> </w:t>
            </w:r>
            <w:r>
              <w:rPr>
                <w:color w:val="000000"/>
                <w:sz w:val="24"/>
                <w:szCs w:val="24"/>
              </w:rPr>
              <w:t>液</w:t>
            </w:r>
          </w:p>
        </w:tc>
        <w:tc>
          <w:tcPr>
            <w:tcW w:w="1334" w:type="dxa"/>
            <w:vAlign w:val="center"/>
          </w:tcPr>
          <w:p w:rsidR="00042877" w:rsidRDefault="00C57B36">
            <w:pPr>
              <w:jc w:val="right"/>
            </w:pPr>
            <w:r>
              <w:rPr>
                <w:color w:val="000000"/>
                <w:sz w:val="24"/>
                <w:szCs w:val="24"/>
              </w:rPr>
              <w:t>1,435,311</w:t>
            </w:r>
          </w:p>
        </w:tc>
        <w:tc>
          <w:tcPr>
            <w:tcW w:w="1924" w:type="dxa"/>
            <w:vAlign w:val="center"/>
          </w:tcPr>
          <w:p w:rsidR="00042877" w:rsidRDefault="00C57B36">
            <w:pPr>
              <w:jc w:val="right"/>
            </w:pPr>
            <w:r>
              <w:rPr>
                <w:color w:val="000000"/>
                <w:sz w:val="24"/>
                <w:szCs w:val="24"/>
              </w:rPr>
              <w:t>79,889,410.26</w:t>
            </w:r>
          </w:p>
        </w:tc>
        <w:tc>
          <w:tcPr>
            <w:tcW w:w="1644" w:type="dxa"/>
            <w:vAlign w:val="center"/>
          </w:tcPr>
          <w:p w:rsidR="00042877" w:rsidRDefault="00C57B36">
            <w:pPr>
              <w:jc w:val="right"/>
            </w:pPr>
            <w:r>
              <w:rPr>
                <w:color w:val="000000"/>
                <w:sz w:val="24"/>
                <w:szCs w:val="24"/>
              </w:rPr>
              <w:t>8.98</w:t>
            </w:r>
          </w:p>
        </w:tc>
      </w:tr>
      <w:tr w:rsidR="00042877">
        <w:trPr>
          <w:jc w:val="center"/>
        </w:trPr>
        <w:tc>
          <w:tcPr>
            <w:tcW w:w="855" w:type="dxa"/>
            <w:vAlign w:val="center"/>
          </w:tcPr>
          <w:p w:rsidR="00042877" w:rsidRDefault="00C57B36">
            <w:pPr>
              <w:jc w:val="center"/>
            </w:pPr>
            <w:r>
              <w:rPr>
                <w:color w:val="000000"/>
                <w:sz w:val="24"/>
                <w:szCs w:val="24"/>
              </w:rPr>
              <w:t>7</w:t>
            </w:r>
          </w:p>
        </w:tc>
        <w:tc>
          <w:tcPr>
            <w:tcW w:w="1334" w:type="dxa"/>
            <w:vAlign w:val="center"/>
          </w:tcPr>
          <w:p w:rsidR="00042877" w:rsidRDefault="00C57B36">
            <w:pPr>
              <w:jc w:val="center"/>
            </w:pPr>
            <w:r>
              <w:rPr>
                <w:color w:val="000000"/>
                <w:sz w:val="24"/>
                <w:szCs w:val="24"/>
              </w:rPr>
              <w:t>600036</w:t>
            </w:r>
          </w:p>
        </w:tc>
        <w:tc>
          <w:tcPr>
            <w:tcW w:w="1777" w:type="dxa"/>
            <w:vAlign w:val="center"/>
          </w:tcPr>
          <w:p w:rsidR="00042877" w:rsidRDefault="00C57B36">
            <w:pPr>
              <w:jc w:val="center"/>
            </w:pPr>
            <w:r>
              <w:rPr>
                <w:color w:val="000000"/>
                <w:sz w:val="24"/>
                <w:szCs w:val="24"/>
              </w:rPr>
              <w:t>招商银行</w:t>
            </w:r>
          </w:p>
        </w:tc>
        <w:tc>
          <w:tcPr>
            <w:tcW w:w="1334" w:type="dxa"/>
            <w:vAlign w:val="center"/>
          </w:tcPr>
          <w:p w:rsidR="00042877" w:rsidRDefault="00C57B36">
            <w:pPr>
              <w:jc w:val="right"/>
            </w:pPr>
            <w:r>
              <w:rPr>
                <w:color w:val="000000"/>
                <w:sz w:val="24"/>
                <w:szCs w:val="24"/>
              </w:rPr>
              <w:t>1,690,600</w:t>
            </w:r>
          </w:p>
        </w:tc>
        <w:tc>
          <w:tcPr>
            <w:tcW w:w="1924" w:type="dxa"/>
            <w:vAlign w:val="center"/>
          </w:tcPr>
          <w:p w:rsidR="00042877" w:rsidRDefault="00C57B36">
            <w:pPr>
              <w:jc w:val="right"/>
            </w:pPr>
            <w:r>
              <w:rPr>
                <w:color w:val="000000"/>
                <w:sz w:val="24"/>
                <w:szCs w:val="24"/>
              </w:rPr>
              <w:t>40,422,246.00</w:t>
            </w:r>
          </w:p>
        </w:tc>
        <w:tc>
          <w:tcPr>
            <w:tcW w:w="1644" w:type="dxa"/>
            <w:vAlign w:val="center"/>
          </w:tcPr>
          <w:p w:rsidR="00042877" w:rsidRDefault="00C57B36">
            <w:pPr>
              <w:jc w:val="right"/>
            </w:pPr>
            <w:r>
              <w:rPr>
                <w:color w:val="000000"/>
                <w:sz w:val="24"/>
                <w:szCs w:val="24"/>
              </w:rPr>
              <w:t>4.55</w:t>
            </w:r>
          </w:p>
        </w:tc>
      </w:tr>
      <w:tr w:rsidR="00042877">
        <w:trPr>
          <w:jc w:val="center"/>
        </w:trPr>
        <w:tc>
          <w:tcPr>
            <w:tcW w:w="855" w:type="dxa"/>
            <w:vAlign w:val="center"/>
          </w:tcPr>
          <w:p w:rsidR="00042877" w:rsidRDefault="00C57B36">
            <w:pPr>
              <w:jc w:val="center"/>
            </w:pPr>
            <w:r>
              <w:rPr>
                <w:color w:val="000000"/>
                <w:sz w:val="24"/>
                <w:szCs w:val="24"/>
              </w:rPr>
              <w:t>8</w:t>
            </w:r>
          </w:p>
        </w:tc>
        <w:tc>
          <w:tcPr>
            <w:tcW w:w="1334" w:type="dxa"/>
            <w:vAlign w:val="center"/>
          </w:tcPr>
          <w:p w:rsidR="00042877" w:rsidRDefault="00C57B36">
            <w:pPr>
              <w:jc w:val="center"/>
            </w:pPr>
            <w:r>
              <w:rPr>
                <w:color w:val="000000"/>
                <w:sz w:val="24"/>
                <w:szCs w:val="24"/>
              </w:rPr>
              <w:t>601318</w:t>
            </w:r>
          </w:p>
        </w:tc>
        <w:tc>
          <w:tcPr>
            <w:tcW w:w="1777" w:type="dxa"/>
            <w:vAlign w:val="center"/>
          </w:tcPr>
          <w:p w:rsidR="00042877" w:rsidRDefault="00C57B36">
            <w:pPr>
              <w:jc w:val="center"/>
            </w:pPr>
            <w:r>
              <w:rPr>
                <w:color w:val="000000"/>
                <w:sz w:val="24"/>
                <w:szCs w:val="24"/>
              </w:rPr>
              <w:t>中国平安</w:t>
            </w:r>
          </w:p>
        </w:tc>
        <w:tc>
          <w:tcPr>
            <w:tcW w:w="1334" w:type="dxa"/>
            <w:vAlign w:val="center"/>
          </w:tcPr>
          <w:p w:rsidR="00042877" w:rsidRDefault="00C57B36">
            <w:pPr>
              <w:jc w:val="right"/>
            </w:pPr>
            <w:r>
              <w:rPr>
                <w:color w:val="000000"/>
                <w:sz w:val="24"/>
                <w:szCs w:val="24"/>
              </w:rPr>
              <w:t>703,600</w:t>
            </w:r>
          </w:p>
        </w:tc>
        <w:tc>
          <w:tcPr>
            <w:tcW w:w="1924" w:type="dxa"/>
            <w:vAlign w:val="center"/>
          </w:tcPr>
          <w:p w:rsidR="00042877" w:rsidRDefault="00C57B36">
            <w:pPr>
              <w:jc w:val="right"/>
            </w:pPr>
            <w:r>
              <w:rPr>
                <w:color w:val="000000"/>
                <w:sz w:val="24"/>
                <w:szCs w:val="24"/>
              </w:rPr>
              <w:t>34,905,596.00</w:t>
            </w:r>
          </w:p>
        </w:tc>
        <w:tc>
          <w:tcPr>
            <w:tcW w:w="1644" w:type="dxa"/>
            <w:vAlign w:val="center"/>
          </w:tcPr>
          <w:p w:rsidR="00042877" w:rsidRDefault="00C57B36">
            <w:pPr>
              <w:jc w:val="right"/>
            </w:pPr>
            <w:r>
              <w:rPr>
                <w:color w:val="000000"/>
                <w:sz w:val="24"/>
                <w:szCs w:val="24"/>
              </w:rPr>
              <w:t>3.92</w:t>
            </w:r>
          </w:p>
        </w:tc>
      </w:tr>
      <w:tr w:rsidR="00042877">
        <w:trPr>
          <w:jc w:val="center"/>
        </w:trPr>
        <w:tc>
          <w:tcPr>
            <w:tcW w:w="855" w:type="dxa"/>
            <w:vAlign w:val="center"/>
          </w:tcPr>
          <w:p w:rsidR="00042877" w:rsidRDefault="00C57B36">
            <w:pPr>
              <w:jc w:val="center"/>
            </w:pPr>
            <w:r>
              <w:rPr>
                <w:color w:val="000000"/>
                <w:sz w:val="24"/>
                <w:szCs w:val="24"/>
              </w:rPr>
              <w:t>9</w:t>
            </w:r>
          </w:p>
        </w:tc>
        <w:tc>
          <w:tcPr>
            <w:tcW w:w="1334" w:type="dxa"/>
            <w:vAlign w:val="center"/>
          </w:tcPr>
          <w:p w:rsidR="00042877" w:rsidRDefault="00C57B36">
            <w:pPr>
              <w:jc w:val="center"/>
            </w:pPr>
            <w:r>
              <w:rPr>
                <w:color w:val="000000"/>
                <w:sz w:val="24"/>
                <w:szCs w:val="24"/>
              </w:rPr>
              <w:t>300347</w:t>
            </w:r>
          </w:p>
        </w:tc>
        <w:tc>
          <w:tcPr>
            <w:tcW w:w="1777" w:type="dxa"/>
            <w:vAlign w:val="center"/>
          </w:tcPr>
          <w:p w:rsidR="00042877" w:rsidRDefault="00C57B36">
            <w:pPr>
              <w:jc w:val="center"/>
            </w:pPr>
            <w:r>
              <w:rPr>
                <w:color w:val="000000"/>
                <w:sz w:val="24"/>
                <w:szCs w:val="24"/>
              </w:rPr>
              <w:t>泰格医药</w:t>
            </w:r>
          </w:p>
        </w:tc>
        <w:tc>
          <w:tcPr>
            <w:tcW w:w="1334" w:type="dxa"/>
            <w:vAlign w:val="center"/>
          </w:tcPr>
          <w:p w:rsidR="00042877" w:rsidRDefault="00C57B36">
            <w:pPr>
              <w:jc w:val="right"/>
            </w:pPr>
            <w:r>
              <w:rPr>
                <w:color w:val="000000"/>
                <w:sz w:val="24"/>
                <w:szCs w:val="24"/>
              </w:rPr>
              <w:t>1,080,886</w:t>
            </w:r>
          </w:p>
        </w:tc>
        <w:tc>
          <w:tcPr>
            <w:tcW w:w="1924" w:type="dxa"/>
            <w:vAlign w:val="center"/>
          </w:tcPr>
          <w:p w:rsidR="00042877" w:rsidRDefault="00C57B36">
            <w:pPr>
              <w:jc w:val="right"/>
            </w:pPr>
            <w:r>
              <w:rPr>
                <w:color w:val="000000"/>
                <w:sz w:val="24"/>
                <w:szCs w:val="24"/>
              </w:rPr>
              <w:t>26,157,441.20</w:t>
            </w:r>
          </w:p>
        </w:tc>
        <w:tc>
          <w:tcPr>
            <w:tcW w:w="1644" w:type="dxa"/>
            <w:vAlign w:val="center"/>
          </w:tcPr>
          <w:p w:rsidR="00042877" w:rsidRDefault="00C57B36">
            <w:pPr>
              <w:jc w:val="right"/>
            </w:pPr>
            <w:r>
              <w:rPr>
                <w:color w:val="000000"/>
                <w:sz w:val="24"/>
                <w:szCs w:val="24"/>
              </w:rPr>
              <w:t>2.94</w:t>
            </w:r>
          </w:p>
        </w:tc>
      </w:tr>
      <w:tr w:rsidR="00042877">
        <w:trPr>
          <w:jc w:val="center"/>
        </w:trPr>
        <w:tc>
          <w:tcPr>
            <w:tcW w:w="855" w:type="dxa"/>
            <w:vAlign w:val="center"/>
          </w:tcPr>
          <w:p w:rsidR="00042877" w:rsidRDefault="00C57B36">
            <w:pPr>
              <w:jc w:val="center"/>
            </w:pPr>
            <w:r>
              <w:rPr>
                <w:color w:val="000000"/>
                <w:sz w:val="24"/>
                <w:szCs w:val="24"/>
              </w:rPr>
              <w:t>10</w:t>
            </w:r>
          </w:p>
        </w:tc>
        <w:tc>
          <w:tcPr>
            <w:tcW w:w="1334" w:type="dxa"/>
            <w:vAlign w:val="center"/>
          </w:tcPr>
          <w:p w:rsidR="00042877" w:rsidRDefault="00C57B36">
            <w:pPr>
              <w:jc w:val="center"/>
            </w:pPr>
            <w:r>
              <w:rPr>
                <w:color w:val="000000"/>
                <w:sz w:val="24"/>
                <w:szCs w:val="24"/>
              </w:rPr>
              <w:t>600519</w:t>
            </w:r>
          </w:p>
        </w:tc>
        <w:tc>
          <w:tcPr>
            <w:tcW w:w="1777" w:type="dxa"/>
            <w:vAlign w:val="center"/>
          </w:tcPr>
          <w:p w:rsidR="00042877" w:rsidRDefault="00C57B36">
            <w:pPr>
              <w:jc w:val="center"/>
            </w:pPr>
            <w:r>
              <w:rPr>
                <w:color w:val="000000"/>
                <w:sz w:val="24"/>
                <w:szCs w:val="24"/>
              </w:rPr>
              <w:t>贵州茅台</w:t>
            </w:r>
          </w:p>
        </w:tc>
        <w:tc>
          <w:tcPr>
            <w:tcW w:w="1334" w:type="dxa"/>
            <w:vAlign w:val="center"/>
          </w:tcPr>
          <w:p w:rsidR="00042877" w:rsidRDefault="00C57B36">
            <w:pPr>
              <w:jc w:val="right"/>
            </w:pPr>
            <w:r>
              <w:rPr>
                <w:color w:val="000000"/>
                <w:sz w:val="24"/>
                <w:szCs w:val="24"/>
              </w:rPr>
              <w:t>55,407</w:t>
            </w:r>
          </w:p>
        </w:tc>
        <w:tc>
          <w:tcPr>
            <w:tcW w:w="1924" w:type="dxa"/>
            <w:vAlign w:val="center"/>
          </w:tcPr>
          <w:p w:rsidR="00042877" w:rsidRDefault="00C57B36">
            <w:pPr>
              <w:jc w:val="right"/>
            </w:pPr>
            <w:r>
              <w:rPr>
                <w:color w:val="000000"/>
                <w:sz w:val="24"/>
                <w:szCs w:val="24"/>
              </w:rPr>
              <w:t>26,143,792.95</w:t>
            </w:r>
          </w:p>
        </w:tc>
        <w:tc>
          <w:tcPr>
            <w:tcW w:w="1644" w:type="dxa"/>
            <w:vAlign w:val="center"/>
          </w:tcPr>
          <w:p w:rsidR="00042877" w:rsidRDefault="00C57B36">
            <w:pPr>
              <w:jc w:val="right"/>
            </w:pPr>
            <w:r>
              <w:rPr>
                <w:color w:val="000000"/>
                <w:sz w:val="24"/>
                <w:szCs w:val="24"/>
              </w:rPr>
              <w:t>2.94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39,712,000.00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C57B36">
        <w:trPr>
          <w:jc w:val="center"/>
        </w:trPr>
        <w:tc>
          <w:tcPr>
            <w:tcW w:w="828" w:type="dxa"/>
            <w:vAlign w:val="center"/>
          </w:tcPr>
          <w:p w:rsidR="00F323FF" w:rsidRPr="007A70C2" w:rsidRDefault="00F323FF" w:rsidP="00C57B36">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C57B36">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C57B36">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C57B36">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39,712,000.00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42877">
        <w:trPr>
          <w:jc w:val="center"/>
        </w:trPr>
        <w:tc>
          <w:tcPr>
            <w:tcW w:w="850" w:type="dxa"/>
            <w:vAlign w:val="center"/>
          </w:tcPr>
          <w:p w:rsidR="00042877" w:rsidRDefault="00C57B36">
            <w:pPr>
              <w:jc w:val="center"/>
            </w:pPr>
            <w:r>
              <w:rPr>
                <w:color w:val="000000"/>
                <w:sz w:val="24"/>
                <w:szCs w:val="24"/>
              </w:rPr>
              <w:t>1</w:t>
            </w:r>
          </w:p>
        </w:tc>
        <w:tc>
          <w:tcPr>
            <w:tcW w:w="1475" w:type="dxa"/>
            <w:vAlign w:val="center"/>
          </w:tcPr>
          <w:p w:rsidR="00042877" w:rsidRDefault="00C57B36">
            <w:pPr>
              <w:jc w:val="center"/>
            </w:pPr>
            <w:r>
              <w:rPr>
                <w:color w:val="000000"/>
                <w:sz w:val="24"/>
                <w:szCs w:val="24"/>
              </w:rPr>
              <w:t>179919</w:t>
            </w:r>
          </w:p>
        </w:tc>
        <w:tc>
          <w:tcPr>
            <w:tcW w:w="1769" w:type="dxa"/>
            <w:vAlign w:val="center"/>
          </w:tcPr>
          <w:p w:rsidR="00042877" w:rsidRDefault="00C57B36">
            <w:pPr>
              <w:jc w:val="center"/>
            </w:pPr>
            <w:r>
              <w:rPr>
                <w:color w:val="000000"/>
                <w:sz w:val="24"/>
                <w:szCs w:val="24"/>
              </w:rPr>
              <w:t>17</w:t>
            </w:r>
            <w:r>
              <w:rPr>
                <w:color w:val="000000"/>
                <w:sz w:val="24"/>
                <w:szCs w:val="24"/>
              </w:rPr>
              <w:t>贴现国债</w:t>
            </w:r>
            <w:r>
              <w:rPr>
                <w:color w:val="000000"/>
                <w:sz w:val="24"/>
                <w:szCs w:val="24"/>
              </w:rPr>
              <w:t>19</w:t>
            </w:r>
          </w:p>
        </w:tc>
        <w:tc>
          <w:tcPr>
            <w:tcW w:w="1387" w:type="dxa"/>
            <w:vAlign w:val="center"/>
          </w:tcPr>
          <w:p w:rsidR="00042877" w:rsidRDefault="00C57B36">
            <w:pPr>
              <w:jc w:val="right"/>
            </w:pPr>
            <w:r>
              <w:rPr>
                <w:color w:val="000000"/>
                <w:sz w:val="24"/>
                <w:szCs w:val="24"/>
              </w:rPr>
              <w:t>400,000</w:t>
            </w:r>
          </w:p>
        </w:tc>
        <w:tc>
          <w:tcPr>
            <w:tcW w:w="2150" w:type="dxa"/>
            <w:vAlign w:val="center"/>
          </w:tcPr>
          <w:p w:rsidR="00042877" w:rsidRDefault="00C57B36">
            <w:pPr>
              <w:jc w:val="right"/>
            </w:pPr>
            <w:r>
              <w:rPr>
                <w:color w:val="000000"/>
                <w:sz w:val="24"/>
                <w:szCs w:val="24"/>
              </w:rPr>
              <w:t>39,712,000.00</w:t>
            </w:r>
          </w:p>
        </w:tc>
        <w:tc>
          <w:tcPr>
            <w:tcW w:w="1237" w:type="dxa"/>
            <w:vAlign w:val="center"/>
          </w:tcPr>
          <w:p w:rsidR="00042877" w:rsidRDefault="00C57B36">
            <w:pPr>
              <w:jc w:val="right"/>
            </w:pPr>
            <w:r>
              <w:rPr>
                <w:color w:val="000000"/>
                <w:sz w:val="24"/>
                <w:szCs w:val="24"/>
              </w:rPr>
              <w:t>4.47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516,749.72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1,869,559.68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239,649.55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699,436.30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3,325,395.25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738,729,283.35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146,197,961.84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159,649,000.70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725,278,244.49</w:t>
            </w:r>
          </w:p>
        </w:tc>
      </w:tr>
    </w:tbl>
    <w:p w:rsidR="00042877" w:rsidRDefault="00C57B3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C57B36">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C73773" w:rsidRDefault="003C50AD" w:rsidP="00C57B36">
      <w:pPr>
        <w:pStyle w:val="1"/>
        <w:spacing w:beforeLines="100" w:before="312" w:afterLines="100" w:after="312" w:line="360" w:lineRule="auto"/>
        <w:jc w:val="center"/>
        <w:rPr>
          <w:rFonts w:eastAsiaTheme="minorEastAsia"/>
          <w:color w:val="000000" w:themeColor="text1"/>
          <w:kern w:val="0"/>
          <w:sz w:val="24"/>
          <w:szCs w:val="24"/>
        </w:rPr>
      </w:pPr>
      <w:r w:rsidRPr="00C73773">
        <w:rPr>
          <w:rFonts w:eastAsiaTheme="minorEastAsia" w:hint="eastAsia"/>
          <w:color w:val="000000" w:themeColor="text1"/>
          <w:kern w:val="0"/>
          <w:sz w:val="24"/>
          <w:szCs w:val="24"/>
        </w:rPr>
        <w:t>§</w:t>
      </w:r>
      <w:r w:rsidR="00A536EE">
        <w:rPr>
          <w:rFonts w:eastAsiaTheme="minorEastAsia" w:hint="eastAsia"/>
          <w:color w:val="000000" w:themeColor="text1"/>
          <w:kern w:val="0"/>
          <w:sz w:val="24"/>
          <w:szCs w:val="24"/>
        </w:rPr>
        <w:t>8</w:t>
      </w:r>
      <w:r w:rsidR="00A536EE">
        <w:rPr>
          <w:rFonts w:eastAsiaTheme="minorEastAsia"/>
          <w:color w:val="000000" w:themeColor="text1"/>
          <w:kern w:val="0"/>
          <w:sz w:val="24"/>
          <w:szCs w:val="24"/>
        </w:rPr>
        <w:t xml:space="preserve"> </w:t>
      </w:r>
      <w:bookmarkStart w:id="0" w:name="_GoBack"/>
      <w:bookmarkEnd w:id="0"/>
      <w:r w:rsidRPr="00C73773">
        <w:rPr>
          <w:rFonts w:eastAsiaTheme="minorEastAsia" w:hint="eastAsia"/>
          <w:color w:val="000000" w:themeColor="text1"/>
          <w:kern w:val="0"/>
          <w:sz w:val="24"/>
          <w:szCs w:val="24"/>
        </w:rPr>
        <w:t>影响投资者决策的其他重要信息</w:t>
      </w:r>
    </w:p>
    <w:p w:rsidR="003C50AD" w:rsidRPr="00C73773" w:rsidRDefault="003C50AD" w:rsidP="003C50AD">
      <w:pPr>
        <w:autoSpaceDE w:val="0"/>
        <w:autoSpaceDN w:val="0"/>
        <w:adjustRightInd w:val="0"/>
        <w:spacing w:line="360" w:lineRule="auto"/>
        <w:jc w:val="left"/>
        <w:rPr>
          <w:b/>
          <w:bCs/>
          <w:color w:val="000000"/>
          <w:kern w:val="0"/>
          <w:sz w:val="24"/>
          <w:szCs w:val="24"/>
        </w:rPr>
      </w:pPr>
      <w:r w:rsidRPr="00C73773">
        <w:rPr>
          <w:b/>
          <w:bCs/>
          <w:color w:val="000000"/>
          <w:kern w:val="0"/>
          <w:sz w:val="24"/>
          <w:szCs w:val="24"/>
        </w:rPr>
        <w:t xml:space="preserve">8.1 </w:t>
      </w:r>
      <w:r w:rsidRPr="00C73773">
        <w:rPr>
          <w:rFonts w:hint="eastAsia"/>
          <w:b/>
          <w:bCs/>
          <w:color w:val="000000"/>
          <w:kern w:val="0"/>
          <w:sz w:val="24"/>
          <w:szCs w:val="24"/>
        </w:rPr>
        <w:t>报告期内单一投资者持有基金份额比例达到或超过</w:t>
      </w:r>
      <w:r w:rsidRPr="00C73773">
        <w:rPr>
          <w:b/>
          <w:bCs/>
          <w:color w:val="000000"/>
          <w:kern w:val="0"/>
          <w:sz w:val="24"/>
          <w:szCs w:val="24"/>
        </w:rPr>
        <w:t>20%</w:t>
      </w:r>
      <w:r w:rsidRPr="00C73773">
        <w:rPr>
          <w:rFonts w:hint="eastAsia"/>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F64DB6" w:rsidTr="00C57B36">
        <w:tc>
          <w:tcPr>
            <w:tcW w:w="993" w:type="dxa"/>
            <w:vMerge w:val="restart"/>
            <w:vAlign w:val="center"/>
          </w:tcPr>
          <w:p w:rsidR="003C50AD" w:rsidRPr="00C73773" w:rsidRDefault="003C50AD" w:rsidP="00C57B36">
            <w:pPr>
              <w:autoSpaceDE w:val="0"/>
              <w:autoSpaceDN w:val="0"/>
              <w:adjustRightInd w:val="0"/>
              <w:jc w:val="center"/>
              <w:rPr>
                <w:b/>
                <w:bCs/>
                <w:color w:val="000000"/>
                <w:kern w:val="0"/>
                <w:sz w:val="24"/>
                <w:szCs w:val="24"/>
              </w:rPr>
            </w:pPr>
            <w:r w:rsidRPr="00C73773">
              <w:rPr>
                <w:rFonts w:hint="eastAsia"/>
                <w:color w:val="000000"/>
                <w:kern w:val="0"/>
                <w:sz w:val="24"/>
                <w:szCs w:val="24"/>
              </w:rPr>
              <w:t>投资者类别</w:t>
            </w:r>
            <w:r w:rsidRPr="00C73773">
              <w:rPr>
                <w:color w:val="000000"/>
                <w:kern w:val="0"/>
                <w:sz w:val="24"/>
                <w:szCs w:val="24"/>
              </w:rPr>
              <w:t xml:space="preserve">  </w:t>
            </w:r>
          </w:p>
        </w:tc>
        <w:tc>
          <w:tcPr>
            <w:tcW w:w="5670" w:type="dxa"/>
            <w:gridSpan w:val="5"/>
            <w:vAlign w:val="center"/>
          </w:tcPr>
          <w:p w:rsidR="003C50AD" w:rsidRPr="00C73773" w:rsidRDefault="003C50AD" w:rsidP="00C57B36">
            <w:pPr>
              <w:autoSpaceDE w:val="0"/>
              <w:autoSpaceDN w:val="0"/>
              <w:adjustRightInd w:val="0"/>
              <w:jc w:val="center"/>
              <w:rPr>
                <w:b/>
                <w:bCs/>
                <w:color w:val="000000"/>
                <w:kern w:val="0"/>
                <w:sz w:val="24"/>
                <w:szCs w:val="24"/>
              </w:rPr>
            </w:pPr>
            <w:r w:rsidRPr="00C73773">
              <w:rPr>
                <w:rFonts w:hint="eastAsia"/>
                <w:color w:val="000000"/>
                <w:kern w:val="0"/>
                <w:sz w:val="24"/>
                <w:szCs w:val="24"/>
              </w:rPr>
              <w:t>报告期内持有基金份额变化情况</w:t>
            </w:r>
          </w:p>
        </w:tc>
        <w:tc>
          <w:tcPr>
            <w:tcW w:w="2549" w:type="dxa"/>
            <w:gridSpan w:val="2"/>
            <w:vAlign w:val="center"/>
          </w:tcPr>
          <w:p w:rsidR="003C50AD" w:rsidRPr="00C73773" w:rsidRDefault="003C50AD" w:rsidP="00C57B36">
            <w:pPr>
              <w:autoSpaceDE w:val="0"/>
              <w:autoSpaceDN w:val="0"/>
              <w:adjustRightInd w:val="0"/>
              <w:jc w:val="center"/>
              <w:rPr>
                <w:b/>
                <w:bCs/>
                <w:color w:val="000000"/>
                <w:kern w:val="0"/>
                <w:sz w:val="24"/>
                <w:szCs w:val="24"/>
              </w:rPr>
            </w:pPr>
            <w:r w:rsidRPr="00C73773">
              <w:rPr>
                <w:rFonts w:hint="eastAsia"/>
                <w:color w:val="000000"/>
                <w:kern w:val="0"/>
                <w:sz w:val="24"/>
                <w:szCs w:val="24"/>
              </w:rPr>
              <w:t>报告期末持有基金情况</w:t>
            </w:r>
          </w:p>
        </w:tc>
      </w:tr>
      <w:tr w:rsidR="003C50AD" w:rsidRPr="00F64DB6" w:rsidTr="00C57B36">
        <w:tc>
          <w:tcPr>
            <w:tcW w:w="993" w:type="dxa"/>
            <w:vMerge/>
            <w:vAlign w:val="center"/>
          </w:tcPr>
          <w:p w:rsidR="003C50AD" w:rsidRPr="00C73773" w:rsidRDefault="003C50AD" w:rsidP="00C57B36">
            <w:pPr>
              <w:autoSpaceDE w:val="0"/>
              <w:autoSpaceDN w:val="0"/>
              <w:adjustRightInd w:val="0"/>
              <w:jc w:val="center"/>
              <w:rPr>
                <w:b/>
                <w:bCs/>
                <w:color w:val="000000"/>
                <w:kern w:val="0"/>
                <w:sz w:val="24"/>
                <w:szCs w:val="24"/>
              </w:rPr>
            </w:pPr>
          </w:p>
        </w:tc>
        <w:tc>
          <w:tcPr>
            <w:tcW w:w="992" w:type="dxa"/>
            <w:vAlign w:val="center"/>
          </w:tcPr>
          <w:p w:rsidR="003C50AD" w:rsidRPr="00C73773" w:rsidRDefault="003C50AD" w:rsidP="00C57B36">
            <w:pPr>
              <w:autoSpaceDE w:val="0"/>
              <w:autoSpaceDN w:val="0"/>
              <w:adjustRightInd w:val="0"/>
              <w:jc w:val="center"/>
              <w:rPr>
                <w:b/>
                <w:bCs/>
                <w:color w:val="000000"/>
                <w:kern w:val="0"/>
                <w:sz w:val="24"/>
                <w:szCs w:val="24"/>
              </w:rPr>
            </w:pPr>
            <w:r w:rsidRPr="00C73773">
              <w:rPr>
                <w:rFonts w:hint="eastAsia"/>
                <w:color w:val="000000"/>
                <w:kern w:val="0"/>
                <w:sz w:val="24"/>
                <w:szCs w:val="24"/>
              </w:rPr>
              <w:t>序号</w:t>
            </w:r>
          </w:p>
        </w:tc>
        <w:tc>
          <w:tcPr>
            <w:tcW w:w="1843" w:type="dxa"/>
            <w:vAlign w:val="center"/>
          </w:tcPr>
          <w:p w:rsidR="003C50AD" w:rsidRPr="00C73773" w:rsidRDefault="003C50AD" w:rsidP="00C57B36">
            <w:pPr>
              <w:autoSpaceDE w:val="0"/>
              <w:autoSpaceDN w:val="0"/>
              <w:adjustRightInd w:val="0"/>
              <w:jc w:val="center"/>
              <w:rPr>
                <w:b/>
                <w:bCs/>
                <w:color w:val="000000"/>
                <w:kern w:val="0"/>
                <w:sz w:val="24"/>
                <w:szCs w:val="24"/>
              </w:rPr>
            </w:pPr>
            <w:r w:rsidRPr="00C73773">
              <w:rPr>
                <w:rFonts w:hint="eastAsia"/>
                <w:color w:val="000000"/>
                <w:kern w:val="0"/>
                <w:sz w:val="24"/>
                <w:szCs w:val="24"/>
              </w:rPr>
              <w:t>持有基金份额比例达到或者超过</w:t>
            </w:r>
            <w:r w:rsidRPr="00C73773">
              <w:rPr>
                <w:color w:val="000000"/>
                <w:kern w:val="0"/>
                <w:sz w:val="24"/>
                <w:szCs w:val="24"/>
              </w:rPr>
              <w:t>20%</w:t>
            </w:r>
            <w:r w:rsidRPr="00C73773">
              <w:rPr>
                <w:rFonts w:hint="eastAsia"/>
                <w:color w:val="000000"/>
                <w:kern w:val="0"/>
                <w:sz w:val="24"/>
                <w:szCs w:val="24"/>
              </w:rPr>
              <w:t>的时间区间</w:t>
            </w:r>
          </w:p>
        </w:tc>
        <w:tc>
          <w:tcPr>
            <w:tcW w:w="851" w:type="dxa"/>
            <w:vAlign w:val="center"/>
          </w:tcPr>
          <w:p w:rsidR="003C50AD" w:rsidRPr="00C73773" w:rsidRDefault="003C50AD" w:rsidP="00C57B36">
            <w:pPr>
              <w:widowControl/>
              <w:jc w:val="center"/>
              <w:rPr>
                <w:b/>
                <w:bCs/>
                <w:color w:val="000000"/>
                <w:kern w:val="0"/>
                <w:sz w:val="24"/>
                <w:szCs w:val="24"/>
              </w:rPr>
            </w:pPr>
            <w:r w:rsidRPr="00C73773">
              <w:rPr>
                <w:rFonts w:hint="eastAsia"/>
                <w:color w:val="000000"/>
                <w:kern w:val="0"/>
                <w:sz w:val="24"/>
                <w:szCs w:val="24"/>
              </w:rPr>
              <w:t>期初份额</w:t>
            </w:r>
          </w:p>
        </w:tc>
        <w:tc>
          <w:tcPr>
            <w:tcW w:w="850" w:type="dxa"/>
            <w:vAlign w:val="center"/>
          </w:tcPr>
          <w:p w:rsidR="003C50AD" w:rsidRPr="00C73773" w:rsidRDefault="003C50AD" w:rsidP="00C57B36">
            <w:pPr>
              <w:widowControl/>
              <w:jc w:val="center"/>
              <w:rPr>
                <w:b/>
                <w:bCs/>
                <w:color w:val="000000"/>
                <w:kern w:val="0"/>
                <w:sz w:val="24"/>
                <w:szCs w:val="24"/>
              </w:rPr>
            </w:pPr>
            <w:r w:rsidRPr="00C73773">
              <w:rPr>
                <w:rFonts w:hint="eastAsia"/>
                <w:color w:val="000000"/>
                <w:kern w:val="0"/>
                <w:sz w:val="24"/>
                <w:szCs w:val="24"/>
              </w:rPr>
              <w:t>申购份额</w:t>
            </w:r>
          </w:p>
        </w:tc>
        <w:tc>
          <w:tcPr>
            <w:tcW w:w="1134" w:type="dxa"/>
            <w:vAlign w:val="center"/>
          </w:tcPr>
          <w:p w:rsidR="003C50AD" w:rsidRPr="00C73773" w:rsidRDefault="003C50AD" w:rsidP="00C57B36">
            <w:pPr>
              <w:widowControl/>
              <w:jc w:val="center"/>
              <w:rPr>
                <w:b/>
                <w:bCs/>
                <w:color w:val="000000"/>
                <w:kern w:val="0"/>
                <w:sz w:val="24"/>
                <w:szCs w:val="24"/>
              </w:rPr>
            </w:pPr>
            <w:r w:rsidRPr="00C73773">
              <w:rPr>
                <w:rFonts w:hint="eastAsia"/>
                <w:color w:val="000000"/>
                <w:kern w:val="0"/>
                <w:sz w:val="24"/>
                <w:szCs w:val="24"/>
              </w:rPr>
              <w:t>赎回份额</w:t>
            </w:r>
          </w:p>
        </w:tc>
        <w:tc>
          <w:tcPr>
            <w:tcW w:w="1419" w:type="dxa"/>
            <w:vAlign w:val="center"/>
          </w:tcPr>
          <w:p w:rsidR="003C50AD" w:rsidRPr="00C73773" w:rsidRDefault="003C50AD" w:rsidP="00C57B36">
            <w:pPr>
              <w:autoSpaceDE w:val="0"/>
              <w:autoSpaceDN w:val="0"/>
              <w:adjustRightInd w:val="0"/>
              <w:jc w:val="center"/>
              <w:rPr>
                <w:b/>
                <w:bCs/>
                <w:color w:val="000000"/>
                <w:kern w:val="0"/>
                <w:sz w:val="24"/>
                <w:szCs w:val="24"/>
              </w:rPr>
            </w:pPr>
            <w:r w:rsidRPr="00C73773">
              <w:rPr>
                <w:rFonts w:hint="eastAsia"/>
                <w:color w:val="000000"/>
                <w:kern w:val="0"/>
                <w:sz w:val="24"/>
                <w:szCs w:val="24"/>
              </w:rPr>
              <w:t>持有份额</w:t>
            </w:r>
          </w:p>
        </w:tc>
        <w:tc>
          <w:tcPr>
            <w:tcW w:w="1130" w:type="dxa"/>
            <w:vAlign w:val="center"/>
          </w:tcPr>
          <w:p w:rsidR="003C50AD" w:rsidRPr="00C73773" w:rsidRDefault="003C50AD" w:rsidP="00C57B36">
            <w:pPr>
              <w:autoSpaceDE w:val="0"/>
              <w:autoSpaceDN w:val="0"/>
              <w:adjustRightInd w:val="0"/>
              <w:jc w:val="center"/>
              <w:rPr>
                <w:b/>
                <w:bCs/>
                <w:color w:val="000000"/>
                <w:kern w:val="0"/>
                <w:sz w:val="24"/>
                <w:szCs w:val="24"/>
              </w:rPr>
            </w:pPr>
            <w:r w:rsidRPr="00C73773">
              <w:rPr>
                <w:rFonts w:hint="eastAsia"/>
                <w:color w:val="000000"/>
                <w:kern w:val="0"/>
                <w:sz w:val="24"/>
                <w:szCs w:val="24"/>
              </w:rPr>
              <w:t>份额占比</w:t>
            </w:r>
          </w:p>
        </w:tc>
      </w:tr>
      <w:tr w:rsidR="00042877" w:rsidRPr="00F64DB6">
        <w:tc>
          <w:tcPr>
            <w:tcW w:w="993" w:type="dxa"/>
            <w:vMerge w:val="restart"/>
          </w:tcPr>
          <w:p w:rsidR="00042877" w:rsidRPr="00C73773" w:rsidRDefault="00042877">
            <w:pPr>
              <w:rPr>
                <w:sz w:val="24"/>
                <w:szCs w:val="24"/>
              </w:rPr>
            </w:pPr>
          </w:p>
          <w:p w:rsidR="00042877" w:rsidRPr="00C73773" w:rsidRDefault="00C57B36">
            <w:pPr>
              <w:rPr>
                <w:sz w:val="24"/>
                <w:szCs w:val="24"/>
              </w:rPr>
            </w:pPr>
            <w:r w:rsidRPr="00C73773">
              <w:rPr>
                <w:rFonts w:hint="eastAsia"/>
                <w:bCs/>
                <w:color w:val="000000"/>
                <w:kern w:val="0"/>
                <w:sz w:val="24"/>
                <w:szCs w:val="24"/>
              </w:rPr>
              <w:t>机构</w:t>
            </w:r>
          </w:p>
        </w:tc>
        <w:tc>
          <w:tcPr>
            <w:tcW w:w="992" w:type="dxa"/>
            <w:vAlign w:val="center"/>
          </w:tcPr>
          <w:p w:rsidR="00042877" w:rsidRPr="00C73773" w:rsidRDefault="00C57B36">
            <w:pPr>
              <w:jc w:val="center"/>
              <w:rPr>
                <w:sz w:val="24"/>
                <w:szCs w:val="24"/>
              </w:rPr>
            </w:pPr>
            <w:r w:rsidRPr="00C73773">
              <w:rPr>
                <w:color w:val="000000"/>
                <w:kern w:val="0"/>
                <w:sz w:val="24"/>
                <w:szCs w:val="24"/>
              </w:rPr>
              <w:t>1</w:t>
            </w:r>
          </w:p>
        </w:tc>
        <w:tc>
          <w:tcPr>
            <w:tcW w:w="1843" w:type="dxa"/>
            <w:vAlign w:val="center"/>
          </w:tcPr>
          <w:p w:rsidR="00042877" w:rsidRPr="00C73773" w:rsidRDefault="00C57B36">
            <w:pPr>
              <w:jc w:val="center"/>
              <w:rPr>
                <w:sz w:val="24"/>
                <w:szCs w:val="24"/>
              </w:rPr>
            </w:pPr>
            <w:r w:rsidRPr="00C73773">
              <w:rPr>
                <w:color w:val="000000"/>
                <w:kern w:val="0"/>
                <w:sz w:val="24"/>
                <w:szCs w:val="24"/>
              </w:rPr>
              <w:t>2017/4/1-2017/6/30</w:t>
            </w:r>
          </w:p>
        </w:tc>
        <w:tc>
          <w:tcPr>
            <w:tcW w:w="851" w:type="dxa"/>
            <w:vAlign w:val="center"/>
          </w:tcPr>
          <w:p w:rsidR="00042877" w:rsidRPr="00C73773" w:rsidRDefault="00C57B36">
            <w:pPr>
              <w:jc w:val="center"/>
              <w:rPr>
                <w:sz w:val="24"/>
                <w:szCs w:val="24"/>
              </w:rPr>
            </w:pPr>
            <w:r w:rsidRPr="00C73773">
              <w:rPr>
                <w:color w:val="000000"/>
                <w:kern w:val="0"/>
                <w:sz w:val="24"/>
                <w:szCs w:val="24"/>
              </w:rPr>
              <w:t>185,788,335.95</w:t>
            </w:r>
          </w:p>
        </w:tc>
        <w:tc>
          <w:tcPr>
            <w:tcW w:w="850" w:type="dxa"/>
            <w:vAlign w:val="center"/>
          </w:tcPr>
          <w:p w:rsidR="00042877" w:rsidRPr="00C73773" w:rsidRDefault="00C57B36">
            <w:pPr>
              <w:jc w:val="center"/>
              <w:rPr>
                <w:sz w:val="24"/>
                <w:szCs w:val="24"/>
              </w:rPr>
            </w:pPr>
            <w:r w:rsidRPr="00C73773">
              <w:rPr>
                <w:color w:val="000000"/>
                <w:kern w:val="0"/>
                <w:sz w:val="24"/>
                <w:szCs w:val="24"/>
              </w:rPr>
              <w:t>-</w:t>
            </w:r>
          </w:p>
        </w:tc>
        <w:tc>
          <w:tcPr>
            <w:tcW w:w="1134" w:type="dxa"/>
            <w:vAlign w:val="center"/>
          </w:tcPr>
          <w:p w:rsidR="00042877" w:rsidRPr="00C73773" w:rsidRDefault="00C57B36">
            <w:pPr>
              <w:jc w:val="center"/>
              <w:rPr>
                <w:sz w:val="24"/>
                <w:szCs w:val="24"/>
              </w:rPr>
            </w:pPr>
            <w:r w:rsidRPr="00C73773">
              <w:rPr>
                <w:color w:val="000000"/>
                <w:kern w:val="0"/>
                <w:sz w:val="24"/>
                <w:szCs w:val="24"/>
              </w:rPr>
              <w:t>-</w:t>
            </w:r>
          </w:p>
        </w:tc>
        <w:tc>
          <w:tcPr>
            <w:tcW w:w="1419" w:type="dxa"/>
            <w:vAlign w:val="center"/>
          </w:tcPr>
          <w:p w:rsidR="00042877" w:rsidRPr="00C73773" w:rsidRDefault="00C57B36">
            <w:pPr>
              <w:jc w:val="center"/>
              <w:rPr>
                <w:sz w:val="24"/>
                <w:szCs w:val="24"/>
              </w:rPr>
            </w:pPr>
            <w:r w:rsidRPr="00C73773">
              <w:rPr>
                <w:color w:val="000000"/>
                <w:kern w:val="0"/>
                <w:sz w:val="24"/>
                <w:szCs w:val="24"/>
              </w:rPr>
              <w:t>185,788,335.95</w:t>
            </w:r>
          </w:p>
        </w:tc>
        <w:tc>
          <w:tcPr>
            <w:tcW w:w="1130" w:type="dxa"/>
            <w:vAlign w:val="center"/>
          </w:tcPr>
          <w:p w:rsidR="00042877" w:rsidRPr="00C73773" w:rsidRDefault="00C57B36">
            <w:pPr>
              <w:jc w:val="center"/>
              <w:rPr>
                <w:sz w:val="24"/>
                <w:szCs w:val="24"/>
              </w:rPr>
            </w:pPr>
            <w:r w:rsidRPr="00C73773">
              <w:rPr>
                <w:color w:val="000000"/>
                <w:kern w:val="0"/>
                <w:sz w:val="24"/>
                <w:szCs w:val="24"/>
              </w:rPr>
              <w:t>25.62%</w:t>
            </w:r>
          </w:p>
        </w:tc>
      </w:tr>
    </w:tbl>
    <w:p w:rsidR="003C50AD" w:rsidRPr="00C73773" w:rsidRDefault="003C50AD" w:rsidP="003C50AD">
      <w:pPr>
        <w:autoSpaceDE w:val="0"/>
        <w:autoSpaceDN w:val="0"/>
        <w:adjustRightInd w:val="0"/>
        <w:spacing w:line="360" w:lineRule="auto"/>
        <w:jc w:val="left"/>
        <w:rPr>
          <w:bCs/>
          <w:color w:val="000000"/>
          <w:kern w:val="0"/>
          <w:sz w:val="24"/>
          <w:szCs w:val="24"/>
        </w:rPr>
      </w:pPr>
      <w:r w:rsidRPr="00C73773">
        <w:rPr>
          <w:rFonts w:hint="eastAsia"/>
          <w:bCs/>
          <w:color w:val="000000"/>
          <w:kern w:val="0"/>
          <w:sz w:val="24"/>
          <w:szCs w:val="24"/>
        </w:rPr>
        <w:t>注：本基金本报告期内出现单一投资者持有基金份额比例超过基金总份额</w:t>
      </w:r>
      <w:r w:rsidRPr="00C73773">
        <w:rPr>
          <w:bCs/>
          <w:color w:val="000000"/>
          <w:kern w:val="0"/>
          <w:sz w:val="24"/>
          <w:szCs w:val="24"/>
        </w:rPr>
        <w:t>20%</w:t>
      </w:r>
      <w:r w:rsidRPr="00C73773">
        <w:rPr>
          <w:rFonts w:hint="eastAsia"/>
          <w:bCs/>
          <w:color w:val="000000"/>
          <w:kern w:val="0"/>
          <w:sz w:val="24"/>
          <w:szCs w:val="24"/>
        </w:rPr>
        <w:t>的情况。如该类投资者集中赎回，可能会对本基金带来流动性冲击，从而影响基金的投资运作和收益水平。基金管理人将加强流动性管理，防范相关风险，保护持有人利益。</w:t>
      </w:r>
    </w:p>
    <w:p w:rsidR="00B22DEE" w:rsidRPr="00E02660" w:rsidRDefault="004061AC" w:rsidP="00C57B3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42877" w:rsidRDefault="00C57B3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、中国证监会批准交银施罗德荣安保本混合型证券投资基金募集的文件；</w:t>
      </w:r>
    </w:p>
    <w:p w:rsidR="00042877" w:rsidRDefault="00C57B3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、《交银施罗德策略回报灵活配置混合型证券投资基金基金合同》；</w:t>
      </w:r>
    </w:p>
    <w:p w:rsidR="00042877" w:rsidRDefault="00C57B3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、《交银施罗德策略回报灵活配置混合型证券投资基金招募说明书》；</w:t>
      </w:r>
    </w:p>
    <w:p w:rsidR="00042877" w:rsidRDefault="00C57B3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、《交银施罗德策略回报灵活配置混合型证券投资基金托管协议》；</w:t>
      </w:r>
    </w:p>
    <w:p w:rsidR="00042877" w:rsidRDefault="00C57B36">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、《交银施罗德荣安保本混合型证券投资基金基金合同》；</w:t>
      </w:r>
    </w:p>
    <w:p w:rsidR="00042877" w:rsidRDefault="00C57B36">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、《交银施罗德荣安保本混合型证券投资基金招募说明书》；</w:t>
      </w:r>
    </w:p>
    <w:p w:rsidR="00042877" w:rsidRDefault="00C57B36">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、《交银施罗德荣安保本混合型证券投资基金托管协议》；</w:t>
      </w:r>
    </w:p>
    <w:p w:rsidR="00042877" w:rsidRDefault="00C57B36">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、《交银施罗德荣安保本混合型证券投资基金保证合同》；</w:t>
      </w:r>
      <w:r>
        <w:rPr>
          <w:color w:val="000000"/>
          <w:sz w:val="24"/>
          <w:szCs w:val="24"/>
        </w:rPr>
        <w:t xml:space="preserve"> </w:t>
      </w:r>
    </w:p>
    <w:p w:rsidR="00042877" w:rsidRDefault="00C57B36">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p>
    <w:p w:rsidR="00042877" w:rsidRDefault="00C57B36">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p>
    <w:p w:rsidR="00042877" w:rsidRDefault="00C57B36">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、关于申请募集交银施罗德荣安保本混合型证券投资基金之法律意见书；</w:t>
      </w:r>
    </w:p>
    <w:p w:rsidR="00042877" w:rsidRDefault="00C57B36">
      <w:pPr>
        <w:spacing w:before="29" w:line="288" w:lineRule="auto"/>
        <w:ind w:firstLineChars="200" w:firstLine="480"/>
        <w:rPr>
          <w:color w:val="000000"/>
          <w:sz w:val="24"/>
          <w:szCs w:val="24"/>
        </w:rPr>
      </w:pPr>
      <w:r>
        <w:rPr>
          <w:color w:val="000000"/>
          <w:sz w:val="24"/>
          <w:szCs w:val="24"/>
        </w:rPr>
        <w:t>12</w:t>
      </w:r>
      <w:r>
        <w:rPr>
          <w:color w:val="000000"/>
          <w:sz w:val="24"/>
          <w:szCs w:val="24"/>
        </w:rPr>
        <w:t>、关于修改《交银施罗德荣安保本混合型证券投资基金基金合同》的法律意见；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、报告期内交银施罗德策略回报灵活配置混合型证券投资基金在指定报刊上各项公告的原稿。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42877" w:rsidRDefault="00C57B3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904" w:rsidRDefault="000D2904" w:rsidP="00876D65">
      <w:r>
        <w:separator/>
      </w:r>
    </w:p>
  </w:endnote>
  <w:endnote w:type="continuationSeparator" w:id="0">
    <w:p w:rsidR="000D2904" w:rsidRDefault="000D290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F7" w:rsidRPr="001D0DB0" w:rsidRDefault="008D1AF7" w:rsidP="004D340C">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536EE">
      <w:rPr>
        <w:noProof/>
        <w:kern w:val="0"/>
        <w:szCs w:val="21"/>
      </w:rPr>
      <w:t>11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536EE">
      <w:rPr>
        <w:noProof/>
        <w:kern w:val="0"/>
        <w:szCs w:val="21"/>
      </w:rPr>
      <w:t>12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904" w:rsidRDefault="000D2904" w:rsidP="00876D65">
      <w:r>
        <w:separator/>
      </w:r>
    </w:p>
  </w:footnote>
  <w:footnote w:type="continuationSeparator" w:id="0">
    <w:p w:rsidR="000D2904" w:rsidRDefault="000D290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F7" w:rsidRPr="00CA574C" w:rsidRDefault="008D1AF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2877"/>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2904"/>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6AD8"/>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C5EDA"/>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2C5"/>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1AF7"/>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36EE"/>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3663"/>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57B36"/>
    <w:rsid w:val="00C6002A"/>
    <w:rsid w:val="00C6209F"/>
    <w:rsid w:val="00C629B1"/>
    <w:rsid w:val="00C63554"/>
    <w:rsid w:val="00C678B0"/>
    <w:rsid w:val="00C7047C"/>
    <w:rsid w:val="00C71497"/>
    <w:rsid w:val="00C72F5B"/>
    <w:rsid w:val="00C73773"/>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2C23"/>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4DB6"/>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946"/>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5FF43DC-7A12-4FAF-8FD7-98949A1E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F0A85-4256-431B-A409-D58B17DE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2017</TotalTime>
  <Pages>12</Pages>
  <Words>1131</Words>
  <Characters>6451</Characters>
  <Application>Microsoft Office Word</Application>
  <DocSecurity>0</DocSecurity>
  <Lines>53</Lines>
  <Paragraphs>15</Paragraphs>
  <ScaleCrop>false</ScaleCrop>
  <Company/>
  <LinksUpToDate>false</LinksUpToDate>
  <CharactersWithSpaces>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571</cp:revision>
  <dcterms:created xsi:type="dcterms:W3CDTF">2012-10-16T06:07:00Z</dcterms:created>
  <dcterms:modified xsi:type="dcterms:W3CDTF">2017-07-18T08:38:00Z</dcterms:modified>
</cp:coreProperties>
</file>