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交银施罗德先进制造混合型证券投资基金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二〇一七年七月二十日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A84223" w:rsidRDefault="001E4DAE">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A84223" w:rsidRDefault="001E4DAE">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A84223" w:rsidRDefault="001E4DAE">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A84223" w:rsidRDefault="001E4DAE">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A84223" w:rsidRDefault="001E4DAE">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交银先进制造混合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2011</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1,347,549,576.99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本基金通过重点投资于与装备制造相关的优质企业，把握中国产业结构升级的投资机会，在控制风险并保持基金资产良好的流动性的前提下，力争实现基金资产的长期稳定增值。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本基金充分发挥基金管理人的研究优势，将严谨、规范化的选股方法与积极主动的投资风格相结合，自下而上挖掘与装备制造相关的上市公司投资机会，以谋求良好收益。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申银万国装备制造指数收益率</w:t>
            </w:r>
            <w:r w:rsidRPr="00414345">
              <w:rPr>
                <w:color w:val="000000"/>
                <w:kern w:val="0"/>
                <w:sz w:val="24"/>
                <w:szCs w:val="24"/>
              </w:rPr>
              <w:t>+25%×</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w:t>
            </w:r>
            <w:r w:rsidRPr="00414345">
              <w:rPr>
                <w:color w:val="000000"/>
                <w:kern w:val="0"/>
                <w:sz w:val="24"/>
                <w:szCs w:val="24"/>
              </w:rPr>
              <w:lastRenderedPageBreak/>
              <w:t>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B4458D" w:rsidRPr="00414345" w:rsidTr="00B4458D">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B4458D" w:rsidRPr="00414345" w:rsidTr="00B4458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-12,544,094.93</w:t>
            </w:r>
          </w:p>
        </w:tc>
      </w:tr>
      <w:tr w:rsidR="00B4458D" w:rsidRPr="00414345" w:rsidTr="00B4458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-151,820,432.01</w:t>
            </w:r>
          </w:p>
        </w:tc>
      </w:tr>
      <w:tr w:rsidR="00B4458D" w:rsidRPr="00414345" w:rsidTr="00B4458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-0.1033</w:t>
            </w:r>
          </w:p>
        </w:tc>
      </w:tr>
      <w:tr w:rsidR="00B4458D" w:rsidRPr="00414345" w:rsidTr="00B4458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2,870,551,034.30</w:t>
            </w:r>
          </w:p>
        </w:tc>
      </w:tr>
      <w:tr w:rsidR="00B4458D" w:rsidRPr="00414345" w:rsidTr="00B4458D">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2.130</w:t>
            </w:r>
          </w:p>
        </w:tc>
      </w:tr>
    </w:tbl>
    <w:p w:rsidR="00A84223" w:rsidRDefault="001E4DA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84223">
        <w:trPr>
          <w:jc w:val="center"/>
        </w:trPr>
        <w:tc>
          <w:tcPr>
            <w:tcW w:w="1701" w:type="dxa"/>
            <w:vAlign w:val="center"/>
          </w:tcPr>
          <w:p w:rsidR="00A84223" w:rsidRDefault="001E4DAE">
            <w:pPr>
              <w:jc w:val="left"/>
            </w:pPr>
            <w:r>
              <w:rPr>
                <w:color w:val="000000"/>
                <w:sz w:val="24"/>
                <w:szCs w:val="24"/>
              </w:rPr>
              <w:t>过去三个月</w:t>
            </w:r>
          </w:p>
        </w:tc>
        <w:tc>
          <w:tcPr>
            <w:tcW w:w="1045" w:type="dxa"/>
            <w:vAlign w:val="center"/>
          </w:tcPr>
          <w:p w:rsidR="00A84223" w:rsidRDefault="001E4DAE">
            <w:pPr>
              <w:jc w:val="center"/>
            </w:pPr>
            <w:r>
              <w:rPr>
                <w:color w:val="000000"/>
                <w:sz w:val="24"/>
                <w:szCs w:val="24"/>
              </w:rPr>
              <w:t>-4.31%</w:t>
            </w:r>
          </w:p>
        </w:tc>
        <w:tc>
          <w:tcPr>
            <w:tcW w:w="1344" w:type="dxa"/>
            <w:vAlign w:val="center"/>
          </w:tcPr>
          <w:p w:rsidR="00A84223" w:rsidRDefault="001E4DAE">
            <w:pPr>
              <w:jc w:val="center"/>
            </w:pPr>
            <w:r>
              <w:rPr>
                <w:color w:val="000000"/>
                <w:sz w:val="24"/>
                <w:szCs w:val="24"/>
              </w:rPr>
              <w:t>0.89%</w:t>
            </w:r>
          </w:p>
        </w:tc>
        <w:tc>
          <w:tcPr>
            <w:tcW w:w="1194" w:type="dxa"/>
            <w:vAlign w:val="center"/>
          </w:tcPr>
          <w:p w:rsidR="00A84223" w:rsidRDefault="001E4DAE">
            <w:pPr>
              <w:jc w:val="center"/>
            </w:pPr>
            <w:r>
              <w:rPr>
                <w:color w:val="000000"/>
                <w:sz w:val="24"/>
                <w:szCs w:val="24"/>
              </w:rPr>
              <w:t>-4.26%</w:t>
            </w:r>
          </w:p>
        </w:tc>
        <w:tc>
          <w:tcPr>
            <w:tcW w:w="1492" w:type="dxa"/>
            <w:vAlign w:val="center"/>
          </w:tcPr>
          <w:p w:rsidR="00A84223" w:rsidRDefault="001E4DAE">
            <w:pPr>
              <w:jc w:val="center"/>
            </w:pPr>
            <w:r>
              <w:rPr>
                <w:color w:val="000000"/>
                <w:sz w:val="24"/>
                <w:szCs w:val="24"/>
              </w:rPr>
              <w:t>0.76%</w:t>
            </w:r>
          </w:p>
        </w:tc>
        <w:tc>
          <w:tcPr>
            <w:tcW w:w="1194" w:type="dxa"/>
            <w:vAlign w:val="center"/>
          </w:tcPr>
          <w:p w:rsidR="00A84223" w:rsidRDefault="001E4DAE">
            <w:pPr>
              <w:jc w:val="center"/>
            </w:pPr>
            <w:r>
              <w:rPr>
                <w:color w:val="000000"/>
                <w:sz w:val="24"/>
                <w:szCs w:val="24"/>
              </w:rPr>
              <w:t>-0.05%</w:t>
            </w:r>
          </w:p>
        </w:tc>
        <w:tc>
          <w:tcPr>
            <w:tcW w:w="898" w:type="dxa"/>
            <w:vAlign w:val="center"/>
          </w:tcPr>
          <w:p w:rsidR="00A84223" w:rsidRDefault="001E4DAE">
            <w:pPr>
              <w:jc w:val="center"/>
            </w:pPr>
            <w:r>
              <w:rPr>
                <w:color w:val="000000"/>
                <w:sz w:val="24"/>
                <w:szCs w:val="24"/>
              </w:rPr>
              <w:t>0.13%</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申银万国装备制造指数收益率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申银万国装备制造指数收益率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w:t>
      </w:r>
      <w:r w:rsidR="00C6002A" w:rsidRPr="00414345">
        <w:rPr>
          <w:b/>
          <w:bCs/>
          <w:color w:val="000000"/>
          <w:sz w:val="24"/>
        </w:rPr>
        <w:lastRenderedPageBreak/>
        <w:t>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交银施罗德先进制造混合型证券投资基金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2011</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A84223">
        <w:trPr>
          <w:jc w:val="center"/>
        </w:trPr>
        <w:tc>
          <w:tcPr>
            <w:tcW w:w="846" w:type="dxa"/>
            <w:vAlign w:val="center"/>
          </w:tcPr>
          <w:p w:rsidR="00A84223" w:rsidRDefault="001E4DAE">
            <w:pPr>
              <w:jc w:val="center"/>
            </w:pPr>
            <w:r>
              <w:rPr>
                <w:color w:val="000000"/>
                <w:sz w:val="24"/>
                <w:szCs w:val="24"/>
              </w:rPr>
              <w:t>任相栋</w:t>
            </w:r>
          </w:p>
        </w:tc>
        <w:tc>
          <w:tcPr>
            <w:tcW w:w="845" w:type="dxa"/>
            <w:vAlign w:val="center"/>
          </w:tcPr>
          <w:p w:rsidR="00A84223" w:rsidRDefault="001E4DAE">
            <w:pPr>
              <w:jc w:val="center"/>
            </w:pPr>
            <w:r>
              <w:rPr>
                <w:color w:val="000000"/>
                <w:sz w:val="24"/>
                <w:szCs w:val="24"/>
              </w:rPr>
              <w:t>交银先进制造混合、交银经济新动力混合的基金</w:t>
            </w:r>
            <w:r>
              <w:rPr>
                <w:color w:val="000000"/>
                <w:sz w:val="24"/>
                <w:szCs w:val="24"/>
              </w:rPr>
              <w:lastRenderedPageBreak/>
              <w:t>经理</w:t>
            </w:r>
          </w:p>
        </w:tc>
        <w:tc>
          <w:tcPr>
            <w:tcW w:w="1549" w:type="dxa"/>
            <w:vAlign w:val="center"/>
          </w:tcPr>
          <w:p w:rsidR="00A84223" w:rsidRDefault="001E4DAE">
            <w:pPr>
              <w:jc w:val="center"/>
            </w:pPr>
            <w:r>
              <w:rPr>
                <w:color w:val="000000"/>
                <w:sz w:val="24"/>
                <w:szCs w:val="24"/>
              </w:rPr>
              <w:lastRenderedPageBreak/>
              <w:t>2015-01-21</w:t>
            </w:r>
          </w:p>
        </w:tc>
        <w:tc>
          <w:tcPr>
            <w:tcW w:w="1548" w:type="dxa"/>
            <w:vAlign w:val="center"/>
          </w:tcPr>
          <w:p w:rsidR="00A84223" w:rsidRDefault="001E4DAE">
            <w:pPr>
              <w:jc w:val="center"/>
            </w:pPr>
            <w:r>
              <w:rPr>
                <w:color w:val="000000"/>
                <w:sz w:val="24"/>
                <w:szCs w:val="24"/>
              </w:rPr>
              <w:t>-</w:t>
            </w:r>
          </w:p>
        </w:tc>
        <w:tc>
          <w:tcPr>
            <w:tcW w:w="1407" w:type="dxa"/>
            <w:vAlign w:val="center"/>
          </w:tcPr>
          <w:p w:rsidR="00A84223" w:rsidRDefault="001E4DAE">
            <w:pPr>
              <w:jc w:val="center"/>
            </w:pPr>
            <w:r>
              <w:rPr>
                <w:color w:val="000000"/>
                <w:sz w:val="24"/>
                <w:szCs w:val="24"/>
              </w:rPr>
              <w:t>7</w:t>
            </w:r>
            <w:r>
              <w:rPr>
                <w:color w:val="000000"/>
                <w:sz w:val="24"/>
                <w:szCs w:val="24"/>
              </w:rPr>
              <w:t>年</w:t>
            </w:r>
          </w:p>
        </w:tc>
        <w:tc>
          <w:tcPr>
            <w:tcW w:w="2673" w:type="dxa"/>
            <w:vAlign w:val="center"/>
          </w:tcPr>
          <w:p w:rsidR="00A84223" w:rsidRDefault="001E4DAE">
            <w:r>
              <w:rPr>
                <w:color w:val="000000"/>
                <w:sz w:val="24"/>
                <w:szCs w:val="24"/>
              </w:rPr>
              <w:t>任相栋先生，上海交通大学金融学硕士。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A84223" w:rsidRDefault="001E4DAE">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A84223" w:rsidRDefault="001E4DAE">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A84223" w:rsidRDefault="001E4DAE">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A84223" w:rsidRDefault="001E4DAE">
      <w:pPr>
        <w:spacing w:before="29" w:line="288" w:lineRule="auto"/>
        <w:ind w:firstLineChars="200" w:firstLine="480"/>
        <w:rPr>
          <w:color w:val="000000"/>
          <w:sz w:val="24"/>
          <w:szCs w:val="24"/>
        </w:rPr>
      </w:pPr>
      <w:r>
        <w:rPr>
          <w:color w:val="000000"/>
          <w:sz w:val="24"/>
          <w:szCs w:val="24"/>
        </w:rPr>
        <w:t>2017</w:t>
      </w:r>
      <w:r>
        <w:rPr>
          <w:color w:val="000000"/>
          <w:sz w:val="24"/>
          <w:szCs w:val="24"/>
        </w:rPr>
        <w:t>年二季度指数结构分化严重，上证综指表现明显优于创业板，其中</w:t>
      </w:r>
      <w:r>
        <w:rPr>
          <w:color w:val="000000"/>
          <w:sz w:val="24"/>
          <w:szCs w:val="24"/>
        </w:rPr>
        <w:t>“</w:t>
      </w:r>
      <w:r>
        <w:rPr>
          <w:color w:val="000000"/>
          <w:sz w:val="24"/>
          <w:szCs w:val="24"/>
        </w:rPr>
        <w:t>漂亮</w:t>
      </w:r>
      <w:r>
        <w:rPr>
          <w:color w:val="000000"/>
          <w:sz w:val="24"/>
          <w:szCs w:val="24"/>
        </w:rPr>
        <w:t>50”</w:t>
      </w:r>
      <w:r>
        <w:rPr>
          <w:color w:val="000000"/>
          <w:sz w:val="24"/>
          <w:szCs w:val="24"/>
        </w:rPr>
        <w:t>表现抢眼，市场风格进一步演化至大市值风格，即大市值股票明显跑赢中小市值股票。投资者结构的变化叠加风险偏好下降，使得投资者普遍抛弃偏成长类个股，拥抱低波动</w:t>
      </w:r>
      <w:r>
        <w:rPr>
          <w:color w:val="000000"/>
          <w:sz w:val="24"/>
          <w:szCs w:val="24"/>
        </w:rPr>
        <w:lastRenderedPageBreak/>
        <w:t>稳定成长类个股，市场的趋势性力量强大。</w:t>
      </w:r>
    </w:p>
    <w:p w:rsidR="00A84223" w:rsidRDefault="001E4DAE">
      <w:pPr>
        <w:spacing w:before="29" w:line="288" w:lineRule="auto"/>
        <w:ind w:firstLineChars="200" w:firstLine="480"/>
        <w:rPr>
          <w:color w:val="000000"/>
          <w:sz w:val="24"/>
          <w:szCs w:val="24"/>
        </w:rPr>
      </w:pPr>
      <w:r>
        <w:rPr>
          <w:color w:val="000000"/>
          <w:sz w:val="24"/>
          <w:szCs w:val="24"/>
        </w:rPr>
        <w:t>由于基金合同的约定，本基金二季度在制造业的投资范围内坚持成长股投资，由于二季度的流动性环境和风险偏好与预期略有差异，基金业绩受到一定影响，我们将勉力及继续寻找业绩反弹机会。</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展望未来，在全球主要经济体货币政策转鹰和国内去杠杆的大环境下，预计流动性环境会有阶段性机会但难言有根本性的好转，这对通过选股获得正收益的投资方式提出了更高的要求。我们认为上半年的</w:t>
      </w:r>
      <w:r w:rsidRPr="00414345">
        <w:rPr>
          <w:color w:val="000000"/>
          <w:sz w:val="24"/>
          <w:szCs w:val="24"/>
        </w:rPr>
        <w:t>“</w:t>
      </w:r>
      <w:r w:rsidRPr="00414345">
        <w:rPr>
          <w:color w:val="000000"/>
          <w:sz w:val="24"/>
          <w:szCs w:val="24"/>
        </w:rPr>
        <w:t>漂亮</w:t>
      </w:r>
      <w:r w:rsidRPr="00414345">
        <w:rPr>
          <w:color w:val="000000"/>
          <w:sz w:val="24"/>
          <w:szCs w:val="24"/>
        </w:rPr>
        <w:t>50”</w:t>
      </w:r>
      <w:r w:rsidRPr="00414345">
        <w:rPr>
          <w:color w:val="000000"/>
          <w:sz w:val="24"/>
          <w:szCs w:val="24"/>
        </w:rPr>
        <w:t>行情具有阶段性特征，我们下半年的策略以兼顾流动性环境和市场风险偏好为主，通过在价值股和成长股中自下而上选股，努力为投资者创造稳健回报。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2.130</w:t>
      </w:r>
      <w:r w:rsidRPr="00414345">
        <w:rPr>
          <w:color w:val="000000"/>
          <w:sz w:val="24"/>
          <w:szCs w:val="24"/>
        </w:rPr>
        <w:t>元，本报告期份额净值增长率为</w:t>
      </w:r>
      <w:r w:rsidRPr="00414345">
        <w:rPr>
          <w:color w:val="000000"/>
          <w:sz w:val="24"/>
          <w:szCs w:val="24"/>
        </w:rPr>
        <w:t>-4.31%</w:t>
      </w:r>
      <w:r w:rsidRPr="00414345">
        <w:rPr>
          <w:color w:val="000000"/>
          <w:sz w:val="24"/>
          <w:szCs w:val="24"/>
        </w:rPr>
        <w:t>，同期业绩比较基准增长率</w:t>
      </w:r>
      <w:r w:rsidRPr="00414345">
        <w:rPr>
          <w:color w:val="000000"/>
          <w:sz w:val="24"/>
          <w:szCs w:val="24"/>
        </w:rPr>
        <w:t>-4.26%</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2,256,399,594.41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76.10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2,256,399,594.41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76.10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50,005,000.00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1.69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50,005,000.00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1.69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228,590,713.79</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7.71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346,462,263.23</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11.68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83,780,730.92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2.83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2,965,238,302.35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Default="004061AC" w:rsidP="00C15CAC">
      <w:pPr>
        <w:autoSpaceDE w:val="0"/>
        <w:autoSpaceDN w:val="0"/>
        <w:adjustRightInd w:val="0"/>
        <w:spacing w:before="29" w:line="288" w:lineRule="auto"/>
        <w:jc w:val="left"/>
        <w:rPr>
          <w:color w:val="000000"/>
          <w:sz w:val="24"/>
          <w:szCs w:val="24"/>
        </w:rPr>
      </w:pPr>
    </w:p>
    <w:p w:rsidR="00A93885" w:rsidRDefault="00A93885" w:rsidP="00A93885">
      <w:pPr>
        <w:autoSpaceDE w:val="0"/>
        <w:autoSpaceDN w:val="0"/>
        <w:spacing w:before="29" w:line="288" w:lineRule="auto"/>
        <w:jc w:val="left"/>
        <w:rPr>
          <w:b/>
          <w:bCs/>
          <w:color w:val="000000"/>
          <w:sz w:val="24"/>
          <w:szCs w:val="24"/>
        </w:rPr>
      </w:pPr>
      <w:r>
        <w:rPr>
          <w:b/>
          <w:bCs/>
          <w:color w:val="000000"/>
          <w:sz w:val="24"/>
          <w:szCs w:val="24"/>
        </w:rPr>
        <w:t xml:space="preserve">5.2 </w:t>
      </w:r>
      <w:r>
        <w:rPr>
          <w:rFonts w:ascii="宋体" w:hAnsi="宋体" w:hint="eastAsia"/>
          <w:b/>
          <w:bCs/>
          <w:color w:val="000000"/>
          <w:sz w:val="24"/>
          <w:szCs w:val="24"/>
        </w:rPr>
        <w:t>报告期末按行业分类的股票投资组合</w:t>
      </w:r>
    </w:p>
    <w:p w:rsidR="00A93885" w:rsidRDefault="00A93885" w:rsidP="00A93885">
      <w:pPr>
        <w:rPr>
          <w:b/>
          <w:bCs/>
          <w:sz w:val="24"/>
          <w:szCs w:val="24"/>
        </w:rPr>
      </w:pPr>
      <w:r>
        <w:rPr>
          <w:b/>
          <w:bCs/>
          <w:color w:val="000000"/>
          <w:sz w:val="24"/>
          <w:szCs w:val="24"/>
        </w:rPr>
        <w:t>5.2.1</w:t>
      </w:r>
      <w:r>
        <w:rPr>
          <w:rFonts w:ascii="宋体" w:hAnsi="宋体" w:hint="eastAsia"/>
          <w:b/>
          <w:bCs/>
          <w:color w:val="000000"/>
          <w:sz w:val="24"/>
          <w:szCs w:val="24"/>
        </w:rPr>
        <w:t>报告期末按行业分类的境内股票投资组合</w:t>
      </w:r>
    </w:p>
    <w:tbl>
      <w:tblPr>
        <w:tblW w:w="0" w:type="dxa"/>
        <w:jc w:val="center"/>
        <w:tblCellMar>
          <w:left w:w="0" w:type="dxa"/>
          <w:right w:w="0" w:type="dxa"/>
        </w:tblCellMar>
        <w:tblLook w:val="04A0" w:firstRow="1" w:lastRow="0" w:firstColumn="1" w:lastColumn="0" w:noHBand="0" w:noVBand="1"/>
      </w:tblPr>
      <w:tblGrid>
        <w:gridCol w:w="845"/>
        <w:gridCol w:w="3544"/>
        <w:gridCol w:w="2841"/>
        <w:gridCol w:w="1638"/>
      </w:tblGrid>
      <w:tr w:rsidR="00A93885" w:rsidTr="00A93885">
        <w:trPr>
          <w:trHeight w:val="390"/>
          <w:jc w:val="center"/>
        </w:trPr>
        <w:tc>
          <w:tcPr>
            <w:tcW w:w="8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A93885" w:rsidRDefault="00A93885">
            <w:pPr>
              <w:snapToGrid w:val="0"/>
              <w:spacing w:before="29" w:line="288" w:lineRule="auto"/>
              <w:jc w:val="center"/>
              <w:rPr>
                <w:sz w:val="24"/>
                <w:szCs w:val="24"/>
              </w:rPr>
            </w:pPr>
            <w:r>
              <w:rPr>
                <w:rFonts w:ascii="宋体" w:hAnsi="宋体" w:hint="eastAsia"/>
                <w:sz w:val="24"/>
                <w:szCs w:val="24"/>
              </w:rPr>
              <w:t>代码</w:t>
            </w:r>
          </w:p>
        </w:tc>
        <w:tc>
          <w:tcPr>
            <w:tcW w:w="3544" w:type="dxa"/>
            <w:tcBorders>
              <w:top w:val="single" w:sz="8" w:space="0" w:color="000000"/>
              <w:left w:val="nil"/>
              <w:bottom w:val="single" w:sz="8" w:space="0" w:color="000000"/>
              <w:right w:val="single" w:sz="8" w:space="0" w:color="auto"/>
            </w:tcBorders>
            <w:tcMar>
              <w:top w:w="15" w:type="dxa"/>
              <w:left w:w="108" w:type="dxa"/>
              <w:bottom w:w="0" w:type="dxa"/>
              <w:right w:w="108" w:type="dxa"/>
            </w:tcMar>
            <w:vAlign w:val="center"/>
            <w:hideMark/>
          </w:tcPr>
          <w:p w:rsidR="00A93885" w:rsidRDefault="00A93885">
            <w:pPr>
              <w:snapToGrid w:val="0"/>
              <w:spacing w:before="29" w:line="288" w:lineRule="auto"/>
              <w:jc w:val="center"/>
              <w:rPr>
                <w:sz w:val="24"/>
                <w:szCs w:val="24"/>
              </w:rPr>
            </w:pPr>
            <w:r>
              <w:rPr>
                <w:rFonts w:ascii="宋体" w:hAnsi="宋体" w:hint="eastAsia"/>
                <w:sz w:val="24"/>
                <w:szCs w:val="24"/>
              </w:rPr>
              <w:t>行业类别</w:t>
            </w:r>
          </w:p>
        </w:tc>
        <w:tc>
          <w:tcPr>
            <w:tcW w:w="284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A93885" w:rsidRDefault="00A93885">
            <w:pPr>
              <w:snapToGrid w:val="0"/>
              <w:spacing w:before="29" w:line="288" w:lineRule="auto"/>
              <w:jc w:val="center"/>
              <w:rPr>
                <w:sz w:val="24"/>
                <w:szCs w:val="24"/>
              </w:rPr>
            </w:pPr>
            <w:r>
              <w:rPr>
                <w:rFonts w:ascii="宋体" w:hAnsi="宋体" w:hint="eastAsia"/>
                <w:sz w:val="24"/>
                <w:szCs w:val="24"/>
              </w:rPr>
              <w:t>公允价值（元）</w:t>
            </w:r>
          </w:p>
        </w:tc>
        <w:tc>
          <w:tcPr>
            <w:tcW w:w="1638" w:type="dxa"/>
            <w:tcBorders>
              <w:top w:val="single" w:sz="8" w:space="0" w:color="000000"/>
              <w:left w:val="nil"/>
              <w:bottom w:val="single" w:sz="8" w:space="0" w:color="000000"/>
              <w:right w:val="single" w:sz="8" w:space="0" w:color="000000"/>
            </w:tcBorders>
            <w:tcMar>
              <w:top w:w="15" w:type="dxa"/>
              <w:left w:w="108" w:type="dxa"/>
              <w:bottom w:w="0" w:type="dxa"/>
              <w:right w:w="108" w:type="dxa"/>
            </w:tcMar>
            <w:vAlign w:val="center"/>
            <w:hideMark/>
          </w:tcPr>
          <w:p w:rsidR="00A93885" w:rsidRDefault="00A93885">
            <w:pPr>
              <w:snapToGrid w:val="0"/>
              <w:spacing w:before="29" w:line="288" w:lineRule="auto"/>
              <w:jc w:val="center"/>
              <w:rPr>
                <w:sz w:val="24"/>
                <w:szCs w:val="24"/>
              </w:rPr>
            </w:pPr>
            <w:r>
              <w:rPr>
                <w:rFonts w:ascii="宋体" w:hAnsi="宋体" w:hint="eastAsia"/>
                <w:sz w:val="24"/>
                <w:szCs w:val="24"/>
              </w:rPr>
              <w:t>占基金资产净值比例（％）</w:t>
            </w:r>
          </w:p>
        </w:tc>
      </w:tr>
      <w:tr w:rsidR="00A93885" w:rsidTr="00A93885">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A93885" w:rsidRDefault="00A93885">
            <w:pPr>
              <w:snapToGrid w:val="0"/>
              <w:spacing w:before="29" w:line="288" w:lineRule="auto"/>
              <w:jc w:val="center"/>
              <w:rPr>
                <w:sz w:val="24"/>
                <w:szCs w:val="24"/>
              </w:rPr>
            </w:pPr>
            <w:r>
              <w:rPr>
                <w:sz w:val="24"/>
                <w:szCs w:val="24"/>
              </w:rPr>
              <w:t>A</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A93885" w:rsidRDefault="00A93885">
            <w:pPr>
              <w:snapToGrid w:val="0"/>
              <w:spacing w:before="29" w:line="288" w:lineRule="auto"/>
              <w:jc w:val="left"/>
              <w:rPr>
                <w:sz w:val="24"/>
                <w:szCs w:val="24"/>
              </w:rPr>
            </w:pPr>
            <w:r>
              <w:rPr>
                <w:rFonts w:ascii="宋体" w:hAnsi="宋体" w:hint="eastAsia"/>
                <w:sz w:val="24"/>
                <w:szCs w:val="24"/>
              </w:rPr>
              <w:t>农、林、牧、渔业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93885" w:rsidRDefault="00A93885">
            <w:pPr>
              <w:autoSpaceDE w:val="0"/>
              <w:autoSpaceDN w:val="0"/>
              <w:spacing w:before="29" w:line="288" w:lineRule="auto"/>
              <w:ind w:left="15"/>
              <w:jc w:val="right"/>
              <w:rPr>
                <w:sz w:val="24"/>
                <w:szCs w:val="24"/>
              </w:rPr>
            </w:pPr>
            <w:r>
              <w:rPr>
                <w:sz w:val="24"/>
                <w:szCs w:val="24"/>
              </w:rPr>
              <w:t>-</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A93885" w:rsidRDefault="00A93885">
            <w:pPr>
              <w:autoSpaceDE w:val="0"/>
              <w:autoSpaceDN w:val="0"/>
              <w:spacing w:before="29" w:line="288" w:lineRule="auto"/>
              <w:ind w:left="15"/>
              <w:jc w:val="right"/>
              <w:rPr>
                <w:sz w:val="24"/>
                <w:szCs w:val="24"/>
              </w:rPr>
            </w:pPr>
            <w:r>
              <w:rPr>
                <w:sz w:val="24"/>
                <w:szCs w:val="24"/>
              </w:rPr>
              <w:t>-</w:t>
            </w:r>
          </w:p>
        </w:tc>
      </w:tr>
      <w:tr w:rsidR="00A93885" w:rsidTr="00A93885">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A93885" w:rsidRDefault="00A93885">
            <w:pPr>
              <w:snapToGrid w:val="0"/>
              <w:spacing w:before="29" w:line="288" w:lineRule="auto"/>
              <w:jc w:val="center"/>
              <w:rPr>
                <w:sz w:val="24"/>
                <w:szCs w:val="24"/>
              </w:rPr>
            </w:pPr>
            <w:r>
              <w:rPr>
                <w:sz w:val="24"/>
                <w:szCs w:val="24"/>
              </w:rPr>
              <w:t>B</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A93885" w:rsidRDefault="00A93885">
            <w:pPr>
              <w:snapToGrid w:val="0"/>
              <w:spacing w:before="29" w:line="288" w:lineRule="auto"/>
              <w:jc w:val="left"/>
              <w:rPr>
                <w:sz w:val="24"/>
                <w:szCs w:val="24"/>
              </w:rPr>
            </w:pPr>
            <w:r>
              <w:rPr>
                <w:rFonts w:ascii="宋体" w:hAnsi="宋体" w:hint="eastAsia"/>
                <w:sz w:val="24"/>
                <w:szCs w:val="24"/>
              </w:rPr>
              <w:t>采矿业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93885" w:rsidRDefault="00A93885">
            <w:pPr>
              <w:spacing w:before="29" w:line="288" w:lineRule="auto"/>
              <w:jc w:val="right"/>
              <w:rPr>
                <w:sz w:val="24"/>
                <w:szCs w:val="24"/>
              </w:rPr>
            </w:pPr>
            <w:r>
              <w:rPr>
                <w:sz w:val="24"/>
                <w:szCs w:val="24"/>
              </w:rPr>
              <w:t>-</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A93885" w:rsidRDefault="00A93885">
            <w:pPr>
              <w:spacing w:before="29" w:line="288" w:lineRule="auto"/>
              <w:jc w:val="right"/>
              <w:rPr>
                <w:sz w:val="24"/>
                <w:szCs w:val="24"/>
              </w:rPr>
            </w:pPr>
            <w:r>
              <w:rPr>
                <w:sz w:val="24"/>
                <w:szCs w:val="24"/>
              </w:rPr>
              <w:t>-</w:t>
            </w:r>
          </w:p>
        </w:tc>
      </w:tr>
      <w:tr w:rsidR="00A93885" w:rsidTr="00A93885">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A93885" w:rsidRDefault="00A93885">
            <w:pPr>
              <w:snapToGrid w:val="0"/>
              <w:spacing w:before="29" w:line="288" w:lineRule="auto"/>
              <w:jc w:val="center"/>
              <w:rPr>
                <w:sz w:val="24"/>
                <w:szCs w:val="24"/>
              </w:rPr>
            </w:pPr>
            <w:r>
              <w:rPr>
                <w:sz w:val="24"/>
                <w:szCs w:val="24"/>
              </w:rPr>
              <w:t>C</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A93885" w:rsidRDefault="00A93885">
            <w:pPr>
              <w:snapToGrid w:val="0"/>
              <w:spacing w:before="29" w:line="288" w:lineRule="auto"/>
              <w:jc w:val="left"/>
              <w:rPr>
                <w:sz w:val="24"/>
                <w:szCs w:val="24"/>
              </w:rPr>
            </w:pPr>
            <w:r>
              <w:rPr>
                <w:rFonts w:ascii="宋体" w:hAnsi="宋体" w:hint="eastAsia"/>
                <w:sz w:val="24"/>
                <w:szCs w:val="24"/>
              </w:rPr>
              <w:t>制造业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93885" w:rsidRDefault="00A93885">
            <w:pPr>
              <w:spacing w:before="29" w:line="288" w:lineRule="auto"/>
              <w:jc w:val="right"/>
              <w:rPr>
                <w:sz w:val="24"/>
                <w:szCs w:val="24"/>
              </w:rPr>
            </w:pPr>
            <w:r>
              <w:rPr>
                <w:sz w:val="24"/>
                <w:szCs w:val="24"/>
              </w:rPr>
              <w:t>1,873,552,936.95</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A93885" w:rsidRDefault="00A93885">
            <w:pPr>
              <w:spacing w:before="29" w:line="288" w:lineRule="auto"/>
              <w:jc w:val="right"/>
              <w:rPr>
                <w:sz w:val="24"/>
                <w:szCs w:val="24"/>
              </w:rPr>
            </w:pPr>
            <w:r>
              <w:rPr>
                <w:sz w:val="24"/>
                <w:szCs w:val="24"/>
              </w:rPr>
              <w:t>65.27</w:t>
            </w:r>
          </w:p>
        </w:tc>
      </w:tr>
      <w:tr w:rsidR="00A93885" w:rsidTr="00A93885">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A93885" w:rsidRDefault="00A93885">
            <w:pPr>
              <w:snapToGrid w:val="0"/>
              <w:spacing w:before="29" w:line="288" w:lineRule="auto"/>
              <w:jc w:val="center"/>
              <w:rPr>
                <w:sz w:val="24"/>
                <w:szCs w:val="24"/>
              </w:rPr>
            </w:pPr>
            <w:r>
              <w:rPr>
                <w:sz w:val="24"/>
                <w:szCs w:val="24"/>
              </w:rPr>
              <w:t>D</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A93885" w:rsidRDefault="00A93885">
            <w:pPr>
              <w:snapToGrid w:val="0"/>
              <w:spacing w:before="29" w:line="288" w:lineRule="auto"/>
              <w:jc w:val="left"/>
              <w:rPr>
                <w:sz w:val="24"/>
                <w:szCs w:val="24"/>
              </w:rPr>
            </w:pPr>
            <w:r>
              <w:rPr>
                <w:rFonts w:ascii="宋体" w:hAnsi="宋体" w:hint="eastAsia"/>
                <w:sz w:val="24"/>
                <w:szCs w:val="24"/>
              </w:rPr>
              <w:t>电力、热力、燃气及水生产和供应业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93885" w:rsidRDefault="00A93885">
            <w:pPr>
              <w:spacing w:before="29" w:line="288" w:lineRule="auto"/>
              <w:jc w:val="right"/>
              <w:rPr>
                <w:sz w:val="24"/>
                <w:szCs w:val="24"/>
              </w:rPr>
            </w:pPr>
            <w:r>
              <w:rPr>
                <w:sz w:val="24"/>
                <w:szCs w:val="24"/>
              </w:rPr>
              <w:t>29,354,301.13</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A93885" w:rsidRDefault="00A93885">
            <w:pPr>
              <w:spacing w:before="29" w:line="288" w:lineRule="auto"/>
              <w:jc w:val="right"/>
              <w:rPr>
                <w:sz w:val="24"/>
                <w:szCs w:val="24"/>
              </w:rPr>
            </w:pPr>
            <w:r>
              <w:rPr>
                <w:sz w:val="24"/>
                <w:szCs w:val="24"/>
              </w:rPr>
              <w:t>1.02</w:t>
            </w:r>
          </w:p>
        </w:tc>
      </w:tr>
      <w:tr w:rsidR="00A93885" w:rsidTr="00A93885">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A93885" w:rsidRDefault="00A93885">
            <w:pPr>
              <w:snapToGrid w:val="0"/>
              <w:spacing w:before="29" w:line="288" w:lineRule="auto"/>
              <w:jc w:val="center"/>
              <w:rPr>
                <w:sz w:val="24"/>
                <w:szCs w:val="24"/>
              </w:rPr>
            </w:pPr>
            <w:r>
              <w:rPr>
                <w:sz w:val="24"/>
                <w:szCs w:val="24"/>
              </w:rPr>
              <w:t>E</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A93885" w:rsidRDefault="00A93885">
            <w:pPr>
              <w:snapToGrid w:val="0"/>
              <w:spacing w:before="29" w:line="288" w:lineRule="auto"/>
              <w:jc w:val="left"/>
              <w:rPr>
                <w:sz w:val="24"/>
                <w:szCs w:val="24"/>
              </w:rPr>
            </w:pPr>
            <w:r>
              <w:rPr>
                <w:rFonts w:ascii="宋体" w:hAnsi="宋体" w:hint="eastAsia"/>
                <w:sz w:val="24"/>
                <w:szCs w:val="24"/>
              </w:rPr>
              <w:t>建筑业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93885" w:rsidRDefault="00A93885">
            <w:pPr>
              <w:spacing w:before="29" w:line="288" w:lineRule="auto"/>
              <w:jc w:val="right"/>
              <w:rPr>
                <w:sz w:val="24"/>
                <w:szCs w:val="24"/>
              </w:rPr>
            </w:pPr>
            <w:r>
              <w:rPr>
                <w:sz w:val="24"/>
                <w:szCs w:val="24"/>
              </w:rPr>
              <w:t>-</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A93885" w:rsidRDefault="00A93885">
            <w:pPr>
              <w:spacing w:before="29" w:line="288" w:lineRule="auto"/>
              <w:jc w:val="right"/>
              <w:rPr>
                <w:sz w:val="24"/>
                <w:szCs w:val="24"/>
              </w:rPr>
            </w:pPr>
            <w:r>
              <w:rPr>
                <w:sz w:val="24"/>
                <w:szCs w:val="24"/>
              </w:rPr>
              <w:t>-</w:t>
            </w:r>
          </w:p>
        </w:tc>
      </w:tr>
      <w:tr w:rsidR="00A93885" w:rsidTr="00A93885">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A93885" w:rsidRDefault="00A93885">
            <w:pPr>
              <w:snapToGrid w:val="0"/>
              <w:spacing w:before="29" w:line="288" w:lineRule="auto"/>
              <w:jc w:val="center"/>
              <w:rPr>
                <w:sz w:val="24"/>
                <w:szCs w:val="24"/>
              </w:rPr>
            </w:pPr>
            <w:r>
              <w:rPr>
                <w:sz w:val="24"/>
                <w:szCs w:val="24"/>
              </w:rPr>
              <w:t>F</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A93885" w:rsidRDefault="00A93885">
            <w:pPr>
              <w:snapToGrid w:val="0"/>
              <w:spacing w:before="29" w:line="288" w:lineRule="auto"/>
              <w:jc w:val="left"/>
              <w:rPr>
                <w:sz w:val="24"/>
                <w:szCs w:val="24"/>
              </w:rPr>
            </w:pPr>
            <w:r>
              <w:rPr>
                <w:rFonts w:ascii="宋体" w:hAnsi="宋体" w:hint="eastAsia"/>
                <w:sz w:val="24"/>
                <w:szCs w:val="24"/>
              </w:rPr>
              <w:t>批发和零售业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93885" w:rsidRDefault="00A93885">
            <w:pPr>
              <w:spacing w:before="29" w:line="288" w:lineRule="auto"/>
              <w:jc w:val="right"/>
              <w:rPr>
                <w:sz w:val="24"/>
                <w:szCs w:val="24"/>
              </w:rPr>
            </w:pPr>
            <w:r>
              <w:rPr>
                <w:sz w:val="24"/>
                <w:szCs w:val="24"/>
              </w:rPr>
              <w:t>30,120,000.00</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A93885" w:rsidRDefault="00A93885">
            <w:pPr>
              <w:spacing w:before="29" w:line="288" w:lineRule="auto"/>
              <w:jc w:val="right"/>
              <w:rPr>
                <w:sz w:val="24"/>
                <w:szCs w:val="24"/>
              </w:rPr>
            </w:pPr>
            <w:r>
              <w:rPr>
                <w:sz w:val="24"/>
                <w:szCs w:val="24"/>
              </w:rPr>
              <w:t>1.05</w:t>
            </w:r>
          </w:p>
        </w:tc>
      </w:tr>
      <w:tr w:rsidR="00A93885" w:rsidTr="00A93885">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A93885" w:rsidRDefault="00A93885">
            <w:pPr>
              <w:snapToGrid w:val="0"/>
              <w:spacing w:before="29" w:line="288" w:lineRule="auto"/>
              <w:jc w:val="center"/>
              <w:rPr>
                <w:sz w:val="24"/>
                <w:szCs w:val="24"/>
              </w:rPr>
            </w:pPr>
            <w:r>
              <w:rPr>
                <w:sz w:val="24"/>
                <w:szCs w:val="24"/>
              </w:rPr>
              <w:t>G</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A93885" w:rsidRDefault="00A93885">
            <w:pPr>
              <w:snapToGrid w:val="0"/>
              <w:spacing w:before="29" w:line="288" w:lineRule="auto"/>
              <w:jc w:val="left"/>
              <w:rPr>
                <w:sz w:val="24"/>
                <w:szCs w:val="24"/>
              </w:rPr>
            </w:pPr>
            <w:r>
              <w:rPr>
                <w:rFonts w:ascii="宋体" w:hAnsi="宋体" w:hint="eastAsia"/>
                <w:sz w:val="24"/>
                <w:szCs w:val="24"/>
              </w:rPr>
              <w:t>交通运输、仓储和邮政业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93885" w:rsidRDefault="00A93885">
            <w:pPr>
              <w:spacing w:before="29" w:line="288" w:lineRule="auto"/>
              <w:jc w:val="right"/>
              <w:rPr>
                <w:sz w:val="24"/>
                <w:szCs w:val="24"/>
              </w:rPr>
            </w:pPr>
            <w:r>
              <w:rPr>
                <w:sz w:val="24"/>
                <w:szCs w:val="24"/>
              </w:rPr>
              <w:t>-</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A93885" w:rsidRDefault="00A93885">
            <w:pPr>
              <w:spacing w:before="29" w:line="288" w:lineRule="auto"/>
              <w:jc w:val="right"/>
              <w:rPr>
                <w:sz w:val="24"/>
                <w:szCs w:val="24"/>
              </w:rPr>
            </w:pPr>
            <w:r>
              <w:rPr>
                <w:sz w:val="24"/>
                <w:szCs w:val="24"/>
              </w:rPr>
              <w:t>-</w:t>
            </w:r>
          </w:p>
        </w:tc>
      </w:tr>
      <w:tr w:rsidR="00A93885" w:rsidTr="00A93885">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A93885" w:rsidRDefault="00A93885">
            <w:pPr>
              <w:snapToGrid w:val="0"/>
              <w:spacing w:before="29" w:line="288" w:lineRule="auto"/>
              <w:jc w:val="center"/>
              <w:rPr>
                <w:sz w:val="24"/>
                <w:szCs w:val="24"/>
              </w:rPr>
            </w:pPr>
            <w:r>
              <w:rPr>
                <w:sz w:val="24"/>
                <w:szCs w:val="24"/>
              </w:rPr>
              <w:t>H</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A93885" w:rsidRDefault="00A93885">
            <w:pPr>
              <w:snapToGrid w:val="0"/>
              <w:spacing w:before="29" w:line="288" w:lineRule="auto"/>
              <w:jc w:val="left"/>
              <w:rPr>
                <w:sz w:val="24"/>
                <w:szCs w:val="24"/>
              </w:rPr>
            </w:pPr>
            <w:r>
              <w:rPr>
                <w:rFonts w:ascii="宋体" w:hAnsi="宋体" w:hint="eastAsia"/>
                <w:sz w:val="24"/>
                <w:szCs w:val="24"/>
              </w:rPr>
              <w:t>住宿和餐饮业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93885" w:rsidRDefault="00A93885">
            <w:pPr>
              <w:spacing w:before="29" w:line="288" w:lineRule="auto"/>
              <w:jc w:val="right"/>
              <w:rPr>
                <w:sz w:val="24"/>
                <w:szCs w:val="24"/>
              </w:rPr>
            </w:pPr>
            <w:r>
              <w:rPr>
                <w:sz w:val="24"/>
                <w:szCs w:val="24"/>
              </w:rPr>
              <w:t>-</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A93885" w:rsidRDefault="00A93885">
            <w:pPr>
              <w:spacing w:before="29" w:line="288" w:lineRule="auto"/>
              <w:jc w:val="right"/>
              <w:rPr>
                <w:sz w:val="24"/>
                <w:szCs w:val="24"/>
              </w:rPr>
            </w:pPr>
            <w:r>
              <w:rPr>
                <w:sz w:val="24"/>
                <w:szCs w:val="24"/>
              </w:rPr>
              <w:t>-</w:t>
            </w:r>
          </w:p>
        </w:tc>
      </w:tr>
      <w:tr w:rsidR="00A93885" w:rsidTr="00A93885">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A93885" w:rsidRDefault="00A93885">
            <w:pPr>
              <w:snapToGrid w:val="0"/>
              <w:spacing w:before="29" w:line="288" w:lineRule="auto"/>
              <w:jc w:val="center"/>
              <w:rPr>
                <w:sz w:val="24"/>
                <w:szCs w:val="24"/>
              </w:rPr>
            </w:pPr>
            <w:r>
              <w:rPr>
                <w:sz w:val="24"/>
                <w:szCs w:val="24"/>
              </w:rPr>
              <w:t>I</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A93885" w:rsidRDefault="00A93885">
            <w:pPr>
              <w:snapToGrid w:val="0"/>
              <w:spacing w:before="29" w:line="288" w:lineRule="auto"/>
              <w:rPr>
                <w:sz w:val="24"/>
                <w:szCs w:val="24"/>
              </w:rPr>
            </w:pPr>
            <w:r>
              <w:rPr>
                <w:rFonts w:ascii="宋体" w:hAnsi="宋体" w:hint="eastAsia"/>
                <w:sz w:val="24"/>
                <w:szCs w:val="24"/>
              </w:rPr>
              <w:t>信息传输、软件和信息技术服务业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93885" w:rsidRDefault="00A93885">
            <w:pPr>
              <w:spacing w:before="29" w:line="288" w:lineRule="auto"/>
              <w:jc w:val="right"/>
              <w:rPr>
                <w:sz w:val="24"/>
                <w:szCs w:val="24"/>
              </w:rPr>
            </w:pPr>
            <w:r>
              <w:rPr>
                <w:sz w:val="24"/>
                <w:szCs w:val="24"/>
              </w:rPr>
              <w:t>7,639.62</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A93885" w:rsidRDefault="00A93885">
            <w:pPr>
              <w:spacing w:before="29" w:line="288" w:lineRule="auto"/>
              <w:jc w:val="right"/>
              <w:rPr>
                <w:sz w:val="24"/>
                <w:szCs w:val="24"/>
              </w:rPr>
            </w:pPr>
            <w:r>
              <w:rPr>
                <w:sz w:val="24"/>
                <w:szCs w:val="24"/>
              </w:rPr>
              <w:t>0.00</w:t>
            </w:r>
          </w:p>
        </w:tc>
      </w:tr>
      <w:tr w:rsidR="00A93885" w:rsidTr="00A93885">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A93885" w:rsidRDefault="00A93885">
            <w:pPr>
              <w:snapToGrid w:val="0"/>
              <w:spacing w:before="29" w:line="288" w:lineRule="auto"/>
              <w:jc w:val="center"/>
              <w:rPr>
                <w:color w:val="000000"/>
                <w:sz w:val="24"/>
                <w:szCs w:val="24"/>
              </w:rPr>
            </w:pPr>
            <w:r>
              <w:rPr>
                <w:color w:val="000000"/>
                <w:sz w:val="24"/>
                <w:szCs w:val="24"/>
              </w:rPr>
              <w:t>J</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A93885" w:rsidRDefault="00A93885">
            <w:pPr>
              <w:snapToGrid w:val="0"/>
              <w:spacing w:before="29" w:line="288" w:lineRule="auto"/>
              <w:jc w:val="left"/>
              <w:rPr>
                <w:color w:val="000000"/>
                <w:sz w:val="24"/>
                <w:szCs w:val="24"/>
              </w:rPr>
            </w:pPr>
            <w:r>
              <w:rPr>
                <w:rFonts w:ascii="宋体" w:hAnsi="宋体" w:hint="eastAsia"/>
                <w:color w:val="000000"/>
                <w:sz w:val="24"/>
                <w:szCs w:val="24"/>
              </w:rPr>
              <w:t>金融业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93885" w:rsidRDefault="00A93885">
            <w:pPr>
              <w:spacing w:before="29" w:line="288" w:lineRule="auto"/>
              <w:jc w:val="right"/>
              <w:rPr>
                <w:sz w:val="24"/>
                <w:szCs w:val="24"/>
              </w:rPr>
            </w:pPr>
            <w:r>
              <w:rPr>
                <w:sz w:val="24"/>
                <w:szCs w:val="24"/>
              </w:rPr>
              <w:t>255,827,075.85</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A93885" w:rsidRDefault="00A93885">
            <w:pPr>
              <w:spacing w:before="29" w:line="288" w:lineRule="auto"/>
              <w:jc w:val="right"/>
              <w:rPr>
                <w:sz w:val="24"/>
                <w:szCs w:val="24"/>
              </w:rPr>
            </w:pPr>
            <w:r>
              <w:rPr>
                <w:sz w:val="24"/>
                <w:szCs w:val="24"/>
              </w:rPr>
              <w:t>8.91</w:t>
            </w:r>
          </w:p>
        </w:tc>
      </w:tr>
      <w:tr w:rsidR="00A93885" w:rsidTr="00A93885">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A93885" w:rsidRDefault="00A93885">
            <w:pPr>
              <w:snapToGrid w:val="0"/>
              <w:spacing w:before="29" w:line="288" w:lineRule="auto"/>
              <w:jc w:val="center"/>
              <w:rPr>
                <w:color w:val="000000"/>
                <w:sz w:val="24"/>
                <w:szCs w:val="24"/>
              </w:rPr>
            </w:pPr>
            <w:r>
              <w:rPr>
                <w:color w:val="000000"/>
                <w:sz w:val="24"/>
                <w:szCs w:val="24"/>
              </w:rPr>
              <w:t>K</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A93885" w:rsidRDefault="00A93885">
            <w:pPr>
              <w:snapToGrid w:val="0"/>
              <w:spacing w:before="29" w:line="288" w:lineRule="auto"/>
              <w:jc w:val="left"/>
              <w:rPr>
                <w:color w:val="000000"/>
                <w:sz w:val="24"/>
                <w:szCs w:val="24"/>
              </w:rPr>
            </w:pPr>
            <w:r>
              <w:rPr>
                <w:rFonts w:ascii="宋体" w:hAnsi="宋体" w:hint="eastAsia"/>
                <w:color w:val="000000"/>
                <w:sz w:val="24"/>
                <w:szCs w:val="24"/>
              </w:rPr>
              <w:t>房地产业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93885" w:rsidRDefault="00A93885">
            <w:pPr>
              <w:spacing w:before="29" w:line="288" w:lineRule="auto"/>
              <w:jc w:val="right"/>
              <w:rPr>
                <w:sz w:val="24"/>
                <w:szCs w:val="24"/>
              </w:rPr>
            </w:pPr>
            <w:r>
              <w:rPr>
                <w:sz w:val="24"/>
                <w:szCs w:val="24"/>
              </w:rPr>
              <w:t>-</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A93885" w:rsidRDefault="00A93885">
            <w:pPr>
              <w:spacing w:before="29" w:line="288" w:lineRule="auto"/>
              <w:jc w:val="right"/>
              <w:rPr>
                <w:sz w:val="24"/>
                <w:szCs w:val="24"/>
              </w:rPr>
            </w:pPr>
            <w:r>
              <w:rPr>
                <w:sz w:val="24"/>
                <w:szCs w:val="24"/>
              </w:rPr>
              <w:t>-</w:t>
            </w:r>
          </w:p>
        </w:tc>
      </w:tr>
      <w:tr w:rsidR="00A93885" w:rsidTr="00A93885">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A93885" w:rsidRDefault="00A93885">
            <w:pPr>
              <w:snapToGrid w:val="0"/>
              <w:spacing w:before="29" w:line="288" w:lineRule="auto"/>
              <w:jc w:val="center"/>
              <w:rPr>
                <w:color w:val="000000"/>
                <w:sz w:val="24"/>
                <w:szCs w:val="24"/>
              </w:rPr>
            </w:pPr>
            <w:r>
              <w:rPr>
                <w:color w:val="000000"/>
                <w:sz w:val="24"/>
                <w:szCs w:val="24"/>
              </w:rPr>
              <w:t>L</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A93885" w:rsidRDefault="00A93885">
            <w:pPr>
              <w:snapToGrid w:val="0"/>
              <w:spacing w:before="29" w:line="288" w:lineRule="auto"/>
              <w:jc w:val="left"/>
              <w:rPr>
                <w:color w:val="000000"/>
                <w:sz w:val="24"/>
                <w:szCs w:val="24"/>
              </w:rPr>
            </w:pPr>
            <w:r>
              <w:rPr>
                <w:rFonts w:ascii="宋体" w:hAnsi="宋体" w:hint="eastAsia"/>
                <w:color w:val="000000"/>
                <w:sz w:val="24"/>
                <w:szCs w:val="24"/>
              </w:rPr>
              <w:t>租赁和商务服务业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93885" w:rsidRDefault="00A93885">
            <w:pPr>
              <w:spacing w:before="29" w:line="288" w:lineRule="auto"/>
              <w:jc w:val="right"/>
              <w:rPr>
                <w:sz w:val="24"/>
                <w:szCs w:val="24"/>
              </w:rPr>
            </w:pPr>
            <w:r>
              <w:rPr>
                <w:sz w:val="24"/>
                <w:szCs w:val="24"/>
              </w:rPr>
              <w:t>-</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A93885" w:rsidRDefault="00A93885">
            <w:pPr>
              <w:spacing w:before="29" w:line="288" w:lineRule="auto"/>
              <w:jc w:val="right"/>
              <w:rPr>
                <w:sz w:val="24"/>
                <w:szCs w:val="24"/>
              </w:rPr>
            </w:pPr>
            <w:r>
              <w:rPr>
                <w:sz w:val="24"/>
                <w:szCs w:val="24"/>
              </w:rPr>
              <w:t>-</w:t>
            </w:r>
          </w:p>
        </w:tc>
      </w:tr>
      <w:tr w:rsidR="00A93885" w:rsidTr="00A93885">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A93885" w:rsidRDefault="00A93885">
            <w:pPr>
              <w:snapToGrid w:val="0"/>
              <w:spacing w:before="29" w:line="288" w:lineRule="auto"/>
              <w:jc w:val="center"/>
              <w:rPr>
                <w:color w:val="000000"/>
                <w:sz w:val="24"/>
                <w:szCs w:val="24"/>
              </w:rPr>
            </w:pPr>
            <w:r>
              <w:rPr>
                <w:color w:val="000000"/>
                <w:sz w:val="24"/>
                <w:szCs w:val="24"/>
              </w:rPr>
              <w:t>M</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A93885" w:rsidRDefault="00A93885">
            <w:pPr>
              <w:snapToGrid w:val="0"/>
              <w:spacing w:before="29" w:line="288" w:lineRule="auto"/>
              <w:jc w:val="left"/>
              <w:rPr>
                <w:color w:val="000000"/>
                <w:sz w:val="24"/>
                <w:szCs w:val="24"/>
              </w:rPr>
            </w:pPr>
            <w:r>
              <w:rPr>
                <w:rFonts w:ascii="宋体" w:hAnsi="宋体" w:hint="eastAsia"/>
                <w:color w:val="000000"/>
                <w:sz w:val="24"/>
                <w:szCs w:val="24"/>
              </w:rPr>
              <w:t>科学研究和技术服务业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93885" w:rsidRDefault="00A93885">
            <w:pPr>
              <w:spacing w:before="29" w:line="288" w:lineRule="auto"/>
              <w:jc w:val="right"/>
              <w:rPr>
                <w:sz w:val="24"/>
                <w:szCs w:val="24"/>
              </w:rPr>
            </w:pPr>
            <w:r>
              <w:rPr>
                <w:sz w:val="24"/>
                <w:szCs w:val="24"/>
              </w:rPr>
              <w:t>-</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A93885" w:rsidRDefault="00A93885">
            <w:pPr>
              <w:spacing w:before="29" w:line="288" w:lineRule="auto"/>
              <w:jc w:val="right"/>
              <w:rPr>
                <w:sz w:val="24"/>
                <w:szCs w:val="24"/>
              </w:rPr>
            </w:pPr>
            <w:r>
              <w:rPr>
                <w:sz w:val="24"/>
                <w:szCs w:val="24"/>
              </w:rPr>
              <w:t>-</w:t>
            </w:r>
          </w:p>
        </w:tc>
      </w:tr>
      <w:tr w:rsidR="00A93885" w:rsidTr="00A93885">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A93885" w:rsidRDefault="00A93885">
            <w:pPr>
              <w:snapToGrid w:val="0"/>
              <w:spacing w:before="29" w:line="288" w:lineRule="auto"/>
              <w:jc w:val="center"/>
              <w:rPr>
                <w:color w:val="000000"/>
                <w:sz w:val="24"/>
                <w:szCs w:val="24"/>
              </w:rPr>
            </w:pPr>
            <w:r>
              <w:rPr>
                <w:color w:val="000000"/>
                <w:sz w:val="24"/>
                <w:szCs w:val="24"/>
              </w:rPr>
              <w:t>N</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A93885" w:rsidRDefault="00A93885">
            <w:pPr>
              <w:snapToGrid w:val="0"/>
              <w:spacing w:before="29" w:line="288" w:lineRule="auto"/>
              <w:jc w:val="left"/>
              <w:rPr>
                <w:color w:val="000000"/>
                <w:sz w:val="24"/>
                <w:szCs w:val="24"/>
              </w:rPr>
            </w:pPr>
            <w:r>
              <w:rPr>
                <w:rFonts w:ascii="宋体" w:hAnsi="宋体" w:hint="eastAsia"/>
                <w:color w:val="000000"/>
                <w:sz w:val="24"/>
                <w:szCs w:val="24"/>
              </w:rPr>
              <w:t>水利、环境和公共设施管理业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93885" w:rsidRDefault="00A93885">
            <w:pPr>
              <w:spacing w:before="29" w:line="288" w:lineRule="auto"/>
              <w:jc w:val="right"/>
              <w:rPr>
                <w:sz w:val="24"/>
                <w:szCs w:val="24"/>
              </w:rPr>
            </w:pPr>
            <w:r>
              <w:rPr>
                <w:sz w:val="24"/>
                <w:szCs w:val="24"/>
              </w:rPr>
              <w:t>-</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A93885" w:rsidRDefault="00A93885">
            <w:pPr>
              <w:spacing w:before="29" w:line="288" w:lineRule="auto"/>
              <w:jc w:val="right"/>
              <w:rPr>
                <w:sz w:val="24"/>
                <w:szCs w:val="24"/>
              </w:rPr>
            </w:pPr>
            <w:r>
              <w:rPr>
                <w:sz w:val="24"/>
                <w:szCs w:val="24"/>
              </w:rPr>
              <w:t>-</w:t>
            </w:r>
          </w:p>
        </w:tc>
      </w:tr>
      <w:tr w:rsidR="00A93885" w:rsidTr="00A93885">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A93885" w:rsidRDefault="00A93885">
            <w:pPr>
              <w:snapToGrid w:val="0"/>
              <w:spacing w:before="29" w:line="288" w:lineRule="auto"/>
              <w:jc w:val="center"/>
              <w:rPr>
                <w:color w:val="000000"/>
                <w:sz w:val="24"/>
                <w:szCs w:val="24"/>
              </w:rPr>
            </w:pPr>
            <w:r>
              <w:rPr>
                <w:color w:val="000000"/>
                <w:sz w:val="24"/>
                <w:szCs w:val="24"/>
              </w:rPr>
              <w:t>O</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A93885" w:rsidRDefault="00A93885">
            <w:pPr>
              <w:snapToGrid w:val="0"/>
              <w:spacing w:before="29" w:line="288" w:lineRule="auto"/>
              <w:jc w:val="left"/>
              <w:rPr>
                <w:color w:val="000000"/>
                <w:sz w:val="24"/>
                <w:szCs w:val="24"/>
              </w:rPr>
            </w:pPr>
            <w:r>
              <w:rPr>
                <w:rFonts w:ascii="宋体" w:hAnsi="宋体" w:hint="eastAsia"/>
                <w:color w:val="000000"/>
                <w:sz w:val="24"/>
                <w:szCs w:val="24"/>
              </w:rPr>
              <w:t>居民服务、修理和其他服务业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93885" w:rsidRDefault="00A93885">
            <w:pPr>
              <w:spacing w:before="29" w:line="288" w:lineRule="auto"/>
              <w:jc w:val="right"/>
              <w:rPr>
                <w:sz w:val="24"/>
                <w:szCs w:val="24"/>
              </w:rPr>
            </w:pPr>
            <w:r>
              <w:rPr>
                <w:sz w:val="24"/>
                <w:szCs w:val="24"/>
              </w:rPr>
              <w:t>-</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A93885" w:rsidRDefault="00A93885">
            <w:pPr>
              <w:spacing w:before="29" w:line="288" w:lineRule="auto"/>
              <w:jc w:val="right"/>
              <w:rPr>
                <w:sz w:val="24"/>
                <w:szCs w:val="24"/>
              </w:rPr>
            </w:pPr>
            <w:r>
              <w:rPr>
                <w:sz w:val="24"/>
                <w:szCs w:val="24"/>
              </w:rPr>
              <w:t>-</w:t>
            </w:r>
          </w:p>
        </w:tc>
      </w:tr>
      <w:tr w:rsidR="00A93885" w:rsidTr="00A93885">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A93885" w:rsidRDefault="00A93885">
            <w:pPr>
              <w:snapToGrid w:val="0"/>
              <w:spacing w:before="29" w:line="288" w:lineRule="auto"/>
              <w:jc w:val="center"/>
              <w:rPr>
                <w:color w:val="000000"/>
                <w:sz w:val="24"/>
                <w:szCs w:val="24"/>
              </w:rPr>
            </w:pPr>
            <w:r>
              <w:rPr>
                <w:color w:val="000000"/>
                <w:sz w:val="24"/>
                <w:szCs w:val="24"/>
              </w:rPr>
              <w:t>P</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A93885" w:rsidRDefault="00A93885">
            <w:pPr>
              <w:snapToGrid w:val="0"/>
              <w:spacing w:before="29" w:line="288" w:lineRule="auto"/>
              <w:jc w:val="left"/>
              <w:rPr>
                <w:color w:val="000000"/>
                <w:sz w:val="24"/>
                <w:szCs w:val="24"/>
              </w:rPr>
            </w:pPr>
            <w:r>
              <w:rPr>
                <w:rFonts w:ascii="宋体" w:hAnsi="宋体" w:hint="eastAsia"/>
                <w:color w:val="000000"/>
                <w:sz w:val="24"/>
                <w:szCs w:val="24"/>
              </w:rPr>
              <w:t>教育</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93885" w:rsidRDefault="00A93885">
            <w:pPr>
              <w:spacing w:before="29" w:line="288" w:lineRule="auto"/>
              <w:jc w:val="right"/>
              <w:rPr>
                <w:sz w:val="24"/>
                <w:szCs w:val="24"/>
              </w:rPr>
            </w:pPr>
            <w:r>
              <w:rPr>
                <w:sz w:val="24"/>
                <w:szCs w:val="24"/>
              </w:rPr>
              <w:t>-</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A93885" w:rsidRDefault="00A93885">
            <w:pPr>
              <w:spacing w:before="29" w:line="288" w:lineRule="auto"/>
              <w:jc w:val="right"/>
              <w:rPr>
                <w:sz w:val="24"/>
                <w:szCs w:val="24"/>
              </w:rPr>
            </w:pPr>
            <w:r>
              <w:rPr>
                <w:sz w:val="24"/>
                <w:szCs w:val="24"/>
              </w:rPr>
              <w:t>-</w:t>
            </w:r>
          </w:p>
        </w:tc>
      </w:tr>
      <w:tr w:rsidR="00A93885" w:rsidTr="00A93885">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A93885" w:rsidRDefault="00A93885">
            <w:pPr>
              <w:snapToGrid w:val="0"/>
              <w:spacing w:before="29" w:line="288" w:lineRule="auto"/>
              <w:jc w:val="center"/>
              <w:rPr>
                <w:color w:val="000000"/>
                <w:sz w:val="24"/>
                <w:szCs w:val="24"/>
              </w:rPr>
            </w:pPr>
            <w:r>
              <w:rPr>
                <w:color w:val="000000"/>
                <w:sz w:val="24"/>
                <w:szCs w:val="24"/>
              </w:rPr>
              <w:t>Q</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A93885" w:rsidRDefault="00A93885">
            <w:pPr>
              <w:snapToGrid w:val="0"/>
              <w:spacing w:before="29" w:line="288" w:lineRule="auto"/>
              <w:jc w:val="left"/>
              <w:rPr>
                <w:color w:val="000000"/>
                <w:sz w:val="24"/>
                <w:szCs w:val="24"/>
              </w:rPr>
            </w:pPr>
            <w:r>
              <w:rPr>
                <w:rFonts w:ascii="宋体" w:hAnsi="宋体" w:hint="eastAsia"/>
                <w:color w:val="000000"/>
                <w:sz w:val="24"/>
                <w:szCs w:val="24"/>
              </w:rPr>
              <w:t>卫生和社会工作</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93885" w:rsidRDefault="00A93885">
            <w:pPr>
              <w:spacing w:before="29" w:line="288" w:lineRule="auto"/>
              <w:jc w:val="right"/>
              <w:rPr>
                <w:sz w:val="24"/>
                <w:szCs w:val="24"/>
              </w:rPr>
            </w:pPr>
            <w:r>
              <w:rPr>
                <w:sz w:val="24"/>
                <w:szCs w:val="24"/>
              </w:rPr>
              <w:t>44,455,496.80</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A93885" w:rsidRDefault="00A93885">
            <w:pPr>
              <w:spacing w:before="29" w:line="288" w:lineRule="auto"/>
              <w:jc w:val="right"/>
              <w:rPr>
                <w:sz w:val="24"/>
                <w:szCs w:val="24"/>
              </w:rPr>
            </w:pPr>
            <w:r>
              <w:rPr>
                <w:sz w:val="24"/>
                <w:szCs w:val="24"/>
              </w:rPr>
              <w:t>1.55</w:t>
            </w:r>
          </w:p>
        </w:tc>
      </w:tr>
      <w:tr w:rsidR="00A93885" w:rsidTr="00A93885">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A93885" w:rsidRDefault="00A93885">
            <w:pPr>
              <w:snapToGrid w:val="0"/>
              <w:spacing w:before="29" w:line="288" w:lineRule="auto"/>
              <w:jc w:val="center"/>
              <w:rPr>
                <w:color w:val="000000"/>
                <w:sz w:val="24"/>
                <w:szCs w:val="24"/>
              </w:rPr>
            </w:pPr>
            <w:r>
              <w:rPr>
                <w:color w:val="000000"/>
                <w:sz w:val="24"/>
                <w:szCs w:val="24"/>
              </w:rPr>
              <w:t>R</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A93885" w:rsidRDefault="00A93885">
            <w:pPr>
              <w:snapToGrid w:val="0"/>
              <w:spacing w:before="29" w:line="288" w:lineRule="auto"/>
              <w:jc w:val="left"/>
              <w:rPr>
                <w:color w:val="000000"/>
                <w:sz w:val="24"/>
                <w:szCs w:val="24"/>
              </w:rPr>
            </w:pPr>
            <w:r>
              <w:rPr>
                <w:rFonts w:ascii="宋体" w:hAnsi="宋体" w:hint="eastAsia"/>
                <w:color w:val="000000"/>
                <w:sz w:val="24"/>
                <w:szCs w:val="24"/>
              </w:rPr>
              <w:t>文化、体育和娱乐业</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93885" w:rsidRDefault="00A93885">
            <w:pPr>
              <w:spacing w:before="29" w:line="288" w:lineRule="auto"/>
              <w:jc w:val="right"/>
              <w:rPr>
                <w:sz w:val="24"/>
                <w:szCs w:val="24"/>
              </w:rPr>
            </w:pPr>
            <w:r>
              <w:rPr>
                <w:sz w:val="24"/>
                <w:szCs w:val="24"/>
              </w:rPr>
              <w:t>23,082,144.06</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A93885" w:rsidRDefault="00A93885">
            <w:pPr>
              <w:spacing w:before="29" w:line="288" w:lineRule="auto"/>
              <w:jc w:val="right"/>
              <w:rPr>
                <w:sz w:val="24"/>
                <w:szCs w:val="24"/>
              </w:rPr>
            </w:pPr>
            <w:r>
              <w:rPr>
                <w:sz w:val="24"/>
                <w:szCs w:val="24"/>
              </w:rPr>
              <w:t>0.80</w:t>
            </w:r>
          </w:p>
        </w:tc>
      </w:tr>
      <w:tr w:rsidR="00A93885" w:rsidTr="00A93885">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A93885" w:rsidRDefault="00A93885">
            <w:pPr>
              <w:snapToGrid w:val="0"/>
              <w:spacing w:before="29" w:line="288" w:lineRule="auto"/>
              <w:jc w:val="center"/>
              <w:rPr>
                <w:color w:val="000000"/>
                <w:sz w:val="24"/>
                <w:szCs w:val="24"/>
              </w:rPr>
            </w:pPr>
            <w:r>
              <w:rPr>
                <w:color w:val="000000"/>
                <w:sz w:val="24"/>
                <w:szCs w:val="24"/>
              </w:rPr>
              <w:t>S</w:t>
            </w: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A93885" w:rsidRDefault="00A93885">
            <w:pPr>
              <w:snapToGrid w:val="0"/>
              <w:spacing w:before="29" w:line="288" w:lineRule="auto"/>
              <w:jc w:val="left"/>
              <w:rPr>
                <w:color w:val="000000"/>
                <w:sz w:val="24"/>
                <w:szCs w:val="24"/>
              </w:rPr>
            </w:pPr>
            <w:r>
              <w:rPr>
                <w:rFonts w:ascii="宋体" w:hAnsi="宋体" w:hint="eastAsia"/>
                <w:color w:val="000000"/>
                <w:sz w:val="24"/>
                <w:szCs w:val="24"/>
              </w:rPr>
              <w:t>综合</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93885" w:rsidRDefault="00A93885">
            <w:pPr>
              <w:spacing w:before="29" w:line="288" w:lineRule="auto"/>
              <w:jc w:val="right"/>
              <w:rPr>
                <w:sz w:val="24"/>
                <w:szCs w:val="24"/>
              </w:rPr>
            </w:pPr>
            <w:r>
              <w:rPr>
                <w:sz w:val="24"/>
                <w:szCs w:val="24"/>
              </w:rPr>
              <w:t>-</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A93885" w:rsidRDefault="00A93885">
            <w:pPr>
              <w:spacing w:before="29" w:line="288" w:lineRule="auto"/>
              <w:jc w:val="right"/>
              <w:rPr>
                <w:sz w:val="24"/>
                <w:szCs w:val="24"/>
              </w:rPr>
            </w:pPr>
            <w:r>
              <w:rPr>
                <w:sz w:val="24"/>
                <w:szCs w:val="24"/>
              </w:rPr>
              <w:t>-</w:t>
            </w:r>
          </w:p>
        </w:tc>
      </w:tr>
      <w:tr w:rsidR="00A93885" w:rsidTr="00A93885">
        <w:trPr>
          <w:trHeight w:val="285"/>
          <w:jc w:val="center"/>
        </w:trPr>
        <w:tc>
          <w:tcPr>
            <w:tcW w:w="845" w:type="dxa"/>
            <w:tcBorders>
              <w:top w:val="nil"/>
              <w:left w:val="single" w:sz="8" w:space="0" w:color="000000"/>
              <w:bottom w:val="single" w:sz="8" w:space="0" w:color="000000"/>
              <w:right w:val="single" w:sz="8" w:space="0" w:color="000000"/>
            </w:tcBorders>
            <w:tcMar>
              <w:top w:w="15" w:type="dxa"/>
              <w:left w:w="108" w:type="dxa"/>
              <w:bottom w:w="0" w:type="dxa"/>
              <w:right w:w="108" w:type="dxa"/>
            </w:tcMar>
            <w:vAlign w:val="center"/>
          </w:tcPr>
          <w:p w:rsidR="00A93885" w:rsidRDefault="00A93885">
            <w:pPr>
              <w:snapToGrid w:val="0"/>
              <w:spacing w:before="29" w:line="288" w:lineRule="auto"/>
              <w:jc w:val="center"/>
              <w:rPr>
                <w:color w:val="000000"/>
                <w:sz w:val="24"/>
                <w:szCs w:val="24"/>
              </w:rPr>
            </w:pPr>
          </w:p>
        </w:tc>
        <w:tc>
          <w:tcPr>
            <w:tcW w:w="3544" w:type="dxa"/>
            <w:tcBorders>
              <w:top w:val="nil"/>
              <w:left w:val="nil"/>
              <w:bottom w:val="single" w:sz="8" w:space="0" w:color="000000"/>
              <w:right w:val="single" w:sz="8" w:space="0" w:color="auto"/>
            </w:tcBorders>
            <w:tcMar>
              <w:top w:w="15" w:type="dxa"/>
              <w:left w:w="108" w:type="dxa"/>
              <w:bottom w:w="0" w:type="dxa"/>
              <w:right w:w="108" w:type="dxa"/>
            </w:tcMar>
            <w:vAlign w:val="center"/>
            <w:hideMark/>
          </w:tcPr>
          <w:p w:rsidR="00A93885" w:rsidRDefault="00A93885">
            <w:pPr>
              <w:snapToGrid w:val="0"/>
              <w:spacing w:before="29" w:line="288" w:lineRule="auto"/>
              <w:jc w:val="left"/>
              <w:rPr>
                <w:color w:val="000000"/>
                <w:sz w:val="24"/>
                <w:szCs w:val="24"/>
              </w:rPr>
            </w:pPr>
            <w:r>
              <w:rPr>
                <w:rFonts w:ascii="宋体" w:hAnsi="宋体" w:hint="eastAsia"/>
                <w:color w:val="000000"/>
                <w:sz w:val="24"/>
                <w:szCs w:val="24"/>
              </w:rPr>
              <w:t>合计</w:t>
            </w:r>
          </w:p>
        </w:tc>
        <w:tc>
          <w:tcPr>
            <w:tcW w:w="284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A93885" w:rsidRDefault="00A93885">
            <w:pPr>
              <w:spacing w:before="29" w:line="288" w:lineRule="auto"/>
              <w:jc w:val="right"/>
              <w:rPr>
                <w:sz w:val="24"/>
                <w:szCs w:val="24"/>
              </w:rPr>
            </w:pPr>
            <w:r>
              <w:rPr>
                <w:sz w:val="24"/>
                <w:szCs w:val="24"/>
              </w:rPr>
              <w:t>2,256,399,594.41</w:t>
            </w:r>
          </w:p>
        </w:tc>
        <w:tc>
          <w:tcPr>
            <w:tcW w:w="1638" w:type="dxa"/>
            <w:tcBorders>
              <w:top w:val="nil"/>
              <w:left w:val="nil"/>
              <w:bottom w:val="single" w:sz="8" w:space="0" w:color="000000"/>
              <w:right w:val="single" w:sz="8" w:space="0" w:color="000000"/>
            </w:tcBorders>
            <w:tcMar>
              <w:top w:w="15" w:type="dxa"/>
              <w:left w:w="108" w:type="dxa"/>
              <w:bottom w:w="0" w:type="dxa"/>
              <w:right w:w="108" w:type="dxa"/>
            </w:tcMar>
            <w:vAlign w:val="center"/>
            <w:hideMark/>
          </w:tcPr>
          <w:p w:rsidR="00A93885" w:rsidRDefault="00A93885">
            <w:pPr>
              <w:spacing w:before="29" w:line="288" w:lineRule="auto"/>
              <w:jc w:val="right"/>
              <w:rPr>
                <w:sz w:val="24"/>
                <w:szCs w:val="24"/>
              </w:rPr>
            </w:pPr>
            <w:r>
              <w:rPr>
                <w:sz w:val="24"/>
                <w:szCs w:val="24"/>
              </w:rPr>
              <w:t>78.61</w:t>
            </w:r>
          </w:p>
        </w:tc>
      </w:tr>
    </w:tbl>
    <w:p w:rsidR="00A93885" w:rsidRDefault="00A93885" w:rsidP="00A93885">
      <w:pPr>
        <w:spacing w:line="0" w:lineRule="atLeast"/>
        <w:rPr>
          <w:rFonts w:ascii="Calibri" w:hAnsi="Calibri"/>
        </w:rPr>
      </w:pPr>
    </w:p>
    <w:p w:rsidR="00F51C4E" w:rsidRPr="008A409E" w:rsidRDefault="00F51C4E" w:rsidP="00F51C4E">
      <w:pPr>
        <w:jc w:val="left"/>
        <w:rPr>
          <w:rFonts w:asciiTheme="minorEastAsia" w:eastAsiaTheme="minorEastAsia" w:hAnsiTheme="minorEastAsia"/>
          <w:b/>
          <w:bCs/>
          <w:color w:val="000000" w:themeColor="text1"/>
          <w:kern w:val="0"/>
          <w:sz w:val="24"/>
        </w:rPr>
      </w:pPr>
      <w:bookmarkStart w:id="0" w:name="_GoBack"/>
      <w:bookmarkEnd w:id="0"/>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w:t>
            </w:r>
            <w:r w:rsidRPr="00414345">
              <w:rPr>
                <w:color w:val="000000"/>
                <w:sz w:val="24"/>
                <w:szCs w:val="24"/>
              </w:rPr>
              <w:lastRenderedPageBreak/>
              <w:t>净值比例</w:t>
            </w:r>
            <w:r w:rsidR="00B47982" w:rsidRPr="00414345">
              <w:rPr>
                <w:color w:val="000000"/>
                <w:sz w:val="24"/>
              </w:rPr>
              <w:t>（％）</w:t>
            </w:r>
          </w:p>
        </w:tc>
      </w:tr>
      <w:tr w:rsidR="00A84223">
        <w:trPr>
          <w:jc w:val="center"/>
        </w:trPr>
        <w:tc>
          <w:tcPr>
            <w:tcW w:w="855" w:type="dxa"/>
            <w:vAlign w:val="center"/>
          </w:tcPr>
          <w:p w:rsidR="00A84223" w:rsidRDefault="001E4DAE">
            <w:pPr>
              <w:jc w:val="center"/>
            </w:pPr>
            <w:r>
              <w:rPr>
                <w:color w:val="000000"/>
                <w:sz w:val="24"/>
                <w:szCs w:val="24"/>
              </w:rPr>
              <w:lastRenderedPageBreak/>
              <w:t>1</w:t>
            </w:r>
          </w:p>
        </w:tc>
        <w:tc>
          <w:tcPr>
            <w:tcW w:w="1334" w:type="dxa"/>
            <w:vAlign w:val="center"/>
          </w:tcPr>
          <w:p w:rsidR="00A84223" w:rsidRDefault="001E4DAE">
            <w:pPr>
              <w:jc w:val="center"/>
            </w:pPr>
            <w:r>
              <w:rPr>
                <w:color w:val="000000"/>
                <w:sz w:val="24"/>
                <w:szCs w:val="24"/>
              </w:rPr>
              <w:t>600967</w:t>
            </w:r>
          </w:p>
        </w:tc>
        <w:tc>
          <w:tcPr>
            <w:tcW w:w="1777" w:type="dxa"/>
            <w:vAlign w:val="center"/>
          </w:tcPr>
          <w:p w:rsidR="00A84223" w:rsidRDefault="001E4DAE">
            <w:pPr>
              <w:jc w:val="center"/>
            </w:pPr>
            <w:r>
              <w:rPr>
                <w:color w:val="000000"/>
                <w:sz w:val="24"/>
                <w:szCs w:val="24"/>
              </w:rPr>
              <w:t>内蒙一机</w:t>
            </w:r>
          </w:p>
        </w:tc>
        <w:tc>
          <w:tcPr>
            <w:tcW w:w="1334" w:type="dxa"/>
            <w:vAlign w:val="center"/>
          </w:tcPr>
          <w:p w:rsidR="00A84223" w:rsidRDefault="001E4DAE">
            <w:pPr>
              <w:jc w:val="right"/>
            </w:pPr>
            <w:r>
              <w:rPr>
                <w:color w:val="000000"/>
                <w:sz w:val="24"/>
                <w:szCs w:val="24"/>
              </w:rPr>
              <w:t>18,257,199</w:t>
            </w:r>
          </w:p>
        </w:tc>
        <w:tc>
          <w:tcPr>
            <w:tcW w:w="1924" w:type="dxa"/>
            <w:vAlign w:val="center"/>
          </w:tcPr>
          <w:p w:rsidR="00A84223" w:rsidRDefault="001E4DAE">
            <w:pPr>
              <w:jc w:val="right"/>
            </w:pPr>
            <w:r>
              <w:rPr>
                <w:color w:val="000000"/>
                <w:sz w:val="24"/>
                <w:szCs w:val="24"/>
              </w:rPr>
              <w:t>248,845,622.37</w:t>
            </w:r>
          </w:p>
        </w:tc>
        <w:tc>
          <w:tcPr>
            <w:tcW w:w="1644" w:type="dxa"/>
            <w:vAlign w:val="center"/>
          </w:tcPr>
          <w:p w:rsidR="00A84223" w:rsidRDefault="001E4DAE">
            <w:pPr>
              <w:jc w:val="right"/>
            </w:pPr>
            <w:r>
              <w:rPr>
                <w:color w:val="000000"/>
                <w:sz w:val="24"/>
                <w:szCs w:val="24"/>
              </w:rPr>
              <w:t>8.67</w:t>
            </w:r>
          </w:p>
        </w:tc>
      </w:tr>
      <w:tr w:rsidR="00A84223">
        <w:trPr>
          <w:jc w:val="center"/>
        </w:trPr>
        <w:tc>
          <w:tcPr>
            <w:tcW w:w="855" w:type="dxa"/>
            <w:vAlign w:val="center"/>
          </w:tcPr>
          <w:p w:rsidR="00A84223" w:rsidRDefault="001E4DAE">
            <w:pPr>
              <w:jc w:val="center"/>
            </w:pPr>
            <w:r>
              <w:rPr>
                <w:color w:val="000000"/>
                <w:sz w:val="24"/>
                <w:szCs w:val="24"/>
              </w:rPr>
              <w:t>2</w:t>
            </w:r>
          </w:p>
        </w:tc>
        <w:tc>
          <w:tcPr>
            <w:tcW w:w="1334" w:type="dxa"/>
            <w:vAlign w:val="center"/>
          </w:tcPr>
          <w:p w:rsidR="00A84223" w:rsidRDefault="001E4DAE">
            <w:pPr>
              <w:jc w:val="center"/>
            </w:pPr>
            <w:r>
              <w:rPr>
                <w:color w:val="000000"/>
                <w:sz w:val="24"/>
                <w:szCs w:val="24"/>
              </w:rPr>
              <w:t>300129</w:t>
            </w:r>
          </w:p>
        </w:tc>
        <w:tc>
          <w:tcPr>
            <w:tcW w:w="1777" w:type="dxa"/>
            <w:vAlign w:val="center"/>
          </w:tcPr>
          <w:p w:rsidR="00A84223" w:rsidRDefault="001E4DAE">
            <w:pPr>
              <w:jc w:val="center"/>
            </w:pPr>
            <w:r>
              <w:rPr>
                <w:color w:val="000000"/>
                <w:sz w:val="24"/>
                <w:szCs w:val="24"/>
              </w:rPr>
              <w:t>泰胜风能</w:t>
            </w:r>
          </w:p>
        </w:tc>
        <w:tc>
          <w:tcPr>
            <w:tcW w:w="1334" w:type="dxa"/>
            <w:vAlign w:val="center"/>
          </w:tcPr>
          <w:p w:rsidR="00A84223" w:rsidRDefault="001E4DAE">
            <w:pPr>
              <w:jc w:val="right"/>
            </w:pPr>
            <w:r>
              <w:rPr>
                <w:color w:val="000000"/>
                <w:sz w:val="24"/>
                <w:szCs w:val="24"/>
              </w:rPr>
              <w:t>30,359,911</w:t>
            </w:r>
          </w:p>
        </w:tc>
        <w:tc>
          <w:tcPr>
            <w:tcW w:w="1924" w:type="dxa"/>
            <w:vAlign w:val="center"/>
          </w:tcPr>
          <w:p w:rsidR="00A84223" w:rsidRDefault="001E4DAE">
            <w:pPr>
              <w:jc w:val="right"/>
            </w:pPr>
            <w:r>
              <w:rPr>
                <w:color w:val="000000"/>
                <w:sz w:val="24"/>
                <w:szCs w:val="24"/>
              </w:rPr>
              <w:t>215,251,768.99</w:t>
            </w:r>
          </w:p>
        </w:tc>
        <w:tc>
          <w:tcPr>
            <w:tcW w:w="1644" w:type="dxa"/>
            <w:vAlign w:val="center"/>
          </w:tcPr>
          <w:p w:rsidR="00A84223" w:rsidRDefault="001E4DAE">
            <w:pPr>
              <w:jc w:val="right"/>
            </w:pPr>
            <w:r>
              <w:rPr>
                <w:color w:val="000000"/>
                <w:sz w:val="24"/>
                <w:szCs w:val="24"/>
              </w:rPr>
              <w:t>7.50</w:t>
            </w:r>
          </w:p>
        </w:tc>
      </w:tr>
      <w:tr w:rsidR="00A84223">
        <w:trPr>
          <w:jc w:val="center"/>
        </w:trPr>
        <w:tc>
          <w:tcPr>
            <w:tcW w:w="855" w:type="dxa"/>
            <w:vAlign w:val="center"/>
          </w:tcPr>
          <w:p w:rsidR="00A84223" w:rsidRDefault="001E4DAE">
            <w:pPr>
              <w:jc w:val="center"/>
            </w:pPr>
            <w:r>
              <w:rPr>
                <w:color w:val="000000"/>
                <w:sz w:val="24"/>
                <w:szCs w:val="24"/>
              </w:rPr>
              <w:t>3</w:t>
            </w:r>
          </w:p>
        </w:tc>
        <w:tc>
          <w:tcPr>
            <w:tcW w:w="1334" w:type="dxa"/>
            <w:vAlign w:val="center"/>
          </w:tcPr>
          <w:p w:rsidR="00A84223" w:rsidRDefault="001E4DAE">
            <w:pPr>
              <w:jc w:val="center"/>
            </w:pPr>
            <w:r>
              <w:rPr>
                <w:color w:val="000000"/>
                <w:sz w:val="24"/>
                <w:szCs w:val="24"/>
              </w:rPr>
              <w:t>300308</w:t>
            </w:r>
          </w:p>
        </w:tc>
        <w:tc>
          <w:tcPr>
            <w:tcW w:w="1777" w:type="dxa"/>
            <w:vAlign w:val="center"/>
          </w:tcPr>
          <w:p w:rsidR="00A84223" w:rsidRDefault="001E4DAE">
            <w:pPr>
              <w:jc w:val="center"/>
            </w:pPr>
            <w:r>
              <w:rPr>
                <w:color w:val="000000"/>
                <w:sz w:val="24"/>
                <w:szCs w:val="24"/>
              </w:rPr>
              <w:t>中际装备</w:t>
            </w:r>
          </w:p>
        </w:tc>
        <w:tc>
          <w:tcPr>
            <w:tcW w:w="1334" w:type="dxa"/>
            <w:vAlign w:val="center"/>
          </w:tcPr>
          <w:p w:rsidR="00A84223" w:rsidRDefault="001E4DAE">
            <w:pPr>
              <w:jc w:val="right"/>
            </w:pPr>
            <w:r>
              <w:rPr>
                <w:color w:val="000000"/>
                <w:sz w:val="24"/>
                <w:szCs w:val="24"/>
              </w:rPr>
              <w:t>4,154,913</w:t>
            </w:r>
          </w:p>
        </w:tc>
        <w:tc>
          <w:tcPr>
            <w:tcW w:w="1924" w:type="dxa"/>
            <w:vAlign w:val="center"/>
          </w:tcPr>
          <w:p w:rsidR="00A84223" w:rsidRDefault="001E4DAE">
            <w:pPr>
              <w:jc w:val="right"/>
            </w:pPr>
            <w:r>
              <w:rPr>
                <w:color w:val="000000"/>
                <w:sz w:val="24"/>
                <w:szCs w:val="24"/>
              </w:rPr>
              <w:t>170,891,571.69</w:t>
            </w:r>
          </w:p>
        </w:tc>
        <w:tc>
          <w:tcPr>
            <w:tcW w:w="1644" w:type="dxa"/>
            <w:vAlign w:val="center"/>
          </w:tcPr>
          <w:p w:rsidR="00A84223" w:rsidRDefault="001E4DAE">
            <w:pPr>
              <w:jc w:val="right"/>
            </w:pPr>
            <w:r>
              <w:rPr>
                <w:color w:val="000000"/>
                <w:sz w:val="24"/>
                <w:szCs w:val="24"/>
              </w:rPr>
              <w:t>5.95</w:t>
            </w:r>
          </w:p>
        </w:tc>
      </w:tr>
      <w:tr w:rsidR="00A84223">
        <w:trPr>
          <w:jc w:val="center"/>
        </w:trPr>
        <w:tc>
          <w:tcPr>
            <w:tcW w:w="855" w:type="dxa"/>
            <w:vAlign w:val="center"/>
          </w:tcPr>
          <w:p w:rsidR="00A84223" w:rsidRDefault="001E4DAE">
            <w:pPr>
              <w:jc w:val="center"/>
            </w:pPr>
            <w:r>
              <w:rPr>
                <w:color w:val="000000"/>
                <w:sz w:val="24"/>
                <w:szCs w:val="24"/>
              </w:rPr>
              <w:t>4</w:t>
            </w:r>
          </w:p>
        </w:tc>
        <w:tc>
          <w:tcPr>
            <w:tcW w:w="1334" w:type="dxa"/>
            <w:vAlign w:val="center"/>
          </w:tcPr>
          <w:p w:rsidR="00A84223" w:rsidRDefault="001E4DAE">
            <w:pPr>
              <w:jc w:val="center"/>
            </w:pPr>
            <w:r>
              <w:rPr>
                <w:color w:val="000000"/>
                <w:sz w:val="24"/>
                <w:szCs w:val="24"/>
              </w:rPr>
              <w:t>002045</w:t>
            </w:r>
          </w:p>
        </w:tc>
        <w:tc>
          <w:tcPr>
            <w:tcW w:w="1777" w:type="dxa"/>
            <w:vAlign w:val="center"/>
          </w:tcPr>
          <w:p w:rsidR="00A84223" w:rsidRDefault="001E4DAE">
            <w:pPr>
              <w:jc w:val="center"/>
            </w:pPr>
            <w:r>
              <w:rPr>
                <w:color w:val="000000"/>
                <w:sz w:val="24"/>
                <w:szCs w:val="24"/>
              </w:rPr>
              <w:t>国光电器</w:t>
            </w:r>
          </w:p>
        </w:tc>
        <w:tc>
          <w:tcPr>
            <w:tcW w:w="1334" w:type="dxa"/>
            <w:vAlign w:val="center"/>
          </w:tcPr>
          <w:p w:rsidR="00A84223" w:rsidRDefault="001E4DAE">
            <w:pPr>
              <w:jc w:val="right"/>
            </w:pPr>
            <w:r>
              <w:rPr>
                <w:color w:val="000000"/>
                <w:sz w:val="24"/>
                <w:szCs w:val="24"/>
              </w:rPr>
              <w:t>10,011,087</w:t>
            </w:r>
          </w:p>
        </w:tc>
        <w:tc>
          <w:tcPr>
            <w:tcW w:w="1924" w:type="dxa"/>
            <w:vAlign w:val="center"/>
          </w:tcPr>
          <w:p w:rsidR="00A84223" w:rsidRDefault="001E4DAE">
            <w:pPr>
              <w:jc w:val="right"/>
            </w:pPr>
            <w:r>
              <w:rPr>
                <w:color w:val="000000"/>
                <w:sz w:val="24"/>
                <w:szCs w:val="24"/>
              </w:rPr>
              <w:t>159,076,172.43</w:t>
            </w:r>
          </w:p>
        </w:tc>
        <w:tc>
          <w:tcPr>
            <w:tcW w:w="1644" w:type="dxa"/>
            <w:vAlign w:val="center"/>
          </w:tcPr>
          <w:p w:rsidR="00A84223" w:rsidRDefault="001E4DAE">
            <w:pPr>
              <w:jc w:val="right"/>
            </w:pPr>
            <w:r>
              <w:rPr>
                <w:color w:val="000000"/>
                <w:sz w:val="24"/>
                <w:szCs w:val="24"/>
              </w:rPr>
              <w:t>5.54</w:t>
            </w:r>
          </w:p>
        </w:tc>
      </w:tr>
      <w:tr w:rsidR="00A84223">
        <w:trPr>
          <w:jc w:val="center"/>
        </w:trPr>
        <w:tc>
          <w:tcPr>
            <w:tcW w:w="855" w:type="dxa"/>
            <w:vAlign w:val="center"/>
          </w:tcPr>
          <w:p w:rsidR="00A84223" w:rsidRDefault="001E4DAE">
            <w:pPr>
              <w:jc w:val="center"/>
            </w:pPr>
            <w:r>
              <w:rPr>
                <w:color w:val="000000"/>
                <w:sz w:val="24"/>
                <w:szCs w:val="24"/>
              </w:rPr>
              <w:t>5</w:t>
            </w:r>
          </w:p>
        </w:tc>
        <w:tc>
          <w:tcPr>
            <w:tcW w:w="1334" w:type="dxa"/>
            <w:vAlign w:val="center"/>
          </w:tcPr>
          <w:p w:rsidR="00A84223" w:rsidRDefault="001E4DAE">
            <w:pPr>
              <w:jc w:val="center"/>
            </w:pPr>
            <w:r>
              <w:rPr>
                <w:color w:val="000000"/>
                <w:sz w:val="24"/>
                <w:szCs w:val="24"/>
              </w:rPr>
              <w:t>300161</w:t>
            </w:r>
          </w:p>
        </w:tc>
        <w:tc>
          <w:tcPr>
            <w:tcW w:w="1777" w:type="dxa"/>
            <w:vAlign w:val="center"/>
          </w:tcPr>
          <w:p w:rsidR="00A84223" w:rsidRDefault="001E4DAE">
            <w:pPr>
              <w:jc w:val="center"/>
            </w:pPr>
            <w:r>
              <w:rPr>
                <w:color w:val="000000"/>
                <w:sz w:val="24"/>
                <w:szCs w:val="24"/>
              </w:rPr>
              <w:t>华中数控</w:t>
            </w:r>
          </w:p>
        </w:tc>
        <w:tc>
          <w:tcPr>
            <w:tcW w:w="1334" w:type="dxa"/>
            <w:vAlign w:val="center"/>
          </w:tcPr>
          <w:p w:rsidR="00A84223" w:rsidRDefault="001E4DAE">
            <w:pPr>
              <w:jc w:val="right"/>
            </w:pPr>
            <w:r>
              <w:rPr>
                <w:color w:val="000000"/>
                <w:sz w:val="24"/>
                <w:szCs w:val="24"/>
              </w:rPr>
              <w:t>7,614,771</w:t>
            </w:r>
          </w:p>
        </w:tc>
        <w:tc>
          <w:tcPr>
            <w:tcW w:w="1924" w:type="dxa"/>
            <w:vAlign w:val="center"/>
          </w:tcPr>
          <w:p w:rsidR="00A84223" w:rsidRDefault="001E4DAE">
            <w:pPr>
              <w:jc w:val="right"/>
            </w:pPr>
            <w:r>
              <w:rPr>
                <w:color w:val="000000"/>
                <w:sz w:val="24"/>
                <w:szCs w:val="24"/>
              </w:rPr>
              <w:t>145,289,830.68</w:t>
            </w:r>
          </w:p>
        </w:tc>
        <w:tc>
          <w:tcPr>
            <w:tcW w:w="1644" w:type="dxa"/>
            <w:vAlign w:val="center"/>
          </w:tcPr>
          <w:p w:rsidR="00A84223" w:rsidRDefault="001E4DAE">
            <w:pPr>
              <w:jc w:val="right"/>
            </w:pPr>
            <w:r>
              <w:rPr>
                <w:color w:val="000000"/>
                <w:sz w:val="24"/>
                <w:szCs w:val="24"/>
              </w:rPr>
              <w:t>5.06</w:t>
            </w:r>
          </w:p>
        </w:tc>
      </w:tr>
      <w:tr w:rsidR="00A84223">
        <w:trPr>
          <w:jc w:val="center"/>
        </w:trPr>
        <w:tc>
          <w:tcPr>
            <w:tcW w:w="855" w:type="dxa"/>
            <w:vAlign w:val="center"/>
          </w:tcPr>
          <w:p w:rsidR="00A84223" w:rsidRDefault="001E4DAE">
            <w:pPr>
              <w:jc w:val="center"/>
            </w:pPr>
            <w:r>
              <w:rPr>
                <w:color w:val="000000"/>
                <w:sz w:val="24"/>
                <w:szCs w:val="24"/>
              </w:rPr>
              <w:t>6</w:t>
            </w:r>
          </w:p>
        </w:tc>
        <w:tc>
          <w:tcPr>
            <w:tcW w:w="1334" w:type="dxa"/>
            <w:vAlign w:val="center"/>
          </w:tcPr>
          <w:p w:rsidR="00A84223" w:rsidRDefault="001E4DAE">
            <w:pPr>
              <w:jc w:val="center"/>
            </w:pPr>
            <w:r>
              <w:rPr>
                <w:color w:val="000000"/>
                <w:sz w:val="24"/>
                <w:szCs w:val="24"/>
              </w:rPr>
              <w:t>600500</w:t>
            </w:r>
          </w:p>
        </w:tc>
        <w:tc>
          <w:tcPr>
            <w:tcW w:w="1777" w:type="dxa"/>
            <w:vAlign w:val="center"/>
          </w:tcPr>
          <w:p w:rsidR="00A84223" w:rsidRDefault="001E4DAE">
            <w:pPr>
              <w:jc w:val="center"/>
            </w:pPr>
            <w:r>
              <w:rPr>
                <w:color w:val="000000"/>
                <w:sz w:val="24"/>
                <w:szCs w:val="24"/>
              </w:rPr>
              <w:t>中化国际</w:t>
            </w:r>
          </w:p>
        </w:tc>
        <w:tc>
          <w:tcPr>
            <w:tcW w:w="1334" w:type="dxa"/>
            <w:vAlign w:val="center"/>
          </w:tcPr>
          <w:p w:rsidR="00A84223" w:rsidRDefault="001E4DAE">
            <w:pPr>
              <w:jc w:val="right"/>
            </w:pPr>
            <w:r>
              <w:rPr>
                <w:color w:val="000000"/>
                <w:sz w:val="24"/>
                <w:szCs w:val="24"/>
              </w:rPr>
              <w:t>15,005,722</w:t>
            </w:r>
          </w:p>
        </w:tc>
        <w:tc>
          <w:tcPr>
            <w:tcW w:w="1924" w:type="dxa"/>
            <w:vAlign w:val="center"/>
          </w:tcPr>
          <w:p w:rsidR="00A84223" w:rsidRDefault="001E4DAE">
            <w:pPr>
              <w:jc w:val="right"/>
            </w:pPr>
            <w:r>
              <w:rPr>
                <w:color w:val="000000"/>
                <w:sz w:val="24"/>
                <w:szCs w:val="24"/>
              </w:rPr>
              <w:t>143,454,702.32</w:t>
            </w:r>
          </w:p>
        </w:tc>
        <w:tc>
          <w:tcPr>
            <w:tcW w:w="1644" w:type="dxa"/>
            <w:vAlign w:val="center"/>
          </w:tcPr>
          <w:p w:rsidR="00A84223" w:rsidRDefault="001E4DAE">
            <w:pPr>
              <w:jc w:val="right"/>
            </w:pPr>
            <w:r>
              <w:rPr>
                <w:color w:val="000000"/>
                <w:sz w:val="24"/>
                <w:szCs w:val="24"/>
              </w:rPr>
              <w:t>5.00</w:t>
            </w:r>
          </w:p>
        </w:tc>
      </w:tr>
      <w:tr w:rsidR="00A84223">
        <w:trPr>
          <w:jc w:val="center"/>
        </w:trPr>
        <w:tc>
          <w:tcPr>
            <w:tcW w:w="855" w:type="dxa"/>
            <w:vAlign w:val="center"/>
          </w:tcPr>
          <w:p w:rsidR="00A84223" w:rsidRDefault="001E4DAE">
            <w:pPr>
              <w:jc w:val="center"/>
            </w:pPr>
            <w:r>
              <w:rPr>
                <w:color w:val="000000"/>
                <w:sz w:val="24"/>
                <w:szCs w:val="24"/>
              </w:rPr>
              <w:t>7</w:t>
            </w:r>
          </w:p>
        </w:tc>
        <w:tc>
          <w:tcPr>
            <w:tcW w:w="1334" w:type="dxa"/>
            <w:vAlign w:val="center"/>
          </w:tcPr>
          <w:p w:rsidR="00A84223" w:rsidRDefault="001E4DAE">
            <w:pPr>
              <w:jc w:val="center"/>
            </w:pPr>
            <w:r>
              <w:rPr>
                <w:color w:val="000000"/>
                <w:sz w:val="24"/>
                <w:szCs w:val="24"/>
              </w:rPr>
              <w:t>002202</w:t>
            </w:r>
          </w:p>
        </w:tc>
        <w:tc>
          <w:tcPr>
            <w:tcW w:w="1777" w:type="dxa"/>
            <w:vAlign w:val="center"/>
          </w:tcPr>
          <w:p w:rsidR="00A84223" w:rsidRDefault="001E4DAE">
            <w:pPr>
              <w:jc w:val="center"/>
            </w:pPr>
            <w:r>
              <w:rPr>
                <w:color w:val="000000"/>
                <w:sz w:val="24"/>
                <w:szCs w:val="24"/>
              </w:rPr>
              <w:t>金风科技</w:t>
            </w:r>
          </w:p>
        </w:tc>
        <w:tc>
          <w:tcPr>
            <w:tcW w:w="1334" w:type="dxa"/>
            <w:vAlign w:val="center"/>
          </w:tcPr>
          <w:p w:rsidR="00A84223" w:rsidRDefault="001E4DAE">
            <w:pPr>
              <w:jc w:val="right"/>
            </w:pPr>
            <w:r>
              <w:rPr>
                <w:color w:val="000000"/>
                <w:sz w:val="24"/>
                <w:szCs w:val="24"/>
              </w:rPr>
              <w:t>7,942,016</w:t>
            </w:r>
          </w:p>
        </w:tc>
        <w:tc>
          <w:tcPr>
            <w:tcW w:w="1924" w:type="dxa"/>
            <w:vAlign w:val="center"/>
          </w:tcPr>
          <w:p w:rsidR="00A84223" w:rsidRDefault="001E4DAE">
            <w:pPr>
              <w:jc w:val="right"/>
            </w:pPr>
            <w:r>
              <w:rPr>
                <w:color w:val="000000"/>
                <w:sz w:val="24"/>
                <w:szCs w:val="24"/>
              </w:rPr>
              <w:t>122,862,987.52</w:t>
            </w:r>
          </w:p>
        </w:tc>
        <w:tc>
          <w:tcPr>
            <w:tcW w:w="1644" w:type="dxa"/>
            <w:vAlign w:val="center"/>
          </w:tcPr>
          <w:p w:rsidR="00A84223" w:rsidRDefault="001E4DAE">
            <w:pPr>
              <w:jc w:val="right"/>
            </w:pPr>
            <w:r>
              <w:rPr>
                <w:color w:val="000000"/>
                <w:sz w:val="24"/>
                <w:szCs w:val="24"/>
              </w:rPr>
              <w:t>4.28</w:t>
            </w:r>
          </w:p>
        </w:tc>
      </w:tr>
      <w:tr w:rsidR="00A84223">
        <w:trPr>
          <w:jc w:val="center"/>
        </w:trPr>
        <w:tc>
          <w:tcPr>
            <w:tcW w:w="855" w:type="dxa"/>
            <w:vAlign w:val="center"/>
          </w:tcPr>
          <w:p w:rsidR="00A84223" w:rsidRDefault="001E4DAE">
            <w:pPr>
              <w:jc w:val="center"/>
            </w:pPr>
            <w:r>
              <w:rPr>
                <w:color w:val="000000"/>
                <w:sz w:val="24"/>
                <w:szCs w:val="24"/>
              </w:rPr>
              <w:t>8</w:t>
            </w:r>
          </w:p>
        </w:tc>
        <w:tc>
          <w:tcPr>
            <w:tcW w:w="1334" w:type="dxa"/>
            <w:vAlign w:val="center"/>
          </w:tcPr>
          <w:p w:rsidR="00A84223" w:rsidRDefault="001E4DAE">
            <w:pPr>
              <w:jc w:val="center"/>
            </w:pPr>
            <w:r>
              <w:rPr>
                <w:color w:val="000000"/>
                <w:sz w:val="24"/>
                <w:szCs w:val="24"/>
              </w:rPr>
              <w:t>600030</w:t>
            </w:r>
          </w:p>
        </w:tc>
        <w:tc>
          <w:tcPr>
            <w:tcW w:w="1777" w:type="dxa"/>
            <w:vAlign w:val="center"/>
          </w:tcPr>
          <w:p w:rsidR="00A84223" w:rsidRDefault="001E4DAE">
            <w:pPr>
              <w:jc w:val="center"/>
            </w:pPr>
            <w:r>
              <w:rPr>
                <w:color w:val="000000"/>
                <w:sz w:val="24"/>
                <w:szCs w:val="24"/>
              </w:rPr>
              <w:t>中信证券</w:t>
            </w:r>
          </w:p>
        </w:tc>
        <w:tc>
          <w:tcPr>
            <w:tcW w:w="1334" w:type="dxa"/>
            <w:vAlign w:val="center"/>
          </w:tcPr>
          <w:p w:rsidR="00A84223" w:rsidRDefault="001E4DAE">
            <w:pPr>
              <w:jc w:val="right"/>
            </w:pPr>
            <w:r>
              <w:rPr>
                <w:color w:val="000000"/>
                <w:sz w:val="24"/>
                <w:szCs w:val="24"/>
              </w:rPr>
              <w:t>3,687,214</w:t>
            </w:r>
          </w:p>
        </w:tc>
        <w:tc>
          <w:tcPr>
            <w:tcW w:w="1924" w:type="dxa"/>
            <w:vAlign w:val="center"/>
          </w:tcPr>
          <w:p w:rsidR="00A84223" w:rsidRDefault="001E4DAE">
            <w:pPr>
              <w:jc w:val="right"/>
            </w:pPr>
            <w:r>
              <w:rPr>
                <w:color w:val="000000"/>
                <w:sz w:val="24"/>
                <w:szCs w:val="24"/>
              </w:rPr>
              <w:t>62,756,382.28</w:t>
            </w:r>
          </w:p>
        </w:tc>
        <w:tc>
          <w:tcPr>
            <w:tcW w:w="1644" w:type="dxa"/>
            <w:vAlign w:val="center"/>
          </w:tcPr>
          <w:p w:rsidR="00A84223" w:rsidRDefault="001E4DAE">
            <w:pPr>
              <w:jc w:val="right"/>
            </w:pPr>
            <w:r>
              <w:rPr>
                <w:color w:val="000000"/>
                <w:sz w:val="24"/>
                <w:szCs w:val="24"/>
              </w:rPr>
              <w:t>2.19</w:t>
            </w:r>
          </w:p>
        </w:tc>
      </w:tr>
      <w:tr w:rsidR="00A84223">
        <w:trPr>
          <w:jc w:val="center"/>
        </w:trPr>
        <w:tc>
          <w:tcPr>
            <w:tcW w:w="855" w:type="dxa"/>
            <w:vAlign w:val="center"/>
          </w:tcPr>
          <w:p w:rsidR="00A84223" w:rsidRDefault="001E4DAE">
            <w:pPr>
              <w:jc w:val="center"/>
            </w:pPr>
            <w:r>
              <w:rPr>
                <w:color w:val="000000"/>
                <w:sz w:val="24"/>
                <w:szCs w:val="24"/>
              </w:rPr>
              <w:t>9</w:t>
            </w:r>
          </w:p>
        </w:tc>
        <w:tc>
          <w:tcPr>
            <w:tcW w:w="1334" w:type="dxa"/>
            <w:vAlign w:val="center"/>
          </w:tcPr>
          <w:p w:rsidR="00A84223" w:rsidRDefault="001E4DAE">
            <w:pPr>
              <w:jc w:val="center"/>
            </w:pPr>
            <w:r>
              <w:rPr>
                <w:color w:val="000000"/>
                <w:sz w:val="24"/>
                <w:szCs w:val="24"/>
              </w:rPr>
              <w:t>600499</w:t>
            </w:r>
          </w:p>
        </w:tc>
        <w:tc>
          <w:tcPr>
            <w:tcW w:w="1777" w:type="dxa"/>
            <w:vAlign w:val="center"/>
          </w:tcPr>
          <w:p w:rsidR="00A84223" w:rsidRDefault="001E4DAE">
            <w:pPr>
              <w:jc w:val="center"/>
            </w:pPr>
            <w:r>
              <w:rPr>
                <w:color w:val="000000"/>
                <w:sz w:val="24"/>
                <w:szCs w:val="24"/>
              </w:rPr>
              <w:t>科达洁能</w:t>
            </w:r>
          </w:p>
        </w:tc>
        <w:tc>
          <w:tcPr>
            <w:tcW w:w="1334" w:type="dxa"/>
            <w:vAlign w:val="center"/>
          </w:tcPr>
          <w:p w:rsidR="00A84223" w:rsidRDefault="001E4DAE">
            <w:pPr>
              <w:jc w:val="right"/>
            </w:pPr>
            <w:r>
              <w:rPr>
                <w:color w:val="000000"/>
                <w:sz w:val="24"/>
                <w:szCs w:val="24"/>
              </w:rPr>
              <w:t>7,881,874</w:t>
            </w:r>
          </w:p>
        </w:tc>
        <w:tc>
          <w:tcPr>
            <w:tcW w:w="1924" w:type="dxa"/>
            <w:vAlign w:val="center"/>
          </w:tcPr>
          <w:p w:rsidR="00A84223" w:rsidRDefault="001E4DAE">
            <w:pPr>
              <w:jc w:val="right"/>
            </w:pPr>
            <w:r>
              <w:rPr>
                <w:color w:val="000000"/>
                <w:sz w:val="24"/>
                <w:szCs w:val="24"/>
              </w:rPr>
              <w:t>62,582,079.56</w:t>
            </w:r>
          </w:p>
        </w:tc>
        <w:tc>
          <w:tcPr>
            <w:tcW w:w="1644" w:type="dxa"/>
            <w:vAlign w:val="center"/>
          </w:tcPr>
          <w:p w:rsidR="00A84223" w:rsidRDefault="001E4DAE">
            <w:pPr>
              <w:jc w:val="right"/>
            </w:pPr>
            <w:r>
              <w:rPr>
                <w:color w:val="000000"/>
                <w:sz w:val="24"/>
                <w:szCs w:val="24"/>
              </w:rPr>
              <w:t>2.18</w:t>
            </w:r>
          </w:p>
        </w:tc>
      </w:tr>
      <w:tr w:rsidR="00A84223">
        <w:trPr>
          <w:jc w:val="center"/>
        </w:trPr>
        <w:tc>
          <w:tcPr>
            <w:tcW w:w="855" w:type="dxa"/>
            <w:vAlign w:val="center"/>
          </w:tcPr>
          <w:p w:rsidR="00A84223" w:rsidRDefault="001E4DAE">
            <w:pPr>
              <w:jc w:val="center"/>
            </w:pPr>
            <w:r>
              <w:rPr>
                <w:color w:val="000000"/>
                <w:sz w:val="24"/>
                <w:szCs w:val="24"/>
              </w:rPr>
              <w:t>10</w:t>
            </w:r>
          </w:p>
        </w:tc>
        <w:tc>
          <w:tcPr>
            <w:tcW w:w="1334" w:type="dxa"/>
            <w:vAlign w:val="center"/>
          </w:tcPr>
          <w:p w:rsidR="00A84223" w:rsidRDefault="001E4DAE">
            <w:pPr>
              <w:jc w:val="center"/>
            </w:pPr>
            <w:r>
              <w:rPr>
                <w:color w:val="000000"/>
                <w:sz w:val="24"/>
                <w:szCs w:val="24"/>
              </w:rPr>
              <w:t>601688</w:t>
            </w:r>
          </w:p>
        </w:tc>
        <w:tc>
          <w:tcPr>
            <w:tcW w:w="1777" w:type="dxa"/>
            <w:vAlign w:val="center"/>
          </w:tcPr>
          <w:p w:rsidR="00A84223" w:rsidRDefault="001E4DAE">
            <w:pPr>
              <w:jc w:val="center"/>
            </w:pPr>
            <w:r>
              <w:rPr>
                <w:color w:val="000000"/>
                <w:sz w:val="24"/>
                <w:szCs w:val="24"/>
              </w:rPr>
              <w:t>华泰证券</w:t>
            </w:r>
          </w:p>
        </w:tc>
        <w:tc>
          <w:tcPr>
            <w:tcW w:w="1334" w:type="dxa"/>
            <w:vAlign w:val="center"/>
          </w:tcPr>
          <w:p w:rsidR="00A84223" w:rsidRDefault="001E4DAE">
            <w:pPr>
              <w:jc w:val="right"/>
            </w:pPr>
            <w:r>
              <w:rPr>
                <w:color w:val="000000"/>
                <w:sz w:val="24"/>
                <w:szCs w:val="24"/>
              </w:rPr>
              <w:t>3,489,700</w:t>
            </w:r>
          </w:p>
        </w:tc>
        <w:tc>
          <w:tcPr>
            <w:tcW w:w="1924" w:type="dxa"/>
            <w:vAlign w:val="center"/>
          </w:tcPr>
          <w:p w:rsidR="00A84223" w:rsidRDefault="001E4DAE">
            <w:pPr>
              <w:jc w:val="right"/>
            </w:pPr>
            <w:r>
              <w:rPr>
                <w:color w:val="000000"/>
                <w:sz w:val="24"/>
                <w:szCs w:val="24"/>
              </w:rPr>
              <w:t>62,465,630.00</w:t>
            </w:r>
          </w:p>
        </w:tc>
        <w:tc>
          <w:tcPr>
            <w:tcW w:w="1644" w:type="dxa"/>
            <w:vAlign w:val="center"/>
          </w:tcPr>
          <w:p w:rsidR="00A84223" w:rsidRDefault="001E4DAE">
            <w:pPr>
              <w:jc w:val="right"/>
            </w:pPr>
            <w:r>
              <w:rPr>
                <w:color w:val="000000"/>
                <w:sz w:val="24"/>
                <w:szCs w:val="24"/>
              </w:rPr>
              <w:t>2.18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50,005,000.00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50,005,000.00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50,005,000.00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A84223">
        <w:trPr>
          <w:jc w:val="center"/>
        </w:trPr>
        <w:tc>
          <w:tcPr>
            <w:tcW w:w="850" w:type="dxa"/>
            <w:vAlign w:val="center"/>
          </w:tcPr>
          <w:p w:rsidR="00A84223" w:rsidRDefault="001E4DAE">
            <w:pPr>
              <w:jc w:val="center"/>
            </w:pPr>
            <w:r>
              <w:rPr>
                <w:color w:val="000000"/>
                <w:sz w:val="24"/>
                <w:szCs w:val="24"/>
              </w:rPr>
              <w:t>1</w:t>
            </w:r>
          </w:p>
        </w:tc>
        <w:tc>
          <w:tcPr>
            <w:tcW w:w="1475" w:type="dxa"/>
            <w:vAlign w:val="center"/>
          </w:tcPr>
          <w:p w:rsidR="00A84223" w:rsidRDefault="001E4DAE">
            <w:pPr>
              <w:jc w:val="center"/>
            </w:pPr>
            <w:r>
              <w:rPr>
                <w:color w:val="000000"/>
                <w:sz w:val="24"/>
                <w:szCs w:val="24"/>
              </w:rPr>
              <w:t>120309</w:t>
            </w:r>
          </w:p>
        </w:tc>
        <w:tc>
          <w:tcPr>
            <w:tcW w:w="1769" w:type="dxa"/>
            <w:vAlign w:val="center"/>
          </w:tcPr>
          <w:p w:rsidR="00A84223" w:rsidRDefault="001E4DAE">
            <w:pPr>
              <w:jc w:val="center"/>
            </w:pPr>
            <w:r>
              <w:rPr>
                <w:color w:val="000000"/>
                <w:sz w:val="24"/>
                <w:szCs w:val="24"/>
              </w:rPr>
              <w:t>12</w:t>
            </w:r>
            <w:r>
              <w:rPr>
                <w:color w:val="000000"/>
                <w:sz w:val="24"/>
                <w:szCs w:val="24"/>
              </w:rPr>
              <w:t>进出</w:t>
            </w:r>
            <w:r>
              <w:rPr>
                <w:color w:val="000000"/>
                <w:sz w:val="24"/>
                <w:szCs w:val="24"/>
              </w:rPr>
              <w:t>09</w:t>
            </w:r>
          </w:p>
        </w:tc>
        <w:tc>
          <w:tcPr>
            <w:tcW w:w="1387" w:type="dxa"/>
            <w:vAlign w:val="center"/>
          </w:tcPr>
          <w:p w:rsidR="00A84223" w:rsidRDefault="001E4DAE">
            <w:pPr>
              <w:jc w:val="right"/>
            </w:pPr>
            <w:r>
              <w:rPr>
                <w:color w:val="000000"/>
                <w:sz w:val="24"/>
                <w:szCs w:val="24"/>
              </w:rPr>
              <w:t>500,000</w:t>
            </w:r>
          </w:p>
        </w:tc>
        <w:tc>
          <w:tcPr>
            <w:tcW w:w="2150" w:type="dxa"/>
            <w:vAlign w:val="center"/>
          </w:tcPr>
          <w:p w:rsidR="00A84223" w:rsidRDefault="001E4DAE">
            <w:pPr>
              <w:jc w:val="right"/>
            </w:pPr>
            <w:r>
              <w:rPr>
                <w:color w:val="000000"/>
                <w:sz w:val="24"/>
                <w:szCs w:val="24"/>
              </w:rPr>
              <w:t>50,005,000.00</w:t>
            </w:r>
          </w:p>
        </w:tc>
        <w:tc>
          <w:tcPr>
            <w:tcW w:w="1237" w:type="dxa"/>
            <w:vAlign w:val="center"/>
          </w:tcPr>
          <w:p w:rsidR="00A84223" w:rsidRDefault="001E4DAE">
            <w:pPr>
              <w:jc w:val="right"/>
            </w:pPr>
            <w:r>
              <w:rPr>
                <w:color w:val="000000"/>
                <w:sz w:val="24"/>
                <w:szCs w:val="24"/>
              </w:rPr>
              <w:t>1.74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报告期内本基金投资的前十名证券的发行主体除中信证券（证券代码：</w:t>
      </w:r>
      <w:r w:rsidRPr="00BE5388">
        <w:rPr>
          <w:bCs/>
          <w:color w:val="000000"/>
          <w:kern w:val="0"/>
          <w:sz w:val="24"/>
          <w:szCs w:val="24"/>
        </w:rPr>
        <w:t>600030</w:t>
      </w:r>
      <w:r w:rsidRPr="00BE5388">
        <w:rPr>
          <w:bCs/>
          <w:color w:val="000000"/>
          <w:kern w:val="0"/>
          <w:sz w:val="24"/>
          <w:szCs w:val="24"/>
        </w:rPr>
        <w:t>）、华泰证券（证券代码：</w:t>
      </w:r>
      <w:r w:rsidRPr="00BE5388">
        <w:rPr>
          <w:bCs/>
          <w:color w:val="000000"/>
          <w:kern w:val="0"/>
          <w:sz w:val="24"/>
          <w:szCs w:val="24"/>
        </w:rPr>
        <w:t>601688</w:t>
      </w:r>
      <w:r w:rsidRPr="00BE5388">
        <w:rPr>
          <w:bCs/>
          <w:color w:val="000000"/>
          <w:kern w:val="0"/>
          <w:sz w:val="24"/>
          <w:szCs w:val="24"/>
        </w:rPr>
        <w:t>）外，未出现被监管部门立案调查，或在报告编制日前一年内受到公开谴责、处罚的情形。</w:t>
      </w:r>
    </w:p>
    <w:p w:rsidR="00A84223" w:rsidRDefault="001E4DAE">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报告期内本基金投资的前十名证券之一中信证券（证券代码：</w:t>
      </w:r>
      <w:r>
        <w:rPr>
          <w:bCs/>
          <w:color w:val="000000"/>
          <w:kern w:val="0"/>
          <w:sz w:val="24"/>
          <w:szCs w:val="24"/>
        </w:rPr>
        <w:t>600030</w:t>
      </w:r>
      <w:r>
        <w:rPr>
          <w:bCs/>
          <w:color w:val="000000"/>
          <w:kern w:val="0"/>
          <w:sz w:val="24"/>
          <w:szCs w:val="24"/>
        </w:rPr>
        <w:t>）于</w:t>
      </w:r>
      <w:r>
        <w:rPr>
          <w:bCs/>
          <w:color w:val="000000"/>
          <w:kern w:val="0"/>
          <w:sz w:val="24"/>
          <w:szCs w:val="24"/>
        </w:rPr>
        <w:t>2017</w:t>
      </w:r>
      <w:r>
        <w:rPr>
          <w:bCs/>
          <w:color w:val="000000"/>
          <w:kern w:val="0"/>
          <w:sz w:val="24"/>
          <w:szCs w:val="24"/>
        </w:rPr>
        <w:t>年</w:t>
      </w:r>
      <w:r>
        <w:rPr>
          <w:bCs/>
          <w:color w:val="000000"/>
          <w:kern w:val="0"/>
          <w:sz w:val="24"/>
          <w:szCs w:val="24"/>
        </w:rPr>
        <w:t>5</w:t>
      </w:r>
      <w:r>
        <w:rPr>
          <w:bCs/>
          <w:color w:val="000000"/>
          <w:kern w:val="0"/>
          <w:sz w:val="24"/>
          <w:szCs w:val="24"/>
        </w:rPr>
        <w:t>月</w:t>
      </w:r>
      <w:r>
        <w:rPr>
          <w:bCs/>
          <w:color w:val="000000"/>
          <w:kern w:val="0"/>
          <w:sz w:val="24"/>
          <w:szCs w:val="24"/>
        </w:rPr>
        <w:t>24</w:t>
      </w:r>
      <w:r>
        <w:rPr>
          <w:bCs/>
          <w:color w:val="000000"/>
          <w:kern w:val="0"/>
          <w:sz w:val="24"/>
          <w:szCs w:val="24"/>
        </w:rPr>
        <w:t>日公告，公司因违反《证券公司监督管理条例》第八十四条相关规定于日前收到中国证监会《行政处罚事先告知书》（处罚字</w:t>
      </w:r>
      <w:r>
        <w:rPr>
          <w:bCs/>
          <w:color w:val="000000"/>
          <w:kern w:val="0"/>
          <w:sz w:val="24"/>
          <w:szCs w:val="24"/>
        </w:rPr>
        <w:t>[2017]57</w:t>
      </w:r>
      <w:r>
        <w:rPr>
          <w:bCs/>
          <w:color w:val="000000"/>
          <w:kern w:val="0"/>
          <w:sz w:val="24"/>
          <w:szCs w:val="24"/>
        </w:rPr>
        <w:t>号）。据此，中国证监会拟决定责令公司改正，给予警告，没收违法所得人民币</w:t>
      </w:r>
      <w:r>
        <w:rPr>
          <w:bCs/>
          <w:color w:val="000000"/>
          <w:kern w:val="0"/>
          <w:sz w:val="24"/>
          <w:szCs w:val="24"/>
        </w:rPr>
        <w:t>61,655,849.78</w:t>
      </w:r>
      <w:r>
        <w:rPr>
          <w:bCs/>
          <w:color w:val="000000"/>
          <w:kern w:val="0"/>
          <w:sz w:val="24"/>
          <w:szCs w:val="24"/>
        </w:rPr>
        <w:t>元，并处人民币</w:t>
      </w:r>
      <w:r>
        <w:rPr>
          <w:bCs/>
          <w:color w:val="000000"/>
          <w:kern w:val="0"/>
          <w:sz w:val="24"/>
          <w:szCs w:val="24"/>
        </w:rPr>
        <w:t>308,279,248.90</w:t>
      </w:r>
      <w:r>
        <w:rPr>
          <w:bCs/>
          <w:color w:val="000000"/>
          <w:kern w:val="0"/>
          <w:sz w:val="24"/>
          <w:szCs w:val="24"/>
        </w:rPr>
        <w:t>元罚款。</w:t>
      </w:r>
    </w:p>
    <w:p w:rsidR="00A84223" w:rsidRDefault="001E4DAE">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报告期内本基金投资的前十名证券之一华泰证券（证券代码：</w:t>
      </w:r>
      <w:r>
        <w:rPr>
          <w:bCs/>
          <w:color w:val="000000"/>
          <w:kern w:val="0"/>
          <w:sz w:val="24"/>
          <w:szCs w:val="24"/>
        </w:rPr>
        <w:t>601688</w:t>
      </w:r>
      <w:r>
        <w:rPr>
          <w:bCs/>
          <w:color w:val="000000"/>
          <w:kern w:val="0"/>
          <w:sz w:val="24"/>
          <w:szCs w:val="24"/>
        </w:rPr>
        <w:t>）于</w:t>
      </w:r>
      <w:r>
        <w:rPr>
          <w:bCs/>
          <w:color w:val="000000"/>
          <w:kern w:val="0"/>
          <w:sz w:val="24"/>
          <w:szCs w:val="24"/>
        </w:rPr>
        <w:t>2016</w:t>
      </w:r>
      <w:r>
        <w:rPr>
          <w:bCs/>
          <w:color w:val="000000"/>
          <w:kern w:val="0"/>
          <w:sz w:val="24"/>
          <w:szCs w:val="24"/>
        </w:rPr>
        <w:t>年</w:t>
      </w:r>
      <w:r>
        <w:rPr>
          <w:bCs/>
          <w:color w:val="000000"/>
          <w:kern w:val="0"/>
          <w:sz w:val="24"/>
          <w:szCs w:val="24"/>
        </w:rPr>
        <w:t>11</w:t>
      </w:r>
      <w:r>
        <w:rPr>
          <w:bCs/>
          <w:color w:val="000000"/>
          <w:kern w:val="0"/>
          <w:sz w:val="24"/>
          <w:szCs w:val="24"/>
        </w:rPr>
        <w:t>月</w:t>
      </w:r>
      <w:r>
        <w:rPr>
          <w:bCs/>
          <w:color w:val="000000"/>
          <w:kern w:val="0"/>
          <w:sz w:val="24"/>
          <w:szCs w:val="24"/>
        </w:rPr>
        <w:t>29</w:t>
      </w:r>
      <w:r>
        <w:rPr>
          <w:bCs/>
          <w:color w:val="000000"/>
          <w:kern w:val="0"/>
          <w:sz w:val="24"/>
          <w:szCs w:val="24"/>
        </w:rPr>
        <w:t>日公告，公司因未按规定审查、了解客户真实身份违法违规行为于</w:t>
      </w:r>
      <w:r>
        <w:rPr>
          <w:bCs/>
          <w:color w:val="000000"/>
          <w:kern w:val="0"/>
          <w:sz w:val="24"/>
          <w:szCs w:val="24"/>
        </w:rPr>
        <w:t>2016</w:t>
      </w:r>
      <w:r>
        <w:rPr>
          <w:bCs/>
          <w:color w:val="000000"/>
          <w:kern w:val="0"/>
          <w:sz w:val="24"/>
          <w:szCs w:val="24"/>
        </w:rPr>
        <w:t>年</w:t>
      </w:r>
      <w:r>
        <w:rPr>
          <w:bCs/>
          <w:color w:val="000000"/>
          <w:kern w:val="0"/>
          <w:sz w:val="24"/>
          <w:szCs w:val="24"/>
        </w:rPr>
        <w:t>11</w:t>
      </w:r>
      <w:r>
        <w:rPr>
          <w:bCs/>
          <w:color w:val="000000"/>
          <w:kern w:val="0"/>
          <w:sz w:val="24"/>
          <w:szCs w:val="24"/>
        </w:rPr>
        <w:t>月</w:t>
      </w:r>
      <w:r>
        <w:rPr>
          <w:bCs/>
          <w:color w:val="000000"/>
          <w:kern w:val="0"/>
          <w:sz w:val="24"/>
          <w:szCs w:val="24"/>
        </w:rPr>
        <w:t>28</w:t>
      </w:r>
      <w:r>
        <w:rPr>
          <w:bCs/>
          <w:color w:val="000000"/>
          <w:kern w:val="0"/>
          <w:sz w:val="24"/>
          <w:szCs w:val="24"/>
        </w:rPr>
        <w:t>日收到中国证监会《行政处罚决定书》（</w:t>
      </w:r>
      <w:r>
        <w:rPr>
          <w:bCs/>
          <w:color w:val="000000"/>
          <w:kern w:val="0"/>
          <w:sz w:val="24"/>
          <w:szCs w:val="24"/>
        </w:rPr>
        <w:t>[2016]126</w:t>
      </w:r>
      <w:r>
        <w:rPr>
          <w:bCs/>
          <w:color w:val="000000"/>
          <w:kern w:val="0"/>
          <w:sz w:val="24"/>
          <w:szCs w:val="24"/>
        </w:rPr>
        <w:t>号）。据此，中国证监会决定对公司责令改正，给予警告，没收违法所得</w:t>
      </w:r>
      <w:r>
        <w:rPr>
          <w:bCs/>
          <w:color w:val="000000"/>
          <w:kern w:val="0"/>
          <w:sz w:val="24"/>
          <w:szCs w:val="24"/>
        </w:rPr>
        <w:t>18,235,275.00</w:t>
      </w:r>
      <w:r>
        <w:rPr>
          <w:bCs/>
          <w:color w:val="000000"/>
          <w:kern w:val="0"/>
          <w:sz w:val="24"/>
          <w:szCs w:val="24"/>
        </w:rPr>
        <w:t>元，并处以</w:t>
      </w:r>
      <w:r>
        <w:rPr>
          <w:bCs/>
          <w:color w:val="000000"/>
          <w:kern w:val="0"/>
          <w:sz w:val="24"/>
          <w:szCs w:val="24"/>
        </w:rPr>
        <w:t>54,705,825.00</w:t>
      </w:r>
      <w:r>
        <w:rPr>
          <w:bCs/>
          <w:color w:val="000000"/>
          <w:kern w:val="0"/>
          <w:sz w:val="24"/>
          <w:szCs w:val="24"/>
        </w:rPr>
        <w:t>元罚款。</w:t>
      </w:r>
    </w:p>
    <w:p w:rsidR="00A84223" w:rsidRDefault="001E4DAE">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上述证券投资决策程序的说明如下：本基金管理人对证券投资特别是重仓股的投资有严格的投资决策流程控制。本基金在对上述证券的投资也严格执行投资决策流程。在对上述证券的选择上，严格执行公司股票池审核流程进入公司核心股票池。在对上述证券的持有过程中公司研究员密切关注上市公司动向。在上述事件发生时及时分析其对投资决策的影响，经过分析认为上述事件对上市公司财务状况、经营成果和现金流量未产生重大的实质性影响，所以不影响对上述公司基本面和公司治理的投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lastRenderedPageBreak/>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1,639,655.49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77,734,848.67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1,886,696.36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2,519,455.40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75.00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83,780,730.92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1,440,204,184.41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199,882,987.58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292,537,595.00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1,347,549,576.99</w:t>
            </w:r>
          </w:p>
        </w:tc>
      </w:tr>
    </w:tbl>
    <w:p w:rsidR="00A84223" w:rsidRDefault="001E4DA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lastRenderedPageBreak/>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A84223" w:rsidRDefault="001E4DAE">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、中国证监会核准交银施罗德先进制造股票证券投资基金募集的文件；</w:t>
      </w:r>
      <w:r>
        <w:rPr>
          <w:color w:val="000000"/>
          <w:sz w:val="24"/>
          <w:szCs w:val="24"/>
        </w:rPr>
        <w:t xml:space="preserve"> </w:t>
      </w:r>
    </w:p>
    <w:p w:rsidR="00A84223" w:rsidRDefault="001E4DAE">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、《交银施罗德先进制造混合型证券投资基金基金合同》；</w:t>
      </w:r>
      <w:r>
        <w:rPr>
          <w:color w:val="000000"/>
          <w:sz w:val="24"/>
          <w:szCs w:val="24"/>
        </w:rPr>
        <w:t xml:space="preserve"> </w:t>
      </w:r>
    </w:p>
    <w:p w:rsidR="00A84223" w:rsidRDefault="001E4DAE">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、《交银施罗德先进制造混合型证券投资基金招募说明书》；</w:t>
      </w:r>
      <w:r>
        <w:rPr>
          <w:color w:val="000000"/>
          <w:sz w:val="24"/>
          <w:szCs w:val="24"/>
        </w:rPr>
        <w:t xml:space="preserve"> </w:t>
      </w:r>
    </w:p>
    <w:p w:rsidR="00A84223" w:rsidRDefault="001E4DAE">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、《交银施罗德先进制造混合型证券投资基金托管协议》；</w:t>
      </w:r>
    </w:p>
    <w:p w:rsidR="00A84223" w:rsidRDefault="001E4DAE">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、关于募集交银施罗德先进制造股票证券投资基金之法律意见书；</w:t>
      </w:r>
    </w:p>
    <w:p w:rsidR="00A84223" w:rsidRDefault="001E4DAE">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A84223" w:rsidRDefault="001E4DAE">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、报告期内交银施罗德先进制造混合型证券投资基金在指定报刊上各项公告的原稿。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A84223" w:rsidRDefault="001E4DAE">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533" w:rsidRDefault="00C85533" w:rsidP="00876D65">
      <w:r>
        <w:separator/>
      </w:r>
    </w:p>
  </w:endnote>
  <w:endnote w:type="continuationSeparator" w:id="0">
    <w:p w:rsidR="00C85533" w:rsidRDefault="00C85533"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A93885">
      <w:rPr>
        <w:noProof/>
        <w:kern w:val="0"/>
        <w:szCs w:val="21"/>
      </w:rPr>
      <w:t>6</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A93885">
      <w:rPr>
        <w:noProof/>
        <w:kern w:val="0"/>
        <w:szCs w:val="21"/>
      </w:rPr>
      <w:t>11</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533" w:rsidRDefault="00C85533" w:rsidP="00876D65">
      <w:r>
        <w:separator/>
      </w:r>
    </w:p>
  </w:footnote>
  <w:footnote w:type="continuationSeparator" w:id="0">
    <w:p w:rsidR="00C85533" w:rsidRDefault="00C85533"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E4DAE"/>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8F68EE"/>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4223"/>
    <w:rsid w:val="00A8721A"/>
    <w:rsid w:val="00A90049"/>
    <w:rsid w:val="00A917BF"/>
    <w:rsid w:val="00A93885"/>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458D"/>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533"/>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B602EBE-A0EA-40F2-8EBD-49EEB761D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 w:id="190868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D8ED0-B8E2-4619-B5CF-0AB538B4F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11</Pages>
  <Words>1088</Words>
  <Characters>6204</Characters>
  <Application>Microsoft Office Word</Application>
  <DocSecurity>0</DocSecurity>
  <Lines>51</Lines>
  <Paragraphs>14</Paragraphs>
  <ScaleCrop>false</ScaleCrop>
  <Company/>
  <LinksUpToDate>false</LinksUpToDate>
  <CharactersWithSpaces>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568</cp:revision>
  <dcterms:created xsi:type="dcterms:W3CDTF">2012-10-16T06:07:00Z</dcterms:created>
  <dcterms:modified xsi:type="dcterms:W3CDTF">2017-07-18T09:56:00Z</dcterms:modified>
</cp:coreProperties>
</file>