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71D6D" w:rsidRDefault="00DF144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666,888,438.95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D227E" w:rsidRPr="00414345" w:rsidTr="001D227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D227E" w:rsidRPr="00414345" w:rsidTr="001D227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-22,339,394.33</w:t>
            </w:r>
          </w:p>
        </w:tc>
      </w:tr>
      <w:tr w:rsidR="001D227E" w:rsidRPr="00414345" w:rsidTr="001D227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28,470,685.41</w:t>
            </w:r>
          </w:p>
        </w:tc>
      </w:tr>
      <w:tr w:rsidR="001D227E" w:rsidRPr="00414345" w:rsidTr="001D227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0.0365</w:t>
            </w:r>
          </w:p>
        </w:tc>
      </w:tr>
      <w:tr w:rsidR="001D227E" w:rsidRPr="00414345" w:rsidTr="001D227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823,743,027.21</w:t>
            </w:r>
          </w:p>
        </w:tc>
      </w:tr>
      <w:tr w:rsidR="001D227E" w:rsidRPr="00414345" w:rsidTr="001D227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1.235</w:t>
            </w:r>
          </w:p>
        </w:tc>
      </w:tr>
    </w:tbl>
    <w:p w:rsidR="00C71D6D" w:rsidRDefault="00DF144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71D6D">
        <w:trPr>
          <w:jc w:val="center"/>
        </w:trPr>
        <w:tc>
          <w:tcPr>
            <w:tcW w:w="1701" w:type="dxa"/>
            <w:vAlign w:val="center"/>
          </w:tcPr>
          <w:p w:rsidR="00C71D6D" w:rsidRDefault="00DF144A">
            <w:pPr>
              <w:jc w:val="left"/>
            </w:pPr>
            <w:r>
              <w:rPr>
                <w:color w:val="000000"/>
                <w:sz w:val="24"/>
                <w:szCs w:val="24"/>
              </w:rPr>
              <w:t>过去三个月</w:t>
            </w:r>
          </w:p>
        </w:tc>
        <w:tc>
          <w:tcPr>
            <w:tcW w:w="1045" w:type="dxa"/>
            <w:vAlign w:val="center"/>
          </w:tcPr>
          <w:p w:rsidR="00C71D6D" w:rsidRDefault="00DF144A">
            <w:pPr>
              <w:jc w:val="center"/>
            </w:pPr>
            <w:r>
              <w:rPr>
                <w:color w:val="000000"/>
                <w:sz w:val="24"/>
                <w:szCs w:val="24"/>
              </w:rPr>
              <w:t>3.61%</w:t>
            </w:r>
          </w:p>
        </w:tc>
        <w:tc>
          <w:tcPr>
            <w:tcW w:w="1344" w:type="dxa"/>
            <w:vAlign w:val="center"/>
          </w:tcPr>
          <w:p w:rsidR="00C71D6D" w:rsidRDefault="00DF144A">
            <w:pPr>
              <w:jc w:val="center"/>
            </w:pPr>
            <w:r>
              <w:rPr>
                <w:color w:val="000000"/>
                <w:sz w:val="24"/>
                <w:szCs w:val="24"/>
              </w:rPr>
              <w:t>0.71%</w:t>
            </w:r>
          </w:p>
        </w:tc>
        <w:tc>
          <w:tcPr>
            <w:tcW w:w="1194" w:type="dxa"/>
            <w:vAlign w:val="center"/>
          </w:tcPr>
          <w:p w:rsidR="00C71D6D" w:rsidRDefault="00DF144A">
            <w:pPr>
              <w:jc w:val="center"/>
            </w:pPr>
            <w:r>
              <w:rPr>
                <w:color w:val="000000"/>
                <w:sz w:val="24"/>
                <w:szCs w:val="24"/>
              </w:rPr>
              <w:t>4.63%</w:t>
            </w:r>
          </w:p>
        </w:tc>
        <w:tc>
          <w:tcPr>
            <w:tcW w:w="1492" w:type="dxa"/>
            <w:vAlign w:val="center"/>
          </w:tcPr>
          <w:p w:rsidR="00C71D6D" w:rsidRDefault="00DF144A">
            <w:pPr>
              <w:jc w:val="center"/>
            </w:pPr>
            <w:r>
              <w:rPr>
                <w:color w:val="000000"/>
                <w:sz w:val="24"/>
                <w:szCs w:val="24"/>
              </w:rPr>
              <w:t>0.47%</w:t>
            </w:r>
          </w:p>
        </w:tc>
        <w:tc>
          <w:tcPr>
            <w:tcW w:w="1194" w:type="dxa"/>
            <w:vAlign w:val="center"/>
          </w:tcPr>
          <w:p w:rsidR="00C71D6D" w:rsidRDefault="00DF144A">
            <w:pPr>
              <w:jc w:val="center"/>
            </w:pPr>
            <w:r>
              <w:rPr>
                <w:color w:val="000000"/>
                <w:sz w:val="24"/>
                <w:szCs w:val="24"/>
              </w:rPr>
              <w:t>-1.02%</w:t>
            </w:r>
          </w:p>
        </w:tc>
        <w:tc>
          <w:tcPr>
            <w:tcW w:w="898" w:type="dxa"/>
            <w:vAlign w:val="center"/>
          </w:tcPr>
          <w:p w:rsidR="00C71D6D" w:rsidRDefault="00DF144A">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71D6D">
        <w:trPr>
          <w:jc w:val="center"/>
        </w:trPr>
        <w:tc>
          <w:tcPr>
            <w:tcW w:w="846" w:type="dxa"/>
            <w:vAlign w:val="center"/>
          </w:tcPr>
          <w:p w:rsidR="00C71D6D" w:rsidRDefault="00DF144A">
            <w:pPr>
              <w:jc w:val="center"/>
            </w:pPr>
            <w:r>
              <w:rPr>
                <w:color w:val="000000"/>
                <w:sz w:val="24"/>
                <w:szCs w:val="24"/>
              </w:rPr>
              <w:t>曹文俊</w:t>
            </w:r>
          </w:p>
        </w:tc>
        <w:tc>
          <w:tcPr>
            <w:tcW w:w="845" w:type="dxa"/>
            <w:vAlign w:val="center"/>
          </w:tcPr>
          <w:p w:rsidR="00C71D6D" w:rsidRDefault="00DF144A">
            <w:pPr>
              <w:jc w:val="center"/>
            </w:pPr>
            <w:r>
              <w:rPr>
                <w:color w:val="000000"/>
                <w:sz w:val="24"/>
                <w:szCs w:val="24"/>
              </w:rPr>
              <w:t>交银精选混合、交银趋势混合的基</w:t>
            </w:r>
            <w:r>
              <w:rPr>
                <w:color w:val="000000"/>
                <w:sz w:val="24"/>
                <w:szCs w:val="24"/>
              </w:rPr>
              <w:lastRenderedPageBreak/>
              <w:t>金经理</w:t>
            </w:r>
          </w:p>
        </w:tc>
        <w:tc>
          <w:tcPr>
            <w:tcW w:w="1549" w:type="dxa"/>
            <w:vAlign w:val="center"/>
          </w:tcPr>
          <w:p w:rsidR="00C71D6D" w:rsidRDefault="00DF144A">
            <w:pPr>
              <w:jc w:val="center"/>
            </w:pPr>
            <w:r>
              <w:rPr>
                <w:color w:val="000000"/>
                <w:sz w:val="24"/>
                <w:szCs w:val="24"/>
              </w:rPr>
              <w:lastRenderedPageBreak/>
              <w:t>2013-08-08</w:t>
            </w:r>
          </w:p>
        </w:tc>
        <w:tc>
          <w:tcPr>
            <w:tcW w:w="1548" w:type="dxa"/>
            <w:vAlign w:val="center"/>
          </w:tcPr>
          <w:p w:rsidR="00C71D6D" w:rsidRDefault="00DF144A">
            <w:pPr>
              <w:jc w:val="center"/>
            </w:pPr>
            <w:r>
              <w:rPr>
                <w:color w:val="000000"/>
                <w:sz w:val="24"/>
                <w:szCs w:val="24"/>
              </w:rPr>
              <w:t>2017-06-13</w:t>
            </w:r>
          </w:p>
        </w:tc>
        <w:tc>
          <w:tcPr>
            <w:tcW w:w="1407" w:type="dxa"/>
            <w:vAlign w:val="center"/>
          </w:tcPr>
          <w:p w:rsidR="00C71D6D" w:rsidRDefault="00DF144A">
            <w:pPr>
              <w:jc w:val="center"/>
            </w:pPr>
            <w:r>
              <w:rPr>
                <w:color w:val="000000"/>
                <w:sz w:val="24"/>
                <w:szCs w:val="24"/>
              </w:rPr>
              <w:t>12</w:t>
            </w:r>
            <w:r>
              <w:rPr>
                <w:color w:val="000000"/>
                <w:sz w:val="24"/>
                <w:szCs w:val="24"/>
              </w:rPr>
              <w:t>年</w:t>
            </w:r>
          </w:p>
        </w:tc>
        <w:tc>
          <w:tcPr>
            <w:tcW w:w="2673" w:type="dxa"/>
            <w:vAlign w:val="center"/>
          </w:tcPr>
          <w:p w:rsidR="00C71D6D" w:rsidRDefault="00DF144A">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w:t>
            </w:r>
            <w:r>
              <w:rPr>
                <w:color w:val="000000"/>
                <w:sz w:val="24"/>
                <w:szCs w:val="24"/>
              </w:rPr>
              <w:lastRenderedPageBreak/>
              <w:t>施罗德基金管理有限公司，历任行业分析师、基金经理助理。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12</w:t>
            </w:r>
            <w:r>
              <w:rPr>
                <w:color w:val="000000"/>
                <w:sz w:val="24"/>
                <w:szCs w:val="24"/>
              </w:rPr>
              <w:t>日担任交银施罗德趋势优先混合型证券投资基金的基金经理，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12</w:t>
            </w:r>
            <w:r>
              <w:rPr>
                <w:color w:val="000000"/>
                <w:sz w:val="24"/>
                <w:szCs w:val="24"/>
              </w:rPr>
              <w:t>日担任交银施罗德精选混合型证券投资基金的基金经理。</w:t>
            </w:r>
          </w:p>
        </w:tc>
      </w:tr>
      <w:tr w:rsidR="00C71D6D">
        <w:trPr>
          <w:jc w:val="center"/>
        </w:trPr>
        <w:tc>
          <w:tcPr>
            <w:tcW w:w="846" w:type="dxa"/>
            <w:vAlign w:val="center"/>
          </w:tcPr>
          <w:p w:rsidR="00C71D6D" w:rsidRDefault="00DF144A">
            <w:pPr>
              <w:jc w:val="center"/>
            </w:pPr>
            <w:r>
              <w:rPr>
                <w:color w:val="000000"/>
                <w:sz w:val="24"/>
                <w:szCs w:val="24"/>
              </w:rPr>
              <w:lastRenderedPageBreak/>
              <w:t>韩威俊</w:t>
            </w:r>
          </w:p>
        </w:tc>
        <w:tc>
          <w:tcPr>
            <w:tcW w:w="845" w:type="dxa"/>
            <w:vAlign w:val="center"/>
          </w:tcPr>
          <w:p w:rsidR="00C71D6D" w:rsidRDefault="00DF144A">
            <w:pPr>
              <w:jc w:val="center"/>
            </w:pPr>
            <w:r>
              <w:rPr>
                <w:color w:val="000000"/>
                <w:sz w:val="24"/>
                <w:szCs w:val="24"/>
              </w:rPr>
              <w:t>交银趋势混合、交银策略回报灵活配置混合的基金经理</w:t>
            </w:r>
          </w:p>
        </w:tc>
        <w:tc>
          <w:tcPr>
            <w:tcW w:w="1549" w:type="dxa"/>
            <w:vAlign w:val="center"/>
          </w:tcPr>
          <w:p w:rsidR="00C71D6D" w:rsidRDefault="00DF144A" w:rsidP="001D227E">
            <w:pPr>
              <w:jc w:val="center"/>
            </w:pPr>
            <w:r>
              <w:rPr>
                <w:color w:val="000000"/>
                <w:sz w:val="24"/>
                <w:szCs w:val="24"/>
              </w:rPr>
              <w:t>2017-06-</w:t>
            </w:r>
            <w:r w:rsidR="001D227E">
              <w:rPr>
                <w:color w:val="000000"/>
                <w:sz w:val="24"/>
                <w:szCs w:val="24"/>
              </w:rPr>
              <w:t>03</w:t>
            </w:r>
          </w:p>
        </w:tc>
        <w:tc>
          <w:tcPr>
            <w:tcW w:w="1548" w:type="dxa"/>
            <w:vAlign w:val="center"/>
          </w:tcPr>
          <w:p w:rsidR="00C71D6D" w:rsidRDefault="00DF144A">
            <w:pPr>
              <w:jc w:val="center"/>
            </w:pPr>
            <w:r>
              <w:rPr>
                <w:color w:val="000000"/>
                <w:sz w:val="24"/>
                <w:szCs w:val="24"/>
              </w:rPr>
              <w:t>-</w:t>
            </w:r>
          </w:p>
        </w:tc>
        <w:tc>
          <w:tcPr>
            <w:tcW w:w="1407" w:type="dxa"/>
            <w:vAlign w:val="center"/>
          </w:tcPr>
          <w:p w:rsidR="00C71D6D" w:rsidRDefault="00DF144A">
            <w:pPr>
              <w:jc w:val="center"/>
            </w:pPr>
            <w:r>
              <w:rPr>
                <w:color w:val="000000"/>
                <w:sz w:val="24"/>
                <w:szCs w:val="24"/>
              </w:rPr>
              <w:t>11</w:t>
            </w:r>
            <w:r>
              <w:rPr>
                <w:color w:val="000000"/>
                <w:sz w:val="24"/>
                <w:szCs w:val="24"/>
              </w:rPr>
              <w:t>年</w:t>
            </w:r>
          </w:p>
        </w:tc>
        <w:tc>
          <w:tcPr>
            <w:tcW w:w="2673" w:type="dxa"/>
            <w:vAlign w:val="center"/>
          </w:tcPr>
          <w:p w:rsidR="00C71D6D" w:rsidRDefault="00DF144A">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71D6D" w:rsidRDefault="00DF144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71D6D" w:rsidRDefault="00DF144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71D6D" w:rsidRDefault="00DF144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C71D6D" w:rsidRDefault="00DF144A">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71D6D" w:rsidRDefault="00DF144A">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二季度，在金融去杠杆的背景下，整个市场的流动性压力明显增加，风险偏好明显下降，市场整体呈现出存量博弈状态。整个市场风格偏差较大，部分低估值蓝筹白马出现明显上涨，估值较高的成长股压力较大。</w:t>
      </w:r>
    </w:p>
    <w:p w:rsidR="00C71D6D" w:rsidRDefault="00DF144A">
      <w:pPr>
        <w:spacing w:before="29" w:line="288" w:lineRule="auto"/>
        <w:ind w:firstLineChars="200" w:firstLine="480"/>
        <w:rPr>
          <w:color w:val="000000"/>
          <w:sz w:val="24"/>
          <w:szCs w:val="24"/>
        </w:rPr>
      </w:pPr>
      <w:r>
        <w:rPr>
          <w:color w:val="000000"/>
          <w:sz w:val="24"/>
          <w:szCs w:val="24"/>
        </w:rPr>
        <w:t>本基金六月初做了较大幅度的配置调整，大幅配置现金流趋势性向上的价值成长白马，并提高了持股集中度，六月份获得了比较明显的绝对收益和相对收益。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预计市场的流动性仍然是指数运行的主要矛盾，整体估值水平仍然将继续下移。大部分蓝筹白马的估值修复行情基本上告一段落，后续预计应该更加注重自下而上，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1.235</w:t>
      </w:r>
      <w:r w:rsidRPr="00414345">
        <w:rPr>
          <w:color w:val="000000"/>
          <w:sz w:val="24"/>
          <w:szCs w:val="24"/>
        </w:rPr>
        <w:t>元，本报告期份额净值增长</w:t>
      </w:r>
      <w:r w:rsidR="001D227E">
        <w:rPr>
          <w:rFonts w:hint="eastAsia"/>
          <w:color w:val="000000"/>
          <w:sz w:val="24"/>
          <w:szCs w:val="24"/>
        </w:rPr>
        <w:t>率</w:t>
      </w:r>
      <w:r w:rsidR="001D227E">
        <w:rPr>
          <w:color w:val="000000"/>
          <w:sz w:val="24"/>
          <w:szCs w:val="24"/>
        </w:rPr>
        <w:t>为</w:t>
      </w:r>
      <w:r w:rsidRPr="00414345">
        <w:rPr>
          <w:color w:val="000000"/>
          <w:sz w:val="24"/>
          <w:szCs w:val="24"/>
        </w:rPr>
        <w:t>3.61%</w:t>
      </w:r>
      <w:r w:rsidRPr="00414345">
        <w:rPr>
          <w:color w:val="000000"/>
          <w:sz w:val="24"/>
          <w:szCs w:val="24"/>
        </w:rPr>
        <w:t>，同期业绩比较基准增长率为</w:t>
      </w:r>
      <w:r w:rsidRPr="00414345">
        <w:rPr>
          <w:color w:val="000000"/>
          <w:sz w:val="24"/>
          <w:szCs w:val="24"/>
        </w:rPr>
        <w:t>4.63%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751,893,785.06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751,893,785.06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49,496,007.59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2,118,243.61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853,468,036.26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491,205,120.10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35,289,585.20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18,298.98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123,241,081.35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42,002,783.83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25,175,296.00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11,968,255.80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22,993,363.80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751,893,785.06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91.28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71D6D">
        <w:trPr>
          <w:jc w:val="center"/>
        </w:trPr>
        <w:tc>
          <w:tcPr>
            <w:tcW w:w="855" w:type="dxa"/>
            <w:vAlign w:val="center"/>
          </w:tcPr>
          <w:p w:rsidR="00C71D6D" w:rsidRDefault="00DF144A">
            <w:pPr>
              <w:jc w:val="center"/>
            </w:pPr>
            <w:r>
              <w:rPr>
                <w:color w:val="000000"/>
                <w:sz w:val="24"/>
                <w:szCs w:val="24"/>
              </w:rPr>
              <w:t>1</w:t>
            </w:r>
          </w:p>
        </w:tc>
        <w:tc>
          <w:tcPr>
            <w:tcW w:w="1334" w:type="dxa"/>
            <w:vAlign w:val="center"/>
          </w:tcPr>
          <w:p w:rsidR="00C71D6D" w:rsidRDefault="00DF144A">
            <w:pPr>
              <w:jc w:val="center"/>
            </w:pPr>
            <w:r>
              <w:rPr>
                <w:color w:val="000000"/>
                <w:sz w:val="24"/>
                <w:szCs w:val="24"/>
              </w:rPr>
              <w:t>600887</w:t>
            </w:r>
          </w:p>
        </w:tc>
        <w:tc>
          <w:tcPr>
            <w:tcW w:w="1777" w:type="dxa"/>
            <w:vAlign w:val="center"/>
          </w:tcPr>
          <w:p w:rsidR="00C71D6D" w:rsidRDefault="00DF144A">
            <w:pPr>
              <w:jc w:val="center"/>
            </w:pPr>
            <w:r>
              <w:rPr>
                <w:color w:val="000000"/>
                <w:sz w:val="24"/>
                <w:szCs w:val="24"/>
              </w:rPr>
              <w:t>伊利股份</w:t>
            </w:r>
          </w:p>
        </w:tc>
        <w:tc>
          <w:tcPr>
            <w:tcW w:w="1334" w:type="dxa"/>
            <w:vAlign w:val="center"/>
          </w:tcPr>
          <w:p w:rsidR="00C71D6D" w:rsidRDefault="00DF144A">
            <w:pPr>
              <w:jc w:val="right"/>
            </w:pPr>
            <w:r>
              <w:rPr>
                <w:color w:val="000000"/>
                <w:sz w:val="24"/>
                <w:szCs w:val="24"/>
              </w:rPr>
              <w:t>3,620,273</w:t>
            </w:r>
          </w:p>
        </w:tc>
        <w:tc>
          <w:tcPr>
            <w:tcW w:w="1924" w:type="dxa"/>
            <w:vAlign w:val="center"/>
          </w:tcPr>
          <w:p w:rsidR="00C71D6D" w:rsidRDefault="00DF144A">
            <w:pPr>
              <w:jc w:val="right"/>
            </w:pPr>
            <w:r>
              <w:rPr>
                <w:color w:val="000000"/>
                <w:sz w:val="24"/>
                <w:szCs w:val="24"/>
              </w:rPr>
              <w:t>78,161,694.07</w:t>
            </w:r>
          </w:p>
        </w:tc>
        <w:tc>
          <w:tcPr>
            <w:tcW w:w="1644" w:type="dxa"/>
            <w:vAlign w:val="center"/>
          </w:tcPr>
          <w:p w:rsidR="00C71D6D" w:rsidRDefault="00DF144A">
            <w:pPr>
              <w:jc w:val="right"/>
            </w:pPr>
            <w:r>
              <w:rPr>
                <w:color w:val="000000"/>
                <w:sz w:val="24"/>
                <w:szCs w:val="24"/>
              </w:rPr>
              <w:t>9.49</w:t>
            </w:r>
          </w:p>
        </w:tc>
      </w:tr>
      <w:tr w:rsidR="00C71D6D">
        <w:trPr>
          <w:jc w:val="center"/>
        </w:trPr>
        <w:tc>
          <w:tcPr>
            <w:tcW w:w="855" w:type="dxa"/>
            <w:vAlign w:val="center"/>
          </w:tcPr>
          <w:p w:rsidR="00C71D6D" w:rsidRDefault="00DF144A">
            <w:pPr>
              <w:jc w:val="center"/>
            </w:pPr>
            <w:r>
              <w:rPr>
                <w:color w:val="000000"/>
                <w:sz w:val="24"/>
                <w:szCs w:val="24"/>
              </w:rPr>
              <w:t>2</w:t>
            </w:r>
          </w:p>
        </w:tc>
        <w:tc>
          <w:tcPr>
            <w:tcW w:w="1334" w:type="dxa"/>
            <w:vAlign w:val="center"/>
          </w:tcPr>
          <w:p w:rsidR="00C71D6D" w:rsidRDefault="00DF144A">
            <w:pPr>
              <w:jc w:val="center"/>
            </w:pPr>
            <w:r>
              <w:rPr>
                <w:color w:val="000000"/>
                <w:sz w:val="24"/>
                <w:szCs w:val="24"/>
              </w:rPr>
              <w:t>600197</w:t>
            </w:r>
          </w:p>
        </w:tc>
        <w:tc>
          <w:tcPr>
            <w:tcW w:w="1777" w:type="dxa"/>
            <w:vAlign w:val="center"/>
          </w:tcPr>
          <w:p w:rsidR="00C71D6D" w:rsidRDefault="00DF144A">
            <w:pPr>
              <w:jc w:val="center"/>
            </w:pPr>
            <w:r>
              <w:rPr>
                <w:color w:val="000000"/>
                <w:sz w:val="24"/>
                <w:szCs w:val="24"/>
              </w:rPr>
              <w:t>伊力特</w:t>
            </w:r>
          </w:p>
        </w:tc>
        <w:tc>
          <w:tcPr>
            <w:tcW w:w="1334" w:type="dxa"/>
            <w:vAlign w:val="center"/>
          </w:tcPr>
          <w:p w:rsidR="00C71D6D" w:rsidRDefault="00DF144A">
            <w:pPr>
              <w:jc w:val="right"/>
            </w:pPr>
            <w:r>
              <w:rPr>
                <w:color w:val="000000"/>
                <w:sz w:val="24"/>
                <w:szCs w:val="24"/>
              </w:rPr>
              <w:t>3,945,771</w:t>
            </w:r>
          </w:p>
        </w:tc>
        <w:tc>
          <w:tcPr>
            <w:tcW w:w="1924" w:type="dxa"/>
            <w:vAlign w:val="center"/>
          </w:tcPr>
          <w:p w:rsidR="00C71D6D" w:rsidRDefault="00DF144A">
            <w:pPr>
              <w:jc w:val="right"/>
            </w:pPr>
            <w:r>
              <w:rPr>
                <w:color w:val="000000"/>
                <w:sz w:val="24"/>
                <w:szCs w:val="24"/>
              </w:rPr>
              <w:t>77,060,907.63</w:t>
            </w:r>
          </w:p>
        </w:tc>
        <w:tc>
          <w:tcPr>
            <w:tcW w:w="1644" w:type="dxa"/>
            <w:vAlign w:val="center"/>
          </w:tcPr>
          <w:p w:rsidR="00C71D6D" w:rsidRDefault="00DF144A">
            <w:pPr>
              <w:jc w:val="right"/>
            </w:pPr>
            <w:r>
              <w:rPr>
                <w:color w:val="000000"/>
                <w:sz w:val="24"/>
                <w:szCs w:val="24"/>
              </w:rPr>
              <w:t>9.35</w:t>
            </w:r>
          </w:p>
        </w:tc>
      </w:tr>
      <w:tr w:rsidR="00C71D6D">
        <w:trPr>
          <w:jc w:val="center"/>
        </w:trPr>
        <w:tc>
          <w:tcPr>
            <w:tcW w:w="855" w:type="dxa"/>
            <w:vAlign w:val="center"/>
          </w:tcPr>
          <w:p w:rsidR="00C71D6D" w:rsidRDefault="00DF144A">
            <w:pPr>
              <w:jc w:val="center"/>
            </w:pPr>
            <w:r>
              <w:rPr>
                <w:color w:val="000000"/>
                <w:sz w:val="24"/>
                <w:szCs w:val="24"/>
              </w:rPr>
              <w:t>3</w:t>
            </w:r>
          </w:p>
        </w:tc>
        <w:tc>
          <w:tcPr>
            <w:tcW w:w="1334" w:type="dxa"/>
            <w:vAlign w:val="center"/>
          </w:tcPr>
          <w:p w:rsidR="00C71D6D" w:rsidRDefault="00DF144A">
            <w:pPr>
              <w:jc w:val="center"/>
            </w:pPr>
            <w:r>
              <w:rPr>
                <w:color w:val="000000"/>
                <w:sz w:val="24"/>
                <w:szCs w:val="24"/>
              </w:rPr>
              <w:t>000858</w:t>
            </w:r>
          </w:p>
        </w:tc>
        <w:tc>
          <w:tcPr>
            <w:tcW w:w="1777" w:type="dxa"/>
            <w:vAlign w:val="center"/>
          </w:tcPr>
          <w:p w:rsidR="00C71D6D" w:rsidRDefault="00DF144A">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C71D6D" w:rsidRDefault="00DF144A">
            <w:pPr>
              <w:jc w:val="right"/>
            </w:pPr>
            <w:r>
              <w:rPr>
                <w:color w:val="000000"/>
                <w:sz w:val="24"/>
                <w:szCs w:val="24"/>
              </w:rPr>
              <w:t>1,372,400</w:t>
            </w:r>
          </w:p>
        </w:tc>
        <w:tc>
          <w:tcPr>
            <w:tcW w:w="1924" w:type="dxa"/>
            <w:vAlign w:val="center"/>
          </w:tcPr>
          <w:p w:rsidR="00C71D6D" w:rsidRDefault="00DF144A">
            <w:pPr>
              <w:jc w:val="right"/>
            </w:pPr>
            <w:r>
              <w:rPr>
                <w:color w:val="000000"/>
                <w:sz w:val="24"/>
                <w:szCs w:val="24"/>
              </w:rPr>
              <w:t>76,387,784.00</w:t>
            </w:r>
          </w:p>
        </w:tc>
        <w:tc>
          <w:tcPr>
            <w:tcW w:w="1644" w:type="dxa"/>
            <w:vAlign w:val="center"/>
          </w:tcPr>
          <w:p w:rsidR="00C71D6D" w:rsidRDefault="00DF144A">
            <w:pPr>
              <w:jc w:val="right"/>
            </w:pPr>
            <w:r>
              <w:rPr>
                <w:color w:val="000000"/>
                <w:sz w:val="24"/>
                <w:szCs w:val="24"/>
              </w:rPr>
              <w:t>9.27</w:t>
            </w:r>
          </w:p>
        </w:tc>
      </w:tr>
      <w:tr w:rsidR="00C71D6D">
        <w:trPr>
          <w:jc w:val="center"/>
        </w:trPr>
        <w:tc>
          <w:tcPr>
            <w:tcW w:w="855" w:type="dxa"/>
            <w:vAlign w:val="center"/>
          </w:tcPr>
          <w:p w:rsidR="00C71D6D" w:rsidRDefault="00DF144A">
            <w:pPr>
              <w:jc w:val="center"/>
            </w:pPr>
            <w:r>
              <w:rPr>
                <w:color w:val="000000"/>
                <w:sz w:val="24"/>
                <w:szCs w:val="24"/>
              </w:rPr>
              <w:t>4</w:t>
            </w:r>
          </w:p>
        </w:tc>
        <w:tc>
          <w:tcPr>
            <w:tcW w:w="1334" w:type="dxa"/>
            <w:vAlign w:val="center"/>
          </w:tcPr>
          <w:p w:rsidR="00C71D6D" w:rsidRDefault="00DF144A">
            <w:pPr>
              <w:jc w:val="center"/>
            </w:pPr>
            <w:r>
              <w:rPr>
                <w:color w:val="000000"/>
                <w:sz w:val="24"/>
                <w:szCs w:val="24"/>
              </w:rPr>
              <w:t>000921</w:t>
            </w:r>
          </w:p>
        </w:tc>
        <w:tc>
          <w:tcPr>
            <w:tcW w:w="1777" w:type="dxa"/>
            <w:vAlign w:val="center"/>
          </w:tcPr>
          <w:p w:rsidR="00C71D6D" w:rsidRDefault="00DF144A">
            <w:pPr>
              <w:jc w:val="center"/>
            </w:pPr>
            <w:r>
              <w:rPr>
                <w:color w:val="000000"/>
                <w:sz w:val="24"/>
                <w:szCs w:val="24"/>
              </w:rPr>
              <w:t>海信科龙</w:t>
            </w:r>
          </w:p>
        </w:tc>
        <w:tc>
          <w:tcPr>
            <w:tcW w:w="1334" w:type="dxa"/>
            <w:vAlign w:val="center"/>
          </w:tcPr>
          <w:p w:rsidR="00C71D6D" w:rsidRDefault="00DF144A">
            <w:pPr>
              <w:jc w:val="right"/>
            </w:pPr>
            <w:r>
              <w:rPr>
                <w:color w:val="000000"/>
                <w:sz w:val="24"/>
                <w:szCs w:val="24"/>
              </w:rPr>
              <w:t>4,346,796</w:t>
            </w:r>
          </w:p>
        </w:tc>
        <w:tc>
          <w:tcPr>
            <w:tcW w:w="1924" w:type="dxa"/>
            <w:vAlign w:val="center"/>
          </w:tcPr>
          <w:p w:rsidR="00C71D6D" w:rsidRDefault="00DF144A">
            <w:pPr>
              <w:jc w:val="right"/>
            </w:pPr>
            <w:r>
              <w:rPr>
                <w:color w:val="000000"/>
                <w:sz w:val="24"/>
                <w:szCs w:val="24"/>
              </w:rPr>
              <w:t>74,808,359.16</w:t>
            </w:r>
          </w:p>
        </w:tc>
        <w:tc>
          <w:tcPr>
            <w:tcW w:w="1644" w:type="dxa"/>
            <w:vAlign w:val="center"/>
          </w:tcPr>
          <w:p w:rsidR="00C71D6D" w:rsidRDefault="00DF144A">
            <w:pPr>
              <w:jc w:val="right"/>
            </w:pPr>
            <w:r>
              <w:rPr>
                <w:color w:val="000000"/>
                <w:sz w:val="24"/>
                <w:szCs w:val="24"/>
              </w:rPr>
              <w:t>9.08</w:t>
            </w:r>
          </w:p>
        </w:tc>
      </w:tr>
      <w:tr w:rsidR="00C71D6D">
        <w:trPr>
          <w:jc w:val="center"/>
        </w:trPr>
        <w:tc>
          <w:tcPr>
            <w:tcW w:w="855" w:type="dxa"/>
            <w:vAlign w:val="center"/>
          </w:tcPr>
          <w:p w:rsidR="00C71D6D" w:rsidRDefault="00DF144A">
            <w:pPr>
              <w:jc w:val="center"/>
            </w:pPr>
            <w:r>
              <w:rPr>
                <w:color w:val="000000"/>
                <w:sz w:val="24"/>
                <w:szCs w:val="24"/>
              </w:rPr>
              <w:t>5</w:t>
            </w:r>
          </w:p>
        </w:tc>
        <w:tc>
          <w:tcPr>
            <w:tcW w:w="1334" w:type="dxa"/>
            <w:vAlign w:val="center"/>
          </w:tcPr>
          <w:p w:rsidR="00C71D6D" w:rsidRDefault="00DF144A">
            <w:pPr>
              <w:jc w:val="center"/>
            </w:pPr>
            <w:r>
              <w:rPr>
                <w:color w:val="000000"/>
                <w:sz w:val="24"/>
                <w:szCs w:val="24"/>
              </w:rPr>
              <w:t>603808</w:t>
            </w:r>
          </w:p>
        </w:tc>
        <w:tc>
          <w:tcPr>
            <w:tcW w:w="1777" w:type="dxa"/>
            <w:vAlign w:val="center"/>
          </w:tcPr>
          <w:p w:rsidR="00C71D6D" w:rsidRDefault="00DF144A">
            <w:pPr>
              <w:jc w:val="center"/>
            </w:pPr>
            <w:r>
              <w:rPr>
                <w:color w:val="000000"/>
                <w:sz w:val="24"/>
                <w:szCs w:val="24"/>
              </w:rPr>
              <w:t>歌力思</w:t>
            </w:r>
          </w:p>
        </w:tc>
        <w:tc>
          <w:tcPr>
            <w:tcW w:w="1334" w:type="dxa"/>
            <w:vAlign w:val="center"/>
          </w:tcPr>
          <w:p w:rsidR="00C71D6D" w:rsidRDefault="00DF144A">
            <w:pPr>
              <w:jc w:val="right"/>
            </w:pPr>
            <w:r>
              <w:rPr>
                <w:color w:val="000000"/>
                <w:sz w:val="24"/>
                <w:szCs w:val="24"/>
              </w:rPr>
              <w:t>2,506,081</w:t>
            </w:r>
          </w:p>
        </w:tc>
        <w:tc>
          <w:tcPr>
            <w:tcW w:w="1924" w:type="dxa"/>
            <w:vAlign w:val="center"/>
          </w:tcPr>
          <w:p w:rsidR="00C71D6D" w:rsidRDefault="00DF144A">
            <w:pPr>
              <w:jc w:val="right"/>
            </w:pPr>
            <w:r>
              <w:rPr>
                <w:color w:val="000000"/>
                <w:sz w:val="24"/>
                <w:szCs w:val="24"/>
              </w:rPr>
              <w:t>73,979,511.12</w:t>
            </w:r>
          </w:p>
        </w:tc>
        <w:tc>
          <w:tcPr>
            <w:tcW w:w="1644" w:type="dxa"/>
            <w:vAlign w:val="center"/>
          </w:tcPr>
          <w:p w:rsidR="00C71D6D" w:rsidRDefault="00DF144A">
            <w:pPr>
              <w:jc w:val="right"/>
            </w:pPr>
            <w:r>
              <w:rPr>
                <w:color w:val="000000"/>
                <w:sz w:val="24"/>
                <w:szCs w:val="24"/>
              </w:rPr>
              <w:t>8.98</w:t>
            </w:r>
          </w:p>
        </w:tc>
      </w:tr>
      <w:tr w:rsidR="00C71D6D">
        <w:trPr>
          <w:jc w:val="center"/>
        </w:trPr>
        <w:tc>
          <w:tcPr>
            <w:tcW w:w="855" w:type="dxa"/>
            <w:vAlign w:val="center"/>
          </w:tcPr>
          <w:p w:rsidR="00C71D6D" w:rsidRDefault="00DF144A">
            <w:pPr>
              <w:jc w:val="center"/>
            </w:pPr>
            <w:r>
              <w:rPr>
                <w:color w:val="000000"/>
                <w:sz w:val="24"/>
                <w:szCs w:val="24"/>
              </w:rPr>
              <w:t>6</w:t>
            </w:r>
          </w:p>
        </w:tc>
        <w:tc>
          <w:tcPr>
            <w:tcW w:w="1334" w:type="dxa"/>
            <w:vAlign w:val="center"/>
          </w:tcPr>
          <w:p w:rsidR="00C71D6D" w:rsidRDefault="00DF144A">
            <w:pPr>
              <w:jc w:val="center"/>
            </w:pPr>
            <w:r>
              <w:rPr>
                <w:color w:val="000000"/>
                <w:sz w:val="24"/>
                <w:szCs w:val="24"/>
              </w:rPr>
              <w:t>603355</w:t>
            </w:r>
          </w:p>
        </w:tc>
        <w:tc>
          <w:tcPr>
            <w:tcW w:w="1777" w:type="dxa"/>
            <w:vAlign w:val="center"/>
          </w:tcPr>
          <w:p w:rsidR="00C71D6D" w:rsidRDefault="00DF144A">
            <w:pPr>
              <w:jc w:val="center"/>
            </w:pPr>
            <w:r>
              <w:rPr>
                <w:color w:val="000000"/>
                <w:sz w:val="24"/>
                <w:szCs w:val="24"/>
              </w:rPr>
              <w:t>莱克电气</w:t>
            </w:r>
          </w:p>
        </w:tc>
        <w:tc>
          <w:tcPr>
            <w:tcW w:w="1334" w:type="dxa"/>
            <w:vAlign w:val="center"/>
          </w:tcPr>
          <w:p w:rsidR="00C71D6D" w:rsidRDefault="00DF144A">
            <w:pPr>
              <w:jc w:val="right"/>
            </w:pPr>
            <w:r>
              <w:rPr>
                <w:color w:val="000000"/>
                <w:sz w:val="24"/>
                <w:szCs w:val="24"/>
              </w:rPr>
              <w:t>1,255,455</w:t>
            </w:r>
          </w:p>
        </w:tc>
        <w:tc>
          <w:tcPr>
            <w:tcW w:w="1924" w:type="dxa"/>
            <w:vAlign w:val="center"/>
          </w:tcPr>
          <w:p w:rsidR="00C71D6D" w:rsidRDefault="00DF144A">
            <w:pPr>
              <w:jc w:val="right"/>
            </w:pPr>
            <w:r>
              <w:rPr>
                <w:color w:val="000000"/>
                <w:sz w:val="24"/>
                <w:szCs w:val="24"/>
              </w:rPr>
              <w:t>73,783,090.35</w:t>
            </w:r>
          </w:p>
        </w:tc>
        <w:tc>
          <w:tcPr>
            <w:tcW w:w="1644" w:type="dxa"/>
            <w:vAlign w:val="center"/>
          </w:tcPr>
          <w:p w:rsidR="00C71D6D" w:rsidRDefault="00DF144A">
            <w:pPr>
              <w:jc w:val="right"/>
            </w:pPr>
            <w:r>
              <w:rPr>
                <w:color w:val="000000"/>
                <w:sz w:val="24"/>
                <w:szCs w:val="24"/>
              </w:rPr>
              <w:t>8.96</w:t>
            </w:r>
          </w:p>
        </w:tc>
      </w:tr>
      <w:tr w:rsidR="00C71D6D">
        <w:trPr>
          <w:jc w:val="center"/>
        </w:trPr>
        <w:tc>
          <w:tcPr>
            <w:tcW w:w="855" w:type="dxa"/>
            <w:vAlign w:val="center"/>
          </w:tcPr>
          <w:p w:rsidR="00C71D6D" w:rsidRDefault="00DF144A">
            <w:pPr>
              <w:jc w:val="center"/>
            </w:pPr>
            <w:r>
              <w:rPr>
                <w:color w:val="000000"/>
                <w:sz w:val="24"/>
                <w:szCs w:val="24"/>
              </w:rPr>
              <w:t>7</w:t>
            </w:r>
          </w:p>
        </w:tc>
        <w:tc>
          <w:tcPr>
            <w:tcW w:w="1334" w:type="dxa"/>
            <w:vAlign w:val="center"/>
          </w:tcPr>
          <w:p w:rsidR="00C71D6D" w:rsidRDefault="00DF144A">
            <w:pPr>
              <w:jc w:val="center"/>
            </w:pPr>
            <w:r>
              <w:rPr>
                <w:color w:val="000000"/>
                <w:sz w:val="24"/>
                <w:szCs w:val="24"/>
              </w:rPr>
              <w:t>601318</w:t>
            </w:r>
          </w:p>
        </w:tc>
        <w:tc>
          <w:tcPr>
            <w:tcW w:w="1777" w:type="dxa"/>
            <w:vAlign w:val="center"/>
          </w:tcPr>
          <w:p w:rsidR="00C71D6D" w:rsidRDefault="00DF144A">
            <w:pPr>
              <w:jc w:val="center"/>
            </w:pPr>
            <w:r>
              <w:rPr>
                <w:color w:val="000000"/>
                <w:sz w:val="24"/>
                <w:szCs w:val="24"/>
              </w:rPr>
              <w:t>中国平安</w:t>
            </w:r>
          </w:p>
        </w:tc>
        <w:tc>
          <w:tcPr>
            <w:tcW w:w="1334" w:type="dxa"/>
            <w:vAlign w:val="center"/>
          </w:tcPr>
          <w:p w:rsidR="00C71D6D" w:rsidRDefault="00DF144A">
            <w:pPr>
              <w:jc w:val="right"/>
            </w:pPr>
            <w:r>
              <w:rPr>
                <w:color w:val="000000"/>
                <w:sz w:val="24"/>
                <w:szCs w:val="24"/>
              </w:rPr>
              <w:t>839,800</w:t>
            </w:r>
          </w:p>
        </w:tc>
        <w:tc>
          <w:tcPr>
            <w:tcW w:w="1924" w:type="dxa"/>
            <w:vAlign w:val="center"/>
          </w:tcPr>
          <w:p w:rsidR="00C71D6D" w:rsidRDefault="00DF144A">
            <w:pPr>
              <w:jc w:val="right"/>
            </w:pPr>
            <w:r>
              <w:rPr>
                <w:color w:val="000000"/>
                <w:sz w:val="24"/>
                <w:szCs w:val="24"/>
              </w:rPr>
              <w:t>41,662,478.00</w:t>
            </w:r>
          </w:p>
        </w:tc>
        <w:tc>
          <w:tcPr>
            <w:tcW w:w="1644" w:type="dxa"/>
            <w:vAlign w:val="center"/>
          </w:tcPr>
          <w:p w:rsidR="00C71D6D" w:rsidRDefault="00DF144A">
            <w:pPr>
              <w:jc w:val="right"/>
            </w:pPr>
            <w:r>
              <w:rPr>
                <w:color w:val="000000"/>
                <w:sz w:val="24"/>
                <w:szCs w:val="24"/>
              </w:rPr>
              <w:t>5.06</w:t>
            </w:r>
          </w:p>
        </w:tc>
      </w:tr>
      <w:tr w:rsidR="00C71D6D">
        <w:trPr>
          <w:jc w:val="center"/>
        </w:trPr>
        <w:tc>
          <w:tcPr>
            <w:tcW w:w="855" w:type="dxa"/>
            <w:vAlign w:val="center"/>
          </w:tcPr>
          <w:p w:rsidR="00C71D6D" w:rsidRDefault="00DF144A">
            <w:pPr>
              <w:jc w:val="center"/>
            </w:pPr>
            <w:r>
              <w:rPr>
                <w:color w:val="000000"/>
                <w:sz w:val="24"/>
                <w:szCs w:val="24"/>
              </w:rPr>
              <w:t>8</w:t>
            </w:r>
          </w:p>
        </w:tc>
        <w:tc>
          <w:tcPr>
            <w:tcW w:w="1334" w:type="dxa"/>
            <w:vAlign w:val="center"/>
          </w:tcPr>
          <w:p w:rsidR="00C71D6D" w:rsidRDefault="00DF144A">
            <w:pPr>
              <w:jc w:val="center"/>
            </w:pPr>
            <w:r>
              <w:rPr>
                <w:color w:val="000000"/>
                <w:sz w:val="24"/>
                <w:szCs w:val="24"/>
              </w:rPr>
              <w:t>600036</w:t>
            </w:r>
          </w:p>
        </w:tc>
        <w:tc>
          <w:tcPr>
            <w:tcW w:w="1777" w:type="dxa"/>
            <w:vAlign w:val="center"/>
          </w:tcPr>
          <w:p w:rsidR="00C71D6D" w:rsidRDefault="00DF144A">
            <w:pPr>
              <w:jc w:val="center"/>
            </w:pPr>
            <w:r>
              <w:rPr>
                <w:color w:val="000000"/>
                <w:sz w:val="24"/>
                <w:szCs w:val="24"/>
              </w:rPr>
              <w:t>招商银行</w:t>
            </w:r>
          </w:p>
        </w:tc>
        <w:tc>
          <w:tcPr>
            <w:tcW w:w="1334" w:type="dxa"/>
            <w:vAlign w:val="center"/>
          </w:tcPr>
          <w:p w:rsidR="00C71D6D" w:rsidRDefault="00DF144A">
            <w:pPr>
              <w:jc w:val="right"/>
            </w:pPr>
            <w:r>
              <w:rPr>
                <w:color w:val="000000"/>
                <w:sz w:val="24"/>
                <w:szCs w:val="24"/>
              </w:rPr>
              <w:t>1,699,700</w:t>
            </w:r>
          </w:p>
        </w:tc>
        <w:tc>
          <w:tcPr>
            <w:tcW w:w="1924" w:type="dxa"/>
            <w:vAlign w:val="center"/>
          </w:tcPr>
          <w:p w:rsidR="00C71D6D" w:rsidRDefault="00DF144A">
            <w:pPr>
              <w:jc w:val="right"/>
            </w:pPr>
            <w:r>
              <w:rPr>
                <w:color w:val="000000"/>
                <w:sz w:val="24"/>
                <w:szCs w:val="24"/>
              </w:rPr>
              <w:t>40,639,827.00</w:t>
            </w:r>
          </w:p>
        </w:tc>
        <w:tc>
          <w:tcPr>
            <w:tcW w:w="1644" w:type="dxa"/>
            <w:vAlign w:val="center"/>
          </w:tcPr>
          <w:p w:rsidR="00C71D6D" w:rsidRDefault="00DF144A">
            <w:pPr>
              <w:jc w:val="right"/>
            </w:pPr>
            <w:r>
              <w:rPr>
                <w:color w:val="000000"/>
                <w:sz w:val="24"/>
                <w:szCs w:val="24"/>
              </w:rPr>
              <w:t>4.93</w:t>
            </w:r>
          </w:p>
        </w:tc>
      </w:tr>
      <w:tr w:rsidR="00C71D6D">
        <w:trPr>
          <w:jc w:val="center"/>
        </w:trPr>
        <w:tc>
          <w:tcPr>
            <w:tcW w:w="855" w:type="dxa"/>
            <w:vAlign w:val="center"/>
          </w:tcPr>
          <w:p w:rsidR="00C71D6D" w:rsidRDefault="00DF144A">
            <w:pPr>
              <w:jc w:val="center"/>
            </w:pPr>
            <w:r>
              <w:rPr>
                <w:color w:val="000000"/>
                <w:sz w:val="24"/>
                <w:szCs w:val="24"/>
              </w:rPr>
              <w:t>9</w:t>
            </w:r>
          </w:p>
        </w:tc>
        <w:tc>
          <w:tcPr>
            <w:tcW w:w="1334" w:type="dxa"/>
            <w:vAlign w:val="center"/>
          </w:tcPr>
          <w:p w:rsidR="00C71D6D" w:rsidRDefault="00DF144A">
            <w:pPr>
              <w:jc w:val="center"/>
            </w:pPr>
            <w:r>
              <w:rPr>
                <w:color w:val="000000"/>
                <w:sz w:val="24"/>
                <w:szCs w:val="24"/>
              </w:rPr>
              <w:t>002027</w:t>
            </w:r>
          </w:p>
        </w:tc>
        <w:tc>
          <w:tcPr>
            <w:tcW w:w="1777" w:type="dxa"/>
            <w:vAlign w:val="center"/>
          </w:tcPr>
          <w:p w:rsidR="00C71D6D" w:rsidRDefault="00DF144A">
            <w:pPr>
              <w:jc w:val="center"/>
            </w:pPr>
            <w:r>
              <w:rPr>
                <w:color w:val="000000"/>
                <w:sz w:val="24"/>
                <w:szCs w:val="24"/>
              </w:rPr>
              <w:t>分众传媒</w:t>
            </w:r>
          </w:p>
        </w:tc>
        <w:tc>
          <w:tcPr>
            <w:tcW w:w="1334" w:type="dxa"/>
            <w:vAlign w:val="center"/>
          </w:tcPr>
          <w:p w:rsidR="00C71D6D" w:rsidRDefault="00DF144A">
            <w:pPr>
              <w:jc w:val="right"/>
            </w:pPr>
            <w:r>
              <w:rPr>
                <w:color w:val="000000"/>
                <w:sz w:val="24"/>
                <w:szCs w:val="24"/>
              </w:rPr>
              <w:t>1,829,600</w:t>
            </w:r>
          </w:p>
        </w:tc>
        <w:tc>
          <w:tcPr>
            <w:tcW w:w="1924" w:type="dxa"/>
            <w:vAlign w:val="center"/>
          </w:tcPr>
          <w:p w:rsidR="00C71D6D" w:rsidRDefault="00DF144A">
            <w:pPr>
              <w:jc w:val="right"/>
            </w:pPr>
            <w:r>
              <w:rPr>
                <w:color w:val="000000"/>
                <w:sz w:val="24"/>
                <w:szCs w:val="24"/>
              </w:rPr>
              <w:t>25,175,296.00</w:t>
            </w:r>
          </w:p>
        </w:tc>
        <w:tc>
          <w:tcPr>
            <w:tcW w:w="1644" w:type="dxa"/>
            <w:vAlign w:val="center"/>
          </w:tcPr>
          <w:p w:rsidR="00C71D6D" w:rsidRDefault="00DF144A">
            <w:pPr>
              <w:jc w:val="right"/>
            </w:pPr>
            <w:r>
              <w:rPr>
                <w:color w:val="000000"/>
                <w:sz w:val="24"/>
                <w:szCs w:val="24"/>
              </w:rPr>
              <w:t>3.06</w:t>
            </w:r>
          </w:p>
        </w:tc>
      </w:tr>
      <w:tr w:rsidR="00C71D6D">
        <w:trPr>
          <w:jc w:val="center"/>
        </w:trPr>
        <w:tc>
          <w:tcPr>
            <w:tcW w:w="855" w:type="dxa"/>
            <w:vAlign w:val="center"/>
          </w:tcPr>
          <w:p w:rsidR="00C71D6D" w:rsidRDefault="00DF144A">
            <w:pPr>
              <w:jc w:val="center"/>
            </w:pPr>
            <w:r>
              <w:rPr>
                <w:color w:val="000000"/>
                <w:sz w:val="24"/>
                <w:szCs w:val="24"/>
              </w:rPr>
              <w:t>10</w:t>
            </w:r>
          </w:p>
        </w:tc>
        <w:tc>
          <w:tcPr>
            <w:tcW w:w="1334" w:type="dxa"/>
            <w:vAlign w:val="center"/>
          </w:tcPr>
          <w:p w:rsidR="00C71D6D" w:rsidRDefault="00DF144A">
            <w:pPr>
              <w:jc w:val="center"/>
            </w:pPr>
            <w:r>
              <w:rPr>
                <w:color w:val="000000"/>
                <w:sz w:val="24"/>
                <w:szCs w:val="24"/>
              </w:rPr>
              <w:t>000002</w:t>
            </w:r>
          </w:p>
        </w:tc>
        <w:tc>
          <w:tcPr>
            <w:tcW w:w="1777" w:type="dxa"/>
            <w:vAlign w:val="center"/>
          </w:tcPr>
          <w:p w:rsidR="00C71D6D" w:rsidRDefault="00DF144A">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C71D6D" w:rsidRDefault="00DF144A">
            <w:pPr>
              <w:jc w:val="right"/>
            </w:pPr>
            <w:r>
              <w:rPr>
                <w:color w:val="000000"/>
                <w:sz w:val="24"/>
                <w:szCs w:val="24"/>
              </w:rPr>
              <w:t>993,200</w:t>
            </w:r>
          </w:p>
        </w:tc>
        <w:tc>
          <w:tcPr>
            <w:tcW w:w="1924" w:type="dxa"/>
            <w:vAlign w:val="center"/>
          </w:tcPr>
          <w:p w:rsidR="00C71D6D" w:rsidRDefault="00DF144A">
            <w:pPr>
              <w:jc w:val="right"/>
            </w:pPr>
            <w:r>
              <w:rPr>
                <w:color w:val="000000"/>
                <w:sz w:val="24"/>
                <w:szCs w:val="24"/>
              </w:rPr>
              <w:t>24,800,204.00</w:t>
            </w:r>
          </w:p>
        </w:tc>
        <w:tc>
          <w:tcPr>
            <w:tcW w:w="1644" w:type="dxa"/>
            <w:vAlign w:val="center"/>
          </w:tcPr>
          <w:p w:rsidR="00C71D6D" w:rsidRDefault="00DF144A">
            <w:pPr>
              <w:jc w:val="right"/>
            </w:pPr>
            <w:r>
              <w:rPr>
                <w:color w:val="000000"/>
                <w:sz w:val="24"/>
                <w:szCs w:val="24"/>
              </w:rPr>
              <w:t>3.01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71D6D">
        <w:trPr>
          <w:jc w:val="center"/>
        </w:trPr>
        <w:tc>
          <w:tcPr>
            <w:tcW w:w="850" w:type="dxa"/>
            <w:vAlign w:val="center"/>
          </w:tcPr>
          <w:p w:rsidR="00C71D6D" w:rsidRDefault="00DF144A">
            <w:pPr>
              <w:jc w:val="center"/>
            </w:pPr>
            <w:r>
              <w:rPr>
                <w:color w:val="000000"/>
                <w:sz w:val="24"/>
                <w:szCs w:val="24"/>
              </w:rPr>
              <w:t>1</w:t>
            </w:r>
          </w:p>
        </w:tc>
        <w:tc>
          <w:tcPr>
            <w:tcW w:w="1475" w:type="dxa"/>
            <w:vAlign w:val="center"/>
          </w:tcPr>
          <w:p w:rsidR="00C71D6D" w:rsidRDefault="00DF144A">
            <w:pPr>
              <w:jc w:val="center"/>
            </w:pPr>
            <w:r>
              <w:rPr>
                <w:color w:val="000000"/>
                <w:sz w:val="24"/>
                <w:szCs w:val="24"/>
              </w:rPr>
              <w:t>160308</w:t>
            </w:r>
          </w:p>
        </w:tc>
        <w:tc>
          <w:tcPr>
            <w:tcW w:w="1769" w:type="dxa"/>
            <w:vAlign w:val="center"/>
          </w:tcPr>
          <w:p w:rsidR="00C71D6D" w:rsidRDefault="00DF144A">
            <w:pPr>
              <w:jc w:val="center"/>
            </w:pPr>
            <w:r>
              <w:rPr>
                <w:color w:val="000000"/>
                <w:sz w:val="24"/>
                <w:szCs w:val="24"/>
              </w:rPr>
              <w:t>16</w:t>
            </w:r>
            <w:r>
              <w:rPr>
                <w:color w:val="000000"/>
                <w:sz w:val="24"/>
                <w:szCs w:val="24"/>
              </w:rPr>
              <w:t>进出</w:t>
            </w:r>
            <w:r>
              <w:rPr>
                <w:color w:val="000000"/>
                <w:sz w:val="24"/>
                <w:szCs w:val="24"/>
              </w:rPr>
              <w:t>08</w:t>
            </w:r>
          </w:p>
        </w:tc>
        <w:tc>
          <w:tcPr>
            <w:tcW w:w="1387" w:type="dxa"/>
            <w:vAlign w:val="center"/>
          </w:tcPr>
          <w:p w:rsidR="00C71D6D" w:rsidRDefault="00DF144A">
            <w:pPr>
              <w:jc w:val="right"/>
            </w:pPr>
            <w:r>
              <w:rPr>
                <w:color w:val="000000"/>
                <w:sz w:val="24"/>
                <w:szCs w:val="24"/>
              </w:rPr>
              <w:t>500,000</w:t>
            </w:r>
          </w:p>
        </w:tc>
        <w:tc>
          <w:tcPr>
            <w:tcW w:w="2150" w:type="dxa"/>
            <w:vAlign w:val="center"/>
          </w:tcPr>
          <w:p w:rsidR="00C71D6D" w:rsidRDefault="00DF144A">
            <w:pPr>
              <w:jc w:val="right"/>
            </w:pPr>
            <w:r>
              <w:rPr>
                <w:color w:val="000000"/>
                <w:sz w:val="24"/>
                <w:szCs w:val="24"/>
              </w:rPr>
              <w:t>49,960,000.00</w:t>
            </w:r>
          </w:p>
        </w:tc>
        <w:tc>
          <w:tcPr>
            <w:tcW w:w="1237" w:type="dxa"/>
            <w:vAlign w:val="center"/>
          </w:tcPr>
          <w:p w:rsidR="00C71D6D" w:rsidRDefault="00DF144A">
            <w:pPr>
              <w:jc w:val="right"/>
            </w:pPr>
            <w:r>
              <w:rPr>
                <w:color w:val="000000"/>
                <w:sz w:val="24"/>
                <w:szCs w:val="24"/>
              </w:rPr>
              <w:t>6.06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589,578.85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1,050,301.22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478,363.54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2,118,243.61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927,301,357.40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61,729,658.24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322,142,576.69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666,888,438.95</w:t>
            </w:r>
          </w:p>
        </w:tc>
      </w:tr>
    </w:tbl>
    <w:p w:rsidR="00C71D6D" w:rsidRDefault="00DF144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0374F1" w:rsidTr="00424D30">
        <w:tc>
          <w:tcPr>
            <w:tcW w:w="993" w:type="dxa"/>
            <w:vMerge w:val="restart"/>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投资者类别</w:t>
            </w:r>
            <w:r w:rsidRPr="00CA3615">
              <w:rPr>
                <w:rFonts w:ascii="宋体" w:hAnsi="宋体"/>
                <w:color w:val="000000"/>
                <w:kern w:val="0"/>
                <w:sz w:val="24"/>
                <w:szCs w:val="24"/>
              </w:rPr>
              <w:t xml:space="preserve">  </w:t>
            </w:r>
          </w:p>
        </w:tc>
        <w:tc>
          <w:tcPr>
            <w:tcW w:w="5670" w:type="dxa"/>
            <w:gridSpan w:val="5"/>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报告期内持有基金份额变化情况</w:t>
            </w:r>
          </w:p>
        </w:tc>
        <w:tc>
          <w:tcPr>
            <w:tcW w:w="2549" w:type="dxa"/>
            <w:gridSpan w:val="2"/>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报告期末持有基金情况</w:t>
            </w:r>
          </w:p>
        </w:tc>
      </w:tr>
      <w:tr w:rsidR="003C50AD" w:rsidRPr="000374F1" w:rsidTr="00424D30">
        <w:tc>
          <w:tcPr>
            <w:tcW w:w="993" w:type="dxa"/>
            <w:vMerge/>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序号</w:t>
            </w:r>
          </w:p>
        </w:tc>
        <w:tc>
          <w:tcPr>
            <w:tcW w:w="1843" w:type="dxa"/>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持有基金份额比例达到或者超过</w:t>
            </w:r>
            <w:r w:rsidRPr="00CA3615">
              <w:rPr>
                <w:rFonts w:ascii="宋体" w:hAnsi="宋体"/>
                <w:color w:val="000000"/>
                <w:kern w:val="0"/>
                <w:sz w:val="24"/>
                <w:szCs w:val="24"/>
              </w:rPr>
              <w:t>20%的时间区间</w:t>
            </w:r>
          </w:p>
        </w:tc>
        <w:tc>
          <w:tcPr>
            <w:tcW w:w="851" w:type="dxa"/>
            <w:vAlign w:val="center"/>
          </w:tcPr>
          <w:p w:rsidR="003C50AD" w:rsidRPr="00CA3615" w:rsidRDefault="003C50AD" w:rsidP="00424D30">
            <w:pPr>
              <w:widowControl/>
              <w:jc w:val="center"/>
              <w:rPr>
                <w:rFonts w:ascii="宋体" w:hAnsi="宋体"/>
                <w:b/>
                <w:bCs/>
                <w:color w:val="000000"/>
                <w:kern w:val="0"/>
                <w:sz w:val="24"/>
                <w:szCs w:val="24"/>
              </w:rPr>
            </w:pPr>
            <w:r w:rsidRPr="00CA3615">
              <w:rPr>
                <w:rFonts w:ascii="宋体" w:hAnsi="宋体" w:hint="eastAsia"/>
                <w:color w:val="000000"/>
                <w:kern w:val="0"/>
                <w:sz w:val="24"/>
                <w:szCs w:val="24"/>
              </w:rPr>
              <w:t>期初份额</w:t>
            </w:r>
          </w:p>
        </w:tc>
        <w:tc>
          <w:tcPr>
            <w:tcW w:w="850" w:type="dxa"/>
            <w:vAlign w:val="center"/>
          </w:tcPr>
          <w:p w:rsidR="003C50AD" w:rsidRPr="00CA3615" w:rsidRDefault="003C50AD" w:rsidP="00424D30">
            <w:pPr>
              <w:widowControl/>
              <w:jc w:val="center"/>
              <w:rPr>
                <w:rFonts w:ascii="宋体" w:hAnsi="宋体"/>
                <w:b/>
                <w:bCs/>
                <w:color w:val="000000"/>
                <w:kern w:val="0"/>
                <w:sz w:val="24"/>
                <w:szCs w:val="24"/>
              </w:rPr>
            </w:pPr>
            <w:r w:rsidRPr="00CA3615">
              <w:rPr>
                <w:rFonts w:ascii="宋体" w:hAnsi="宋体" w:hint="eastAsia"/>
                <w:color w:val="000000"/>
                <w:kern w:val="0"/>
                <w:sz w:val="24"/>
                <w:szCs w:val="24"/>
              </w:rPr>
              <w:t>申购份额</w:t>
            </w:r>
          </w:p>
        </w:tc>
        <w:tc>
          <w:tcPr>
            <w:tcW w:w="1134" w:type="dxa"/>
            <w:vAlign w:val="center"/>
          </w:tcPr>
          <w:p w:rsidR="003C50AD" w:rsidRPr="00CA3615" w:rsidRDefault="003C50AD" w:rsidP="00424D30">
            <w:pPr>
              <w:widowControl/>
              <w:jc w:val="center"/>
              <w:rPr>
                <w:rFonts w:ascii="宋体" w:hAnsi="宋体"/>
                <w:b/>
                <w:bCs/>
                <w:color w:val="000000"/>
                <w:kern w:val="0"/>
                <w:sz w:val="24"/>
                <w:szCs w:val="24"/>
              </w:rPr>
            </w:pPr>
            <w:r w:rsidRPr="00CA3615">
              <w:rPr>
                <w:rFonts w:ascii="宋体" w:hAnsi="宋体" w:hint="eastAsia"/>
                <w:color w:val="000000"/>
                <w:kern w:val="0"/>
                <w:sz w:val="24"/>
                <w:szCs w:val="24"/>
              </w:rPr>
              <w:t>赎回份额</w:t>
            </w:r>
          </w:p>
        </w:tc>
        <w:tc>
          <w:tcPr>
            <w:tcW w:w="1419" w:type="dxa"/>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持有份额</w:t>
            </w:r>
          </w:p>
        </w:tc>
        <w:tc>
          <w:tcPr>
            <w:tcW w:w="1130" w:type="dxa"/>
            <w:vAlign w:val="center"/>
          </w:tcPr>
          <w:p w:rsidR="003C50AD" w:rsidRPr="00CA3615" w:rsidRDefault="003C50AD" w:rsidP="00424D30">
            <w:pPr>
              <w:autoSpaceDE w:val="0"/>
              <w:autoSpaceDN w:val="0"/>
              <w:adjustRightInd w:val="0"/>
              <w:jc w:val="center"/>
              <w:rPr>
                <w:rFonts w:ascii="宋体" w:hAnsi="宋体"/>
                <w:b/>
                <w:bCs/>
                <w:color w:val="000000"/>
                <w:kern w:val="0"/>
                <w:sz w:val="24"/>
                <w:szCs w:val="24"/>
              </w:rPr>
            </w:pPr>
            <w:r w:rsidRPr="00CA3615">
              <w:rPr>
                <w:rFonts w:ascii="宋体" w:hAnsi="宋体" w:hint="eastAsia"/>
                <w:color w:val="000000"/>
                <w:kern w:val="0"/>
                <w:sz w:val="24"/>
                <w:szCs w:val="24"/>
              </w:rPr>
              <w:t>份额占比</w:t>
            </w:r>
          </w:p>
        </w:tc>
      </w:tr>
      <w:tr w:rsidR="00C71D6D" w:rsidRPr="000374F1">
        <w:tc>
          <w:tcPr>
            <w:tcW w:w="993" w:type="dxa"/>
          </w:tcPr>
          <w:p w:rsidR="00C71D6D" w:rsidRPr="00CA3615" w:rsidRDefault="00C71D6D">
            <w:pPr>
              <w:rPr>
                <w:sz w:val="24"/>
                <w:szCs w:val="24"/>
              </w:rPr>
            </w:pPr>
          </w:p>
          <w:p w:rsidR="00C71D6D" w:rsidRPr="00CA3615" w:rsidRDefault="00DF144A">
            <w:pPr>
              <w:rPr>
                <w:sz w:val="24"/>
                <w:szCs w:val="24"/>
              </w:rPr>
            </w:pPr>
            <w:r w:rsidRPr="00CA3615">
              <w:rPr>
                <w:rFonts w:ascii="宋体" w:hAnsi="宋体" w:hint="eastAsia"/>
                <w:bCs/>
                <w:color w:val="000000"/>
                <w:kern w:val="0"/>
                <w:sz w:val="24"/>
                <w:szCs w:val="24"/>
              </w:rPr>
              <w:t>机构</w:t>
            </w:r>
          </w:p>
        </w:tc>
        <w:tc>
          <w:tcPr>
            <w:tcW w:w="992" w:type="dxa"/>
            <w:vAlign w:val="center"/>
          </w:tcPr>
          <w:p w:rsidR="00C71D6D" w:rsidRPr="00CA3615" w:rsidRDefault="00DF144A">
            <w:pPr>
              <w:jc w:val="center"/>
              <w:rPr>
                <w:sz w:val="24"/>
                <w:szCs w:val="24"/>
              </w:rPr>
            </w:pPr>
            <w:r w:rsidRPr="00CA3615">
              <w:rPr>
                <w:rFonts w:ascii="宋体" w:hAnsi="宋体"/>
                <w:color w:val="000000"/>
                <w:kern w:val="0"/>
                <w:sz w:val="24"/>
                <w:szCs w:val="24"/>
              </w:rPr>
              <w:t>1</w:t>
            </w:r>
          </w:p>
        </w:tc>
        <w:tc>
          <w:tcPr>
            <w:tcW w:w="1843" w:type="dxa"/>
            <w:vAlign w:val="center"/>
          </w:tcPr>
          <w:p w:rsidR="00C71D6D" w:rsidRPr="00CA3615" w:rsidRDefault="00DF144A">
            <w:pPr>
              <w:jc w:val="center"/>
              <w:rPr>
                <w:sz w:val="24"/>
                <w:szCs w:val="24"/>
              </w:rPr>
            </w:pPr>
            <w:r w:rsidRPr="00CA3615">
              <w:rPr>
                <w:rFonts w:ascii="宋体" w:hAnsi="宋体"/>
                <w:color w:val="000000"/>
                <w:kern w:val="0"/>
                <w:sz w:val="24"/>
                <w:szCs w:val="24"/>
              </w:rPr>
              <w:t>2017/4/1-2017/6/30</w:t>
            </w:r>
          </w:p>
        </w:tc>
        <w:tc>
          <w:tcPr>
            <w:tcW w:w="851" w:type="dxa"/>
            <w:vAlign w:val="center"/>
          </w:tcPr>
          <w:p w:rsidR="00C71D6D" w:rsidRPr="00CA3615" w:rsidRDefault="00DF144A">
            <w:pPr>
              <w:jc w:val="center"/>
              <w:rPr>
                <w:sz w:val="24"/>
                <w:szCs w:val="24"/>
              </w:rPr>
            </w:pPr>
            <w:r w:rsidRPr="00CA3615">
              <w:rPr>
                <w:rFonts w:ascii="宋体" w:hAnsi="宋体"/>
                <w:color w:val="000000"/>
                <w:kern w:val="0"/>
                <w:sz w:val="24"/>
                <w:szCs w:val="24"/>
              </w:rPr>
              <w:t>301,405,223.59</w:t>
            </w:r>
          </w:p>
        </w:tc>
        <w:tc>
          <w:tcPr>
            <w:tcW w:w="850" w:type="dxa"/>
            <w:vAlign w:val="center"/>
          </w:tcPr>
          <w:p w:rsidR="00C71D6D" w:rsidRPr="00CA3615" w:rsidRDefault="00DF144A">
            <w:pPr>
              <w:jc w:val="center"/>
              <w:rPr>
                <w:sz w:val="24"/>
                <w:szCs w:val="24"/>
              </w:rPr>
            </w:pPr>
            <w:r w:rsidRPr="00CA3615">
              <w:rPr>
                <w:rFonts w:ascii="宋体" w:hAnsi="宋体"/>
                <w:color w:val="000000"/>
                <w:kern w:val="0"/>
                <w:sz w:val="24"/>
                <w:szCs w:val="24"/>
              </w:rPr>
              <w:t>-</w:t>
            </w:r>
          </w:p>
        </w:tc>
        <w:tc>
          <w:tcPr>
            <w:tcW w:w="1134" w:type="dxa"/>
            <w:vAlign w:val="center"/>
          </w:tcPr>
          <w:p w:rsidR="00C71D6D" w:rsidRPr="00CA3615" w:rsidRDefault="00DF144A">
            <w:pPr>
              <w:jc w:val="center"/>
              <w:rPr>
                <w:sz w:val="24"/>
                <w:szCs w:val="24"/>
              </w:rPr>
            </w:pPr>
            <w:r w:rsidRPr="00CA3615">
              <w:rPr>
                <w:rFonts w:ascii="宋体" w:hAnsi="宋体"/>
                <w:color w:val="000000"/>
                <w:kern w:val="0"/>
                <w:sz w:val="24"/>
                <w:szCs w:val="24"/>
              </w:rPr>
              <w:t>-</w:t>
            </w:r>
          </w:p>
        </w:tc>
        <w:tc>
          <w:tcPr>
            <w:tcW w:w="1419" w:type="dxa"/>
            <w:vAlign w:val="center"/>
          </w:tcPr>
          <w:p w:rsidR="00C71D6D" w:rsidRPr="00CA3615" w:rsidRDefault="00DF144A">
            <w:pPr>
              <w:jc w:val="center"/>
              <w:rPr>
                <w:sz w:val="24"/>
                <w:szCs w:val="24"/>
              </w:rPr>
            </w:pPr>
            <w:r w:rsidRPr="00CA3615">
              <w:rPr>
                <w:rFonts w:ascii="宋体" w:hAnsi="宋体"/>
                <w:color w:val="000000"/>
                <w:kern w:val="0"/>
                <w:sz w:val="24"/>
                <w:szCs w:val="24"/>
              </w:rPr>
              <w:t>301,405,223.59</w:t>
            </w:r>
          </w:p>
        </w:tc>
        <w:tc>
          <w:tcPr>
            <w:tcW w:w="1130" w:type="dxa"/>
            <w:vAlign w:val="center"/>
          </w:tcPr>
          <w:p w:rsidR="00C71D6D" w:rsidRPr="00CA3615" w:rsidRDefault="00DF144A">
            <w:pPr>
              <w:jc w:val="center"/>
              <w:rPr>
                <w:sz w:val="24"/>
                <w:szCs w:val="24"/>
              </w:rPr>
            </w:pPr>
            <w:r w:rsidRPr="00CA3615">
              <w:rPr>
                <w:rFonts w:ascii="宋体" w:hAnsi="宋体"/>
                <w:color w:val="000000"/>
                <w:kern w:val="0"/>
                <w:sz w:val="24"/>
                <w:szCs w:val="24"/>
              </w:rPr>
              <w:t>45.20%</w:t>
            </w:r>
          </w:p>
        </w:tc>
      </w:tr>
    </w:tbl>
    <w:p w:rsidR="003C50AD" w:rsidRPr="00CA3615" w:rsidRDefault="003C50AD" w:rsidP="003C50AD">
      <w:pPr>
        <w:autoSpaceDE w:val="0"/>
        <w:autoSpaceDN w:val="0"/>
        <w:adjustRightInd w:val="0"/>
        <w:spacing w:line="360" w:lineRule="auto"/>
        <w:jc w:val="left"/>
        <w:rPr>
          <w:rFonts w:ascii="宋体" w:hAnsi="宋体"/>
          <w:bCs/>
          <w:color w:val="000000"/>
          <w:kern w:val="0"/>
          <w:sz w:val="24"/>
          <w:szCs w:val="24"/>
        </w:rPr>
      </w:pPr>
      <w:r w:rsidRPr="00CA3615">
        <w:rPr>
          <w:rFonts w:ascii="宋体" w:hAnsi="宋体" w:hint="eastAsia"/>
          <w:bCs/>
          <w:color w:val="000000"/>
          <w:kern w:val="0"/>
          <w:sz w:val="24"/>
          <w:szCs w:val="24"/>
        </w:rPr>
        <w:t>注：本基金本报告期内出现单一投资者持有基金份额比例超过基金总份额</w:t>
      </w:r>
      <w:r w:rsidRPr="00CA3615">
        <w:rPr>
          <w:rFonts w:ascii="宋体" w:hAnsi="宋体"/>
          <w:bCs/>
          <w:color w:val="000000"/>
          <w:kern w:val="0"/>
          <w:sz w:val="24"/>
          <w:szCs w:val="24"/>
        </w:rPr>
        <w:t>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71D6D" w:rsidRDefault="00DF144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C71D6D" w:rsidRDefault="00DF144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C71D6D" w:rsidRDefault="00DF144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C71D6D" w:rsidRDefault="00DF144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71D6D" w:rsidRDefault="00DF144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71D6D" w:rsidRDefault="00DF144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C8" w:rsidRDefault="00E735C8" w:rsidP="00876D65">
      <w:r>
        <w:separator/>
      </w:r>
    </w:p>
  </w:endnote>
  <w:endnote w:type="continuationSeparator" w:id="0">
    <w:p w:rsidR="00E735C8" w:rsidRDefault="00E735C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A3615">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A3615">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C8" w:rsidRDefault="00E735C8" w:rsidP="00876D65">
      <w:r>
        <w:separator/>
      </w:r>
    </w:p>
  </w:footnote>
  <w:footnote w:type="continuationSeparator" w:id="0">
    <w:p w:rsidR="00E735C8" w:rsidRDefault="00E735C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74F1"/>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227E"/>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44EB"/>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1D6D"/>
    <w:rsid w:val="00C72F5B"/>
    <w:rsid w:val="00C73BCD"/>
    <w:rsid w:val="00C74E5E"/>
    <w:rsid w:val="00C77AEF"/>
    <w:rsid w:val="00C85A6E"/>
    <w:rsid w:val="00C87129"/>
    <w:rsid w:val="00C91E1B"/>
    <w:rsid w:val="00C9613D"/>
    <w:rsid w:val="00C9690F"/>
    <w:rsid w:val="00CA3615"/>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144A"/>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735C8"/>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74EF0-AC0B-4D09-B169-272019F4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33B4-B704-45D8-8803-9217BB95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571</cp:revision>
  <dcterms:created xsi:type="dcterms:W3CDTF">2012-10-16T06:07:00Z</dcterms:created>
  <dcterms:modified xsi:type="dcterms:W3CDTF">2017-07-18T07:17:00Z</dcterms:modified>
</cp:coreProperties>
</file>