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3219E" w:rsidRDefault="00625CB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578,970,267.99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F1190" w:rsidRPr="00414345" w:rsidTr="009F119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F1190" w:rsidRPr="00414345" w:rsidTr="009F11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5,455,150.71</w:t>
            </w:r>
          </w:p>
        </w:tc>
      </w:tr>
      <w:tr w:rsidR="009F1190" w:rsidRPr="00414345" w:rsidTr="009F11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502,483.77</w:t>
            </w:r>
          </w:p>
        </w:tc>
      </w:tr>
      <w:tr w:rsidR="009F1190" w:rsidRPr="00414345" w:rsidTr="009F11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0.0008</w:t>
            </w:r>
          </w:p>
        </w:tc>
      </w:tr>
      <w:tr w:rsidR="009F1190" w:rsidRPr="00414345" w:rsidTr="009F11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585,233,464.26</w:t>
            </w:r>
          </w:p>
        </w:tc>
      </w:tr>
      <w:tr w:rsidR="009F1190" w:rsidRPr="00414345" w:rsidTr="009F119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1.011</w:t>
            </w:r>
          </w:p>
        </w:tc>
      </w:tr>
    </w:tbl>
    <w:p w:rsidR="00F3219E" w:rsidRDefault="00625CB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3219E">
        <w:trPr>
          <w:jc w:val="center"/>
        </w:trPr>
        <w:tc>
          <w:tcPr>
            <w:tcW w:w="1701" w:type="dxa"/>
            <w:vAlign w:val="center"/>
          </w:tcPr>
          <w:p w:rsidR="00F3219E" w:rsidRDefault="00625CBA">
            <w:pPr>
              <w:jc w:val="left"/>
            </w:pPr>
            <w:r>
              <w:rPr>
                <w:color w:val="000000"/>
                <w:sz w:val="24"/>
                <w:szCs w:val="24"/>
              </w:rPr>
              <w:t>过去三个月</w:t>
            </w:r>
          </w:p>
        </w:tc>
        <w:tc>
          <w:tcPr>
            <w:tcW w:w="1045" w:type="dxa"/>
            <w:vAlign w:val="center"/>
          </w:tcPr>
          <w:p w:rsidR="00F3219E" w:rsidRDefault="002105E0">
            <w:pPr>
              <w:jc w:val="center"/>
            </w:pPr>
            <w:r>
              <w:rPr>
                <w:color w:val="000000"/>
                <w:sz w:val="24"/>
                <w:szCs w:val="24"/>
              </w:rPr>
              <w:t>-</w:t>
            </w:r>
            <w:r w:rsidR="00625CBA">
              <w:rPr>
                <w:color w:val="000000"/>
                <w:sz w:val="24"/>
                <w:szCs w:val="24"/>
              </w:rPr>
              <w:t>0.30%</w:t>
            </w:r>
          </w:p>
        </w:tc>
        <w:tc>
          <w:tcPr>
            <w:tcW w:w="1344" w:type="dxa"/>
            <w:vAlign w:val="center"/>
          </w:tcPr>
          <w:p w:rsidR="00F3219E" w:rsidRDefault="00625CBA">
            <w:pPr>
              <w:jc w:val="center"/>
            </w:pPr>
            <w:r>
              <w:rPr>
                <w:color w:val="000000"/>
                <w:sz w:val="24"/>
                <w:szCs w:val="24"/>
              </w:rPr>
              <w:t>0.76%</w:t>
            </w:r>
          </w:p>
        </w:tc>
        <w:tc>
          <w:tcPr>
            <w:tcW w:w="1194" w:type="dxa"/>
            <w:vAlign w:val="center"/>
          </w:tcPr>
          <w:p w:rsidR="00F3219E" w:rsidRDefault="00625CBA">
            <w:pPr>
              <w:jc w:val="center"/>
            </w:pPr>
            <w:r>
              <w:rPr>
                <w:color w:val="000000"/>
                <w:sz w:val="24"/>
                <w:szCs w:val="24"/>
              </w:rPr>
              <w:t>3.75%</w:t>
            </w:r>
          </w:p>
        </w:tc>
        <w:tc>
          <w:tcPr>
            <w:tcW w:w="1492" w:type="dxa"/>
            <w:vAlign w:val="center"/>
          </w:tcPr>
          <w:p w:rsidR="00F3219E" w:rsidRDefault="00625CBA">
            <w:pPr>
              <w:jc w:val="center"/>
            </w:pPr>
            <w:r>
              <w:rPr>
                <w:color w:val="000000"/>
                <w:sz w:val="24"/>
                <w:szCs w:val="24"/>
              </w:rPr>
              <w:t>0.38%</w:t>
            </w:r>
          </w:p>
        </w:tc>
        <w:tc>
          <w:tcPr>
            <w:tcW w:w="1194" w:type="dxa"/>
            <w:vAlign w:val="center"/>
          </w:tcPr>
          <w:p w:rsidR="00F3219E" w:rsidRDefault="00625CBA">
            <w:pPr>
              <w:jc w:val="center"/>
            </w:pPr>
            <w:r>
              <w:rPr>
                <w:color w:val="000000"/>
                <w:sz w:val="24"/>
                <w:szCs w:val="24"/>
              </w:rPr>
              <w:t>-4.05%</w:t>
            </w:r>
          </w:p>
        </w:tc>
        <w:tc>
          <w:tcPr>
            <w:tcW w:w="898" w:type="dxa"/>
            <w:vAlign w:val="center"/>
          </w:tcPr>
          <w:p w:rsidR="00F3219E" w:rsidRDefault="00625CBA">
            <w:pPr>
              <w:jc w:val="center"/>
            </w:pPr>
            <w:r>
              <w:rPr>
                <w:color w:val="000000"/>
                <w:sz w:val="24"/>
                <w:szCs w:val="24"/>
              </w:rPr>
              <w:t>0.38%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3219E">
        <w:trPr>
          <w:jc w:val="center"/>
        </w:trPr>
        <w:tc>
          <w:tcPr>
            <w:tcW w:w="846" w:type="dxa"/>
            <w:vAlign w:val="center"/>
          </w:tcPr>
          <w:p w:rsidR="00F3219E" w:rsidRDefault="00625CBA">
            <w:pPr>
              <w:jc w:val="center"/>
            </w:pPr>
            <w:r>
              <w:rPr>
                <w:color w:val="000000"/>
                <w:sz w:val="24"/>
                <w:szCs w:val="24"/>
              </w:rPr>
              <w:t>沈楠</w:t>
            </w:r>
          </w:p>
        </w:tc>
        <w:tc>
          <w:tcPr>
            <w:tcW w:w="845" w:type="dxa"/>
            <w:vAlign w:val="center"/>
          </w:tcPr>
          <w:p w:rsidR="00F3219E" w:rsidRDefault="00625CBA">
            <w:pPr>
              <w:jc w:val="center"/>
            </w:pPr>
            <w:r>
              <w:rPr>
                <w:color w:val="000000"/>
                <w:sz w:val="24"/>
                <w:szCs w:val="24"/>
              </w:rPr>
              <w:t>交银主题优选混合、交银国企改革灵活配置</w:t>
            </w:r>
            <w:r>
              <w:rPr>
                <w:color w:val="000000"/>
                <w:sz w:val="24"/>
                <w:szCs w:val="24"/>
              </w:rPr>
              <w:lastRenderedPageBreak/>
              <w:t>混合的基金经理</w:t>
            </w:r>
          </w:p>
        </w:tc>
        <w:tc>
          <w:tcPr>
            <w:tcW w:w="1549" w:type="dxa"/>
            <w:vAlign w:val="center"/>
          </w:tcPr>
          <w:p w:rsidR="00F3219E" w:rsidRDefault="00625CBA">
            <w:pPr>
              <w:jc w:val="center"/>
            </w:pPr>
            <w:r>
              <w:rPr>
                <w:color w:val="000000"/>
                <w:sz w:val="24"/>
                <w:szCs w:val="24"/>
              </w:rPr>
              <w:lastRenderedPageBreak/>
              <w:t>2015-05-05</w:t>
            </w:r>
          </w:p>
        </w:tc>
        <w:tc>
          <w:tcPr>
            <w:tcW w:w="1548" w:type="dxa"/>
            <w:vAlign w:val="center"/>
          </w:tcPr>
          <w:p w:rsidR="00F3219E" w:rsidRDefault="00625CBA">
            <w:pPr>
              <w:jc w:val="center"/>
            </w:pPr>
            <w:r>
              <w:rPr>
                <w:color w:val="000000"/>
                <w:sz w:val="24"/>
                <w:szCs w:val="24"/>
              </w:rPr>
              <w:t>-</w:t>
            </w:r>
          </w:p>
        </w:tc>
        <w:tc>
          <w:tcPr>
            <w:tcW w:w="1407" w:type="dxa"/>
            <w:vAlign w:val="center"/>
          </w:tcPr>
          <w:p w:rsidR="00F3219E" w:rsidRDefault="00625CBA">
            <w:pPr>
              <w:jc w:val="center"/>
            </w:pPr>
            <w:r>
              <w:rPr>
                <w:color w:val="000000"/>
                <w:sz w:val="24"/>
                <w:szCs w:val="24"/>
              </w:rPr>
              <w:t>8</w:t>
            </w:r>
            <w:r>
              <w:rPr>
                <w:color w:val="000000"/>
                <w:sz w:val="24"/>
                <w:szCs w:val="24"/>
              </w:rPr>
              <w:t>年</w:t>
            </w:r>
          </w:p>
        </w:tc>
        <w:tc>
          <w:tcPr>
            <w:tcW w:w="2673" w:type="dxa"/>
            <w:vAlign w:val="center"/>
          </w:tcPr>
          <w:p w:rsidR="00F3219E" w:rsidRDefault="00625CBA">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3219E" w:rsidRDefault="00625CB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3219E" w:rsidRDefault="00625CB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3219E" w:rsidRDefault="00625CB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F3219E" w:rsidRDefault="00625CBA">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F3219E" w:rsidRDefault="00F3219E">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3219E" w:rsidRDefault="00625CBA">
      <w:pPr>
        <w:spacing w:before="29" w:line="288" w:lineRule="auto"/>
        <w:ind w:firstLineChars="200" w:firstLine="480"/>
        <w:rPr>
          <w:color w:val="000000"/>
          <w:sz w:val="24"/>
          <w:szCs w:val="24"/>
        </w:rPr>
      </w:pPr>
      <w:r>
        <w:rPr>
          <w:color w:val="000000"/>
          <w:sz w:val="24"/>
          <w:szCs w:val="24"/>
        </w:rPr>
        <w:t>2017</w:t>
      </w:r>
      <w:r>
        <w:rPr>
          <w:color w:val="000000"/>
          <w:sz w:val="24"/>
          <w:szCs w:val="24"/>
        </w:rPr>
        <w:t>年二季度，国内经济略有企稳，人民币重回升值态势，整体全球主要经济体包括中国的宏观波动都较小。市场焦点主要集中在金融监管的加强以及去杠杆进程的延续，这对国内流动性产生一定扰动。我们认为伴随联储加息落地，以及国内金融监管取得阶段性成果，中美利率水平在三季度预计难以持续上行，这或将对</w:t>
      </w:r>
      <w:r>
        <w:rPr>
          <w:color w:val="000000"/>
          <w:sz w:val="24"/>
          <w:szCs w:val="24"/>
        </w:rPr>
        <w:t>A</w:t>
      </w:r>
      <w:r>
        <w:rPr>
          <w:color w:val="000000"/>
          <w:sz w:val="24"/>
          <w:szCs w:val="24"/>
        </w:rPr>
        <w:t>股市场产生一定正面作用。二季度，以白酒、家电、消费电子为主的白马消费股以及各行业龙头个股表现亮眼。</w:t>
      </w:r>
    </w:p>
    <w:p w:rsidR="00F3219E" w:rsidRDefault="00625CBA">
      <w:pPr>
        <w:spacing w:before="29" w:line="288" w:lineRule="auto"/>
        <w:ind w:firstLineChars="200" w:firstLine="480"/>
        <w:rPr>
          <w:color w:val="000000"/>
          <w:sz w:val="24"/>
          <w:szCs w:val="24"/>
        </w:rPr>
      </w:pPr>
      <w:r>
        <w:rPr>
          <w:color w:val="000000"/>
          <w:sz w:val="24"/>
          <w:szCs w:val="24"/>
        </w:rPr>
        <w:t>报告期内，本基金配置以稳定成长及主题轮动为主，并适当参与了国企改革的投资机会，但与市场风格差异较大，因此整体净值超额收益受到影响。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展望未来半年，我们认为在目前盈利慢牛背景下，随着利率水平到达阶段性高位，市场整体估值有望迎来修复，但预计仍更多呈现结构性机会。经历市场调整后我们对</w:t>
      </w:r>
      <w:r w:rsidRPr="00414345">
        <w:rPr>
          <w:color w:val="000000"/>
          <w:sz w:val="24"/>
          <w:szCs w:val="24"/>
        </w:rPr>
        <w:t>A</w:t>
      </w:r>
      <w:r w:rsidRPr="00414345">
        <w:rPr>
          <w:color w:val="000000"/>
          <w:sz w:val="24"/>
          <w:szCs w:val="24"/>
        </w:rPr>
        <w:t>股市场保持乐观，并会积极参与部分消费及成长行业和公司的投资机会，同时关注一线龙头向二、三线龙头的扩散机会。本基金将加大稳定细分行业拥有较强竞争壁垒的个股配置，同时关注部分估值接近历史低位的成长股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1.011</w:t>
      </w:r>
      <w:r w:rsidRPr="00414345">
        <w:rPr>
          <w:color w:val="000000"/>
          <w:sz w:val="24"/>
          <w:szCs w:val="24"/>
        </w:rPr>
        <w:t>元，本报告期份额净值增长率为</w:t>
      </w:r>
      <w:r w:rsidR="005A0275">
        <w:rPr>
          <w:rFonts w:hint="eastAsia"/>
          <w:color w:val="000000"/>
          <w:sz w:val="24"/>
          <w:szCs w:val="24"/>
        </w:rPr>
        <w:t>-</w:t>
      </w:r>
      <w:r w:rsidRPr="00414345">
        <w:rPr>
          <w:color w:val="000000"/>
          <w:sz w:val="24"/>
          <w:szCs w:val="24"/>
        </w:rPr>
        <w:t>0.3%</w:t>
      </w:r>
      <w:r w:rsidRPr="00414345">
        <w:rPr>
          <w:color w:val="000000"/>
          <w:sz w:val="24"/>
          <w:szCs w:val="24"/>
        </w:rPr>
        <w:t>，同期业绩比较基准增长率为</w:t>
      </w:r>
      <w:r w:rsidRPr="00414345">
        <w:rPr>
          <w:color w:val="000000"/>
          <w:sz w:val="24"/>
          <w:szCs w:val="24"/>
        </w:rPr>
        <w:t>3.75%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457,423,502.97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457,423,502.97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50,000,145.00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8.48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80,571,100.26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1,513,976.37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589,508,724.60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13,262,144.30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10,959,869.00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239,766,782.98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25,463,340.00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17,027,879.28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37,976,560.20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17,816,181.00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13,209,092.77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14,272,214.23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11,267,809.17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5,721,983.66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10,463,654.28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2,884,785.20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37,331,206.90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457,423,502.97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3219E">
        <w:trPr>
          <w:jc w:val="center"/>
        </w:trPr>
        <w:tc>
          <w:tcPr>
            <w:tcW w:w="855" w:type="dxa"/>
            <w:vAlign w:val="center"/>
          </w:tcPr>
          <w:p w:rsidR="00F3219E" w:rsidRDefault="00625CBA">
            <w:pPr>
              <w:jc w:val="center"/>
            </w:pPr>
            <w:r>
              <w:rPr>
                <w:color w:val="000000"/>
                <w:sz w:val="24"/>
                <w:szCs w:val="24"/>
              </w:rPr>
              <w:t>1</w:t>
            </w:r>
          </w:p>
        </w:tc>
        <w:tc>
          <w:tcPr>
            <w:tcW w:w="1334" w:type="dxa"/>
            <w:vAlign w:val="center"/>
          </w:tcPr>
          <w:p w:rsidR="00F3219E" w:rsidRDefault="00625CBA">
            <w:pPr>
              <w:jc w:val="center"/>
            </w:pPr>
            <w:r>
              <w:rPr>
                <w:color w:val="000000"/>
                <w:sz w:val="24"/>
                <w:szCs w:val="24"/>
              </w:rPr>
              <w:t>002202</w:t>
            </w:r>
          </w:p>
        </w:tc>
        <w:tc>
          <w:tcPr>
            <w:tcW w:w="1777" w:type="dxa"/>
            <w:vAlign w:val="center"/>
          </w:tcPr>
          <w:p w:rsidR="00F3219E" w:rsidRDefault="00625CBA">
            <w:pPr>
              <w:jc w:val="center"/>
            </w:pPr>
            <w:r>
              <w:rPr>
                <w:color w:val="000000"/>
                <w:sz w:val="24"/>
                <w:szCs w:val="24"/>
              </w:rPr>
              <w:t>金风科技</w:t>
            </w:r>
          </w:p>
        </w:tc>
        <w:tc>
          <w:tcPr>
            <w:tcW w:w="1334" w:type="dxa"/>
            <w:vAlign w:val="center"/>
          </w:tcPr>
          <w:p w:rsidR="00F3219E" w:rsidRDefault="00625CBA">
            <w:pPr>
              <w:jc w:val="right"/>
            </w:pPr>
            <w:r>
              <w:rPr>
                <w:color w:val="000000"/>
                <w:sz w:val="24"/>
                <w:szCs w:val="24"/>
              </w:rPr>
              <w:t>1,548,036</w:t>
            </w:r>
          </w:p>
        </w:tc>
        <w:tc>
          <w:tcPr>
            <w:tcW w:w="1924" w:type="dxa"/>
            <w:vAlign w:val="center"/>
          </w:tcPr>
          <w:p w:rsidR="00F3219E" w:rsidRDefault="00625CBA">
            <w:pPr>
              <w:jc w:val="right"/>
            </w:pPr>
            <w:r>
              <w:rPr>
                <w:color w:val="000000"/>
                <w:sz w:val="24"/>
                <w:szCs w:val="24"/>
              </w:rPr>
              <w:t>23,948,116.92</w:t>
            </w:r>
          </w:p>
        </w:tc>
        <w:tc>
          <w:tcPr>
            <w:tcW w:w="1644" w:type="dxa"/>
            <w:vAlign w:val="center"/>
          </w:tcPr>
          <w:p w:rsidR="00F3219E" w:rsidRDefault="00625CBA">
            <w:pPr>
              <w:jc w:val="right"/>
            </w:pPr>
            <w:r>
              <w:rPr>
                <w:color w:val="000000"/>
                <w:sz w:val="24"/>
                <w:szCs w:val="24"/>
              </w:rPr>
              <w:t>4.09</w:t>
            </w:r>
          </w:p>
        </w:tc>
      </w:tr>
      <w:tr w:rsidR="00F3219E">
        <w:trPr>
          <w:jc w:val="center"/>
        </w:trPr>
        <w:tc>
          <w:tcPr>
            <w:tcW w:w="855" w:type="dxa"/>
            <w:vAlign w:val="center"/>
          </w:tcPr>
          <w:p w:rsidR="00F3219E" w:rsidRDefault="00625CBA">
            <w:pPr>
              <w:jc w:val="center"/>
            </w:pPr>
            <w:r>
              <w:rPr>
                <w:color w:val="000000"/>
                <w:sz w:val="24"/>
                <w:szCs w:val="24"/>
              </w:rPr>
              <w:t>2</w:t>
            </w:r>
          </w:p>
        </w:tc>
        <w:tc>
          <w:tcPr>
            <w:tcW w:w="1334" w:type="dxa"/>
            <w:vAlign w:val="center"/>
          </w:tcPr>
          <w:p w:rsidR="00F3219E" w:rsidRDefault="00625CBA">
            <w:pPr>
              <w:jc w:val="center"/>
            </w:pPr>
            <w:r>
              <w:rPr>
                <w:color w:val="000000"/>
                <w:sz w:val="24"/>
                <w:szCs w:val="24"/>
              </w:rPr>
              <w:t>000949</w:t>
            </w:r>
          </w:p>
        </w:tc>
        <w:tc>
          <w:tcPr>
            <w:tcW w:w="1777" w:type="dxa"/>
            <w:vAlign w:val="center"/>
          </w:tcPr>
          <w:p w:rsidR="00F3219E" w:rsidRDefault="00625CBA">
            <w:pPr>
              <w:jc w:val="center"/>
            </w:pPr>
            <w:r>
              <w:rPr>
                <w:color w:val="000000"/>
                <w:sz w:val="24"/>
                <w:szCs w:val="24"/>
              </w:rPr>
              <w:t>新乡化纤</w:t>
            </w:r>
          </w:p>
        </w:tc>
        <w:tc>
          <w:tcPr>
            <w:tcW w:w="1334" w:type="dxa"/>
            <w:vAlign w:val="center"/>
          </w:tcPr>
          <w:p w:rsidR="00F3219E" w:rsidRDefault="00625CBA">
            <w:pPr>
              <w:jc w:val="right"/>
            </w:pPr>
            <w:r>
              <w:rPr>
                <w:color w:val="000000"/>
                <w:sz w:val="24"/>
                <w:szCs w:val="24"/>
              </w:rPr>
              <w:t>5,045,476</w:t>
            </w:r>
          </w:p>
        </w:tc>
        <w:tc>
          <w:tcPr>
            <w:tcW w:w="1924" w:type="dxa"/>
            <w:vAlign w:val="center"/>
          </w:tcPr>
          <w:p w:rsidR="00F3219E" w:rsidRDefault="00625CBA">
            <w:pPr>
              <w:jc w:val="right"/>
            </w:pPr>
            <w:r>
              <w:rPr>
                <w:color w:val="000000"/>
                <w:sz w:val="24"/>
                <w:szCs w:val="24"/>
              </w:rPr>
              <w:t>23,310,099.12</w:t>
            </w:r>
          </w:p>
        </w:tc>
        <w:tc>
          <w:tcPr>
            <w:tcW w:w="1644" w:type="dxa"/>
            <w:vAlign w:val="center"/>
          </w:tcPr>
          <w:p w:rsidR="00F3219E" w:rsidRDefault="00625CBA">
            <w:pPr>
              <w:jc w:val="right"/>
            </w:pPr>
            <w:r>
              <w:rPr>
                <w:color w:val="000000"/>
                <w:sz w:val="24"/>
                <w:szCs w:val="24"/>
              </w:rPr>
              <w:t>3.98</w:t>
            </w:r>
          </w:p>
        </w:tc>
      </w:tr>
      <w:tr w:rsidR="00F3219E">
        <w:trPr>
          <w:jc w:val="center"/>
        </w:trPr>
        <w:tc>
          <w:tcPr>
            <w:tcW w:w="855" w:type="dxa"/>
            <w:vAlign w:val="center"/>
          </w:tcPr>
          <w:p w:rsidR="00F3219E" w:rsidRDefault="00625CBA">
            <w:pPr>
              <w:jc w:val="center"/>
            </w:pPr>
            <w:r>
              <w:rPr>
                <w:color w:val="000000"/>
                <w:sz w:val="24"/>
                <w:szCs w:val="24"/>
              </w:rPr>
              <w:t>3</w:t>
            </w:r>
          </w:p>
        </w:tc>
        <w:tc>
          <w:tcPr>
            <w:tcW w:w="1334" w:type="dxa"/>
            <w:vAlign w:val="center"/>
          </w:tcPr>
          <w:p w:rsidR="00F3219E" w:rsidRDefault="00625CBA">
            <w:pPr>
              <w:jc w:val="center"/>
            </w:pPr>
            <w:r>
              <w:rPr>
                <w:color w:val="000000"/>
                <w:sz w:val="24"/>
                <w:szCs w:val="24"/>
              </w:rPr>
              <w:t>002343</w:t>
            </w:r>
          </w:p>
        </w:tc>
        <w:tc>
          <w:tcPr>
            <w:tcW w:w="1777" w:type="dxa"/>
            <w:vAlign w:val="center"/>
          </w:tcPr>
          <w:p w:rsidR="00F3219E" w:rsidRDefault="00625CBA">
            <w:pPr>
              <w:jc w:val="center"/>
            </w:pPr>
            <w:r>
              <w:rPr>
                <w:color w:val="000000"/>
                <w:sz w:val="24"/>
                <w:szCs w:val="24"/>
              </w:rPr>
              <w:t>慈文传媒</w:t>
            </w:r>
          </w:p>
        </w:tc>
        <w:tc>
          <w:tcPr>
            <w:tcW w:w="1334" w:type="dxa"/>
            <w:vAlign w:val="center"/>
          </w:tcPr>
          <w:p w:rsidR="00F3219E" w:rsidRDefault="00625CBA">
            <w:pPr>
              <w:jc w:val="right"/>
            </w:pPr>
            <w:r>
              <w:rPr>
                <w:color w:val="000000"/>
                <w:sz w:val="24"/>
                <w:szCs w:val="24"/>
              </w:rPr>
              <w:t>547,058</w:t>
            </w:r>
          </w:p>
        </w:tc>
        <w:tc>
          <w:tcPr>
            <w:tcW w:w="1924" w:type="dxa"/>
            <w:vAlign w:val="center"/>
          </w:tcPr>
          <w:p w:rsidR="00F3219E" w:rsidRDefault="00625CBA">
            <w:pPr>
              <w:jc w:val="right"/>
            </w:pPr>
            <w:r>
              <w:rPr>
                <w:color w:val="000000"/>
                <w:sz w:val="24"/>
                <w:szCs w:val="24"/>
              </w:rPr>
              <w:t>20,711,615.88</w:t>
            </w:r>
          </w:p>
        </w:tc>
        <w:tc>
          <w:tcPr>
            <w:tcW w:w="1644" w:type="dxa"/>
            <w:vAlign w:val="center"/>
          </w:tcPr>
          <w:p w:rsidR="00F3219E" w:rsidRDefault="00625CBA">
            <w:pPr>
              <w:jc w:val="right"/>
            </w:pPr>
            <w:r>
              <w:rPr>
                <w:color w:val="000000"/>
                <w:sz w:val="24"/>
                <w:szCs w:val="24"/>
              </w:rPr>
              <w:t>3.54</w:t>
            </w:r>
          </w:p>
        </w:tc>
      </w:tr>
      <w:tr w:rsidR="00F3219E">
        <w:trPr>
          <w:jc w:val="center"/>
        </w:trPr>
        <w:tc>
          <w:tcPr>
            <w:tcW w:w="855" w:type="dxa"/>
            <w:vAlign w:val="center"/>
          </w:tcPr>
          <w:p w:rsidR="00F3219E" w:rsidRDefault="00625CBA">
            <w:pPr>
              <w:jc w:val="center"/>
            </w:pPr>
            <w:r>
              <w:rPr>
                <w:color w:val="000000"/>
                <w:sz w:val="24"/>
                <w:szCs w:val="24"/>
              </w:rPr>
              <w:t>4</w:t>
            </w:r>
          </w:p>
        </w:tc>
        <w:tc>
          <w:tcPr>
            <w:tcW w:w="1334" w:type="dxa"/>
            <w:vAlign w:val="center"/>
          </w:tcPr>
          <w:p w:rsidR="00F3219E" w:rsidRDefault="00625CBA">
            <w:pPr>
              <w:jc w:val="center"/>
            </w:pPr>
            <w:r>
              <w:rPr>
                <w:color w:val="000000"/>
                <w:sz w:val="24"/>
                <w:szCs w:val="24"/>
              </w:rPr>
              <w:t>600310</w:t>
            </w:r>
          </w:p>
        </w:tc>
        <w:tc>
          <w:tcPr>
            <w:tcW w:w="1777" w:type="dxa"/>
            <w:vAlign w:val="center"/>
          </w:tcPr>
          <w:p w:rsidR="00F3219E" w:rsidRDefault="00625CBA">
            <w:pPr>
              <w:jc w:val="center"/>
            </w:pPr>
            <w:r>
              <w:rPr>
                <w:color w:val="000000"/>
                <w:sz w:val="24"/>
                <w:szCs w:val="24"/>
              </w:rPr>
              <w:t>桂东电力</w:t>
            </w:r>
          </w:p>
        </w:tc>
        <w:tc>
          <w:tcPr>
            <w:tcW w:w="1334" w:type="dxa"/>
            <w:vAlign w:val="center"/>
          </w:tcPr>
          <w:p w:rsidR="00F3219E" w:rsidRDefault="00625CBA">
            <w:pPr>
              <w:jc w:val="right"/>
            </w:pPr>
            <w:r>
              <w:rPr>
                <w:color w:val="000000"/>
                <w:sz w:val="24"/>
                <w:szCs w:val="24"/>
              </w:rPr>
              <w:t>2,919,000</w:t>
            </w:r>
          </w:p>
        </w:tc>
        <w:tc>
          <w:tcPr>
            <w:tcW w:w="1924" w:type="dxa"/>
            <w:vAlign w:val="center"/>
          </w:tcPr>
          <w:p w:rsidR="00F3219E" w:rsidRDefault="00625CBA">
            <w:pPr>
              <w:jc w:val="right"/>
            </w:pPr>
            <w:r>
              <w:rPr>
                <w:color w:val="000000"/>
                <w:sz w:val="24"/>
                <w:szCs w:val="24"/>
              </w:rPr>
              <w:t>20,024,340.00</w:t>
            </w:r>
          </w:p>
        </w:tc>
        <w:tc>
          <w:tcPr>
            <w:tcW w:w="1644" w:type="dxa"/>
            <w:vAlign w:val="center"/>
          </w:tcPr>
          <w:p w:rsidR="00F3219E" w:rsidRDefault="00625CBA">
            <w:pPr>
              <w:jc w:val="right"/>
            </w:pPr>
            <w:r>
              <w:rPr>
                <w:color w:val="000000"/>
                <w:sz w:val="24"/>
                <w:szCs w:val="24"/>
              </w:rPr>
              <w:t>3.42</w:t>
            </w:r>
          </w:p>
        </w:tc>
      </w:tr>
      <w:tr w:rsidR="00F3219E">
        <w:trPr>
          <w:jc w:val="center"/>
        </w:trPr>
        <w:tc>
          <w:tcPr>
            <w:tcW w:w="855" w:type="dxa"/>
            <w:vAlign w:val="center"/>
          </w:tcPr>
          <w:p w:rsidR="00F3219E" w:rsidRDefault="00625CBA">
            <w:pPr>
              <w:jc w:val="center"/>
            </w:pPr>
            <w:r>
              <w:rPr>
                <w:color w:val="000000"/>
                <w:sz w:val="24"/>
                <w:szCs w:val="24"/>
              </w:rPr>
              <w:t>5</w:t>
            </w:r>
          </w:p>
        </w:tc>
        <w:tc>
          <w:tcPr>
            <w:tcW w:w="1334" w:type="dxa"/>
            <w:vAlign w:val="center"/>
          </w:tcPr>
          <w:p w:rsidR="00F3219E" w:rsidRDefault="00625CBA">
            <w:pPr>
              <w:jc w:val="center"/>
            </w:pPr>
            <w:r>
              <w:rPr>
                <w:color w:val="000000"/>
                <w:sz w:val="24"/>
                <w:szCs w:val="24"/>
              </w:rPr>
              <w:t>002444</w:t>
            </w:r>
          </w:p>
        </w:tc>
        <w:tc>
          <w:tcPr>
            <w:tcW w:w="1777" w:type="dxa"/>
            <w:vAlign w:val="center"/>
          </w:tcPr>
          <w:p w:rsidR="00F3219E" w:rsidRDefault="00625CBA">
            <w:pPr>
              <w:jc w:val="center"/>
            </w:pPr>
            <w:r>
              <w:rPr>
                <w:color w:val="000000"/>
                <w:sz w:val="24"/>
                <w:szCs w:val="24"/>
              </w:rPr>
              <w:t>巨星科技</w:t>
            </w:r>
          </w:p>
        </w:tc>
        <w:tc>
          <w:tcPr>
            <w:tcW w:w="1334" w:type="dxa"/>
            <w:vAlign w:val="center"/>
          </w:tcPr>
          <w:p w:rsidR="00F3219E" w:rsidRDefault="00625CBA">
            <w:pPr>
              <w:jc w:val="right"/>
            </w:pPr>
            <w:r>
              <w:rPr>
                <w:color w:val="000000"/>
                <w:sz w:val="24"/>
                <w:szCs w:val="24"/>
              </w:rPr>
              <w:t>1,130,010</w:t>
            </w:r>
          </w:p>
        </w:tc>
        <w:tc>
          <w:tcPr>
            <w:tcW w:w="1924" w:type="dxa"/>
            <w:vAlign w:val="center"/>
          </w:tcPr>
          <w:p w:rsidR="00F3219E" w:rsidRDefault="00625CBA">
            <w:pPr>
              <w:jc w:val="right"/>
            </w:pPr>
            <w:r>
              <w:rPr>
                <w:color w:val="000000"/>
                <w:sz w:val="24"/>
                <w:szCs w:val="24"/>
              </w:rPr>
              <w:t>17,605,555.80</w:t>
            </w:r>
          </w:p>
        </w:tc>
        <w:tc>
          <w:tcPr>
            <w:tcW w:w="1644" w:type="dxa"/>
            <w:vAlign w:val="center"/>
          </w:tcPr>
          <w:p w:rsidR="00F3219E" w:rsidRDefault="00625CBA">
            <w:pPr>
              <w:jc w:val="right"/>
            </w:pPr>
            <w:r>
              <w:rPr>
                <w:color w:val="000000"/>
                <w:sz w:val="24"/>
                <w:szCs w:val="24"/>
              </w:rPr>
              <w:t>3.01</w:t>
            </w:r>
          </w:p>
        </w:tc>
      </w:tr>
      <w:tr w:rsidR="00F3219E">
        <w:trPr>
          <w:jc w:val="center"/>
        </w:trPr>
        <w:tc>
          <w:tcPr>
            <w:tcW w:w="855" w:type="dxa"/>
            <w:vAlign w:val="center"/>
          </w:tcPr>
          <w:p w:rsidR="00F3219E" w:rsidRDefault="00625CBA">
            <w:pPr>
              <w:jc w:val="center"/>
            </w:pPr>
            <w:r>
              <w:rPr>
                <w:color w:val="000000"/>
                <w:sz w:val="24"/>
                <w:szCs w:val="24"/>
              </w:rPr>
              <w:t>6</w:t>
            </w:r>
          </w:p>
        </w:tc>
        <w:tc>
          <w:tcPr>
            <w:tcW w:w="1334" w:type="dxa"/>
            <w:vAlign w:val="center"/>
          </w:tcPr>
          <w:p w:rsidR="00F3219E" w:rsidRDefault="00625CBA">
            <w:pPr>
              <w:jc w:val="center"/>
            </w:pPr>
            <w:r>
              <w:rPr>
                <w:color w:val="000000"/>
                <w:sz w:val="24"/>
                <w:szCs w:val="24"/>
              </w:rPr>
              <w:t>300308</w:t>
            </w:r>
          </w:p>
        </w:tc>
        <w:tc>
          <w:tcPr>
            <w:tcW w:w="1777" w:type="dxa"/>
            <w:vAlign w:val="center"/>
          </w:tcPr>
          <w:p w:rsidR="00F3219E" w:rsidRDefault="00625CBA">
            <w:pPr>
              <w:jc w:val="center"/>
            </w:pPr>
            <w:r>
              <w:rPr>
                <w:color w:val="000000"/>
                <w:sz w:val="24"/>
                <w:szCs w:val="24"/>
              </w:rPr>
              <w:t>中际装备</w:t>
            </w:r>
          </w:p>
        </w:tc>
        <w:tc>
          <w:tcPr>
            <w:tcW w:w="1334" w:type="dxa"/>
            <w:vAlign w:val="center"/>
          </w:tcPr>
          <w:p w:rsidR="00F3219E" w:rsidRDefault="00625CBA">
            <w:pPr>
              <w:jc w:val="right"/>
            </w:pPr>
            <w:r>
              <w:rPr>
                <w:color w:val="000000"/>
                <w:sz w:val="24"/>
                <w:szCs w:val="24"/>
              </w:rPr>
              <w:t>425,658</w:t>
            </w:r>
          </w:p>
        </w:tc>
        <w:tc>
          <w:tcPr>
            <w:tcW w:w="1924" w:type="dxa"/>
            <w:vAlign w:val="center"/>
          </w:tcPr>
          <w:p w:rsidR="00F3219E" w:rsidRDefault="00625CBA">
            <w:pPr>
              <w:jc w:val="right"/>
            </w:pPr>
            <w:r>
              <w:rPr>
                <w:color w:val="000000"/>
                <w:sz w:val="24"/>
                <w:szCs w:val="24"/>
              </w:rPr>
              <w:t>17,507,313.54</w:t>
            </w:r>
          </w:p>
        </w:tc>
        <w:tc>
          <w:tcPr>
            <w:tcW w:w="1644" w:type="dxa"/>
            <w:vAlign w:val="center"/>
          </w:tcPr>
          <w:p w:rsidR="00F3219E" w:rsidRDefault="00625CBA">
            <w:pPr>
              <w:jc w:val="right"/>
            </w:pPr>
            <w:r>
              <w:rPr>
                <w:color w:val="000000"/>
                <w:sz w:val="24"/>
                <w:szCs w:val="24"/>
              </w:rPr>
              <w:t>2.99</w:t>
            </w:r>
          </w:p>
        </w:tc>
      </w:tr>
      <w:tr w:rsidR="00F3219E">
        <w:trPr>
          <w:jc w:val="center"/>
        </w:trPr>
        <w:tc>
          <w:tcPr>
            <w:tcW w:w="855" w:type="dxa"/>
            <w:vAlign w:val="center"/>
          </w:tcPr>
          <w:p w:rsidR="00F3219E" w:rsidRDefault="00625CBA">
            <w:pPr>
              <w:jc w:val="center"/>
            </w:pPr>
            <w:r>
              <w:rPr>
                <w:color w:val="000000"/>
                <w:sz w:val="24"/>
                <w:szCs w:val="24"/>
              </w:rPr>
              <w:t>7</w:t>
            </w:r>
          </w:p>
        </w:tc>
        <w:tc>
          <w:tcPr>
            <w:tcW w:w="1334" w:type="dxa"/>
            <w:vAlign w:val="center"/>
          </w:tcPr>
          <w:p w:rsidR="00F3219E" w:rsidRDefault="00625CBA">
            <w:pPr>
              <w:jc w:val="center"/>
            </w:pPr>
            <w:r>
              <w:rPr>
                <w:color w:val="000000"/>
                <w:sz w:val="24"/>
                <w:szCs w:val="24"/>
              </w:rPr>
              <w:t>600516</w:t>
            </w:r>
          </w:p>
        </w:tc>
        <w:tc>
          <w:tcPr>
            <w:tcW w:w="1777" w:type="dxa"/>
            <w:vAlign w:val="center"/>
          </w:tcPr>
          <w:p w:rsidR="00F3219E" w:rsidRDefault="00625CBA">
            <w:pPr>
              <w:jc w:val="center"/>
            </w:pPr>
            <w:r>
              <w:rPr>
                <w:color w:val="000000"/>
                <w:sz w:val="24"/>
                <w:szCs w:val="24"/>
              </w:rPr>
              <w:t>方大炭素</w:t>
            </w:r>
          </w:p>
        </w:tc>
        <w:tc>
          <w:tcPr>
            <w:tcW w:w="1334" w:type="dxa"/>
            <w:vAlign w:val="center"/>
          </w:tcPr>
          <w:p w:rsidR="00F3219E" w:rsidRDefault="00625CBA">
            <w:pPr>
              <w:jc w:val="right"/>
            </w:pPr>
            <w:r>
              <w:rPr>
                <w:color w:val="000000"/>
                <w:sz w:val="24"/>
                <w:szCs w:val="24"/>
              </w:rPr>
              <w:t>1,059,301</w:t>
            </w:r>
          </w:p>
        </w:tc>
        <w:tc>
          <w:tcPr>
            <w:tcW w:w="1924" w:type="dxa"/>
            <w:vAlign w:val="center"/>
          </w:tcPr>
          <w:p w:rsidR="00F3219E" w:rsidRDefault="00625CBA">
            <w:pPr>
              <w:jc w:val="right"/>
            </w:pPr>
            <w:r>
              <w:rPr>
                <w:color w:val="000000"/>
                <w:sz w:val="24"/>
                <w:szCs w:val="24"/>
              </w:rPr>
              <w:t>15,063,260.22</w:t>
            </w:r>
          </w:p>
        </w:tc>
        <w:tc>
          <w:tcPr>
            <w:tcW w:w="1644" w:type="dxa"/>
            <w:vAlign w:val="center"/>
          </w:tcPr>
          <w:p w:rsidR="00F3219E" w:rsidRDefault="00625CBA">
            <w:pPr>
              <w:jc w:val="right"/>
            </w:pPr>
            <w:r>
              <w:rPr>
                <w:color w:val="000000"/>
                <w:sz w:val="24"/>
                <w:szCs w:val="24"/>
              </w:rPr>
              <w:t>2.57</w:t>
            </w:r>
          </w:p>
        </w:tc>
      </w:tr>
      <w:tr w:rsidR="00F3219E">
        <w:trPr>
          <w:jc w:val="center"/>
        </w:trPr>
        <w:tc>
          <w:tcPr>
            <w:tcW w:w="855" w:type="dxa"/>
            <w:vAlign w:val="center"/>
          </w:tcPr>
          <w:p w:rsidR="00F3219E" w:rsidRDefault="00625CBA">
            <w:pPr>
              <w:jc w:val="center"/>
            </w:pPr>
            <w:r>
              <w:rPr>
                <w:color w:val="000000"/>
                <w:sz w:val="24"/>
                <w:szCs w:val="24"/>
              </w:rPr>
              <w:t>8</w:t>
            </w:r>
          </w:p>
        </w:tc>
        <w:tc>
          <w:tcPr>
            <w:tcW w:w="1334" w:type="dxa"/>
            <w:vAlign w:val="center"/>
          </w:tcPr>
          <w:p w:rsidR="00F3219E" w:rsidRDefault="00625CBA">
            <w:pPr>
              <w:jc w:val="center"/>
            </w:pPr>
            <w:r>
              <w:rPr>
                <w:color w:val="000000"/>
                <w:sz w:val="24"/>
                <w:szCs w:val="24"/>
              </w:rPr>
              <w:t>000050</w:t>
            </w:r>
          </w:p>
        </w:tc>
        <w:tc>
          <w:tcPr>
            <w:tcW w:w="1777" w:type="dxa"/>
            <w:vAlign w:val="center"/>
          </w:tcPr>
          <w:p w:rsidR="00F3219E" w:rsidRDefault="00625CBA">
            <w:pPr>
              <w:jc w:val="center"/>
            </w:pPr>
            <w:r>
              <w:rPr>
                <w:color w:val="000000"/>
                <w:sz w:val="24"/>
                <w:szCs w:val="24"/>
              </w:rPr>
              <w:t>深天马Ａ</w:t>
            </w:r>
          </w:p>
        </w:tc>
        <w:tc>
          <w:tcPr>
            <w:tcW w:w="1334" w:type="dxa"/>
            <w:vAlign w:val="center"/>
          </w:tcPr>
          <w:p w:rsidR="00F3219E" w:rsidRDefault="00625CBA">
            <w:pPr>
              <w:jc w:val="right"/>
            </w:pPr>
            <w:r>
              <w:rPr>
                <w:color w:val="000000"/>
                <w:sz w:val="24"/>
                <w:szCs w:val="24"/>
              </w:rPr>
              <w:t>673,400</w:t>
            </w:r>
          </w:p>
        </w:tc>
        <w:tc>
          <w:tcPr>
            <w:tcW w:w="1924" w:type="dxa"/>
            <w:vAlign w:val="center"/>
          </w:tcPr>
          <w:p w:rsidR="00F3219E" w:rsidRDefault="00625CBA">
            <w:pPr>
              <w:jc w:val="right"/>
            </w:pPr>
            <w:r>
              <w:rPr>
                <w:color w:val="000000"/>
                <w:sz w:val="24"/>
                <w:szCs w:val="24"/>
              </w:rPr>
              <w:t>13,851,838.00</w:t>
            </w:r>
          </w:p>
        </w:tc>
        <w:tc>
          <w:tcPr>
            <w:tcW w:w="1644" w:type="dxa"/>
            <w:vAlign w:val="center"/>
          </w:tcPr>
          <w:p w:rsidR="00F3219E" w:rsidRDefault="00625CBA">
            <w:pPr>
              <w:jc w:val="right"/>
            </w:pPr>
            <w:r>
              <w:rPr>
                <w:color w:val="000000"/>
                <w:sz w:val="24"/>
                <w:szCs w:val="24"/>
              </w:rPr>
              <w:t>2.37</w:t>
            </w:r>
          </w:p>
        </w:tc>
      </w:tr>
      <w:tr w:rsidR="00F3219E">
        <w:trPr>
          <w:jc w:val="center"/>
        </w:trPr>
        <w:tc>
          <w:tcPr>
            <w:tcW w:w="855" w:type="dxa"/>
            <w:vAlign w:val="center"/>
          </w:tcPr>
          <w:p w:rsidR="00F3219E" w:rsidRDefault="00625CBA">
            <w:pPr>
              <w:jc w:val="center"/>
            </w:pPr>
            <w:r>
              <w:rPr>
                <w:color w:val="000000"/>
                <w:sz w:val="24"/>
                <w:szCs w:val="24"/>
              </w:rPr>
              <w:t>9</w:t>
            </w:r>
          </w:p>
        </w:tc>
        <w:tc>
          <w:tcPr>
            <w:tcW w:w="1334" w:type="dxa"/>
            <w:vAlign w:val="center"/>
          </w:tcPr>
          <w:p w:rsidR="00F3219E" w:rsidRDefault="00625CBA">
            <w:pPr>
              <w:jc w:val="center"/>
            </w:pPr>
            <w:r>
              <w:rPr>
                <w:color w:val="000000"/>
                <w:sz w:val="24"/>
                <w:szCs w:val="24"/>
              </w:rPr>
              <w:t>600297</w:t>
            </w:r>
          </w:p>
        </w:tc>
        <w:tc>
          <w:tcPr>
            <w:tcW w:w="1777" w:type="dxa"/>
            <w:vAlign w:val="center"/>
          </w:tcPr>
          <w:p w:rsidR="00F3219E" w:rsidRDefault="00625CBA">
            <w:pPr>
              <w:jc w:val="center"/>
            </w:pPr>
            <w:r>
              <w:rPr>
                <w:color w:val="000000"/>
                <w:sz w:val="24"/>
                <w:szCs w:val="24"/>
              </w:rPr>
              <w:t>广汇汽车</w:t>
            </w:r>
          </w:p>
        </w:tc>
        <w:tc>
          <w:tcPr>
            <w:tcW w:w="1334" w:type="dxa"/>
            <w:vAlign w:val="center"/>
          </w:tcPr>
          <w:p w:rsidR="00F3219E" w:rsidRDefault="00625CBA">
            <w:pPr>
              <w:jc w:val="right"/>
            </w:pPr>
            <w:r>
              <w:rPr>
                <w:color w:val="000000"/>
                <w:sz w:val="24"/>
                <w:szCs w:val="24"/>
              </w:rPr>
              <w:t>1,765,080</w:t>
            </w:r>
          </w:p>
        </w:tc>
        <w:tc>
          <w:tcPr>
            <w:tcW w:w="1924" w:type="dxa"/>
            <w:vAlign w:val="center"/>
          </w:tcPr>
          <w:p w:rsidR="00F3219E" w:rsidRDefault="00625CBA">
            <w:pPr>
              <w:jc w:val="right"/>
            </w:pPr>
            <w:r>
              <w:rPr>
                <w:color w:val="000000"/>
                <w:sz w:val="24"/>
                <w:szCs w:val="24"/>
              </w:rPr>
              <w:t>13,291,052.40</w:t>
            </w:r>
          </w:p>
        </w:tc>
        <w:tc>
          <w:tcPr>
            <w:tcW w:w="1644" w:type="dxa"/>
            <w:vAlign w:val="center"/>
          </w:tcPr>
          <w:p w:rsidR="00F3219E" w:rsidRDefault="00625CBA">
            <w:pPr>
              <w:jc w:val="right"/>
            </w:pPr>
            <w:r>
              <w:rPr>
                <w:color w:val="000000"/>
                <w:sz w:val="24"/>
                <w:szCs w:val="24"/>
              </w:rPr>
              <w:t>2.27</w:t>
            </w:r>
          </w:p>
        </w:tc>
      </w:tr>
      <w:tr w:rsidR="00F3219E">
        <w:trPr>
          <w:jc w:val="center"/>
        </w:trPr>
        <w:tc>
          <w:tcPr>
            <w:tcW w:w="855" w:type="dxa"/>
            <w:vAlign w:val="center"/>
          </w:tcPr>
          <w:p w:rsidR="00F3219E" w:rsidRDefault="00625CBA">
            <w:pPr>
              <w:jc w:val="center"/>
            </w:pPr>
            <w:r>
              <w:rPr>
                <w:color w:val="000000"/>
                <w:sz w:val="24"/>
                <w:szCs w:val="24"/>
              </w:rPr>
              <w:t>10</w:t>
            </w:r>
          </w:p>
        </w:tc>
        <w:tc>
          <w:tcPr>
            <w:tcW w:w="1334" w:type="dxa"/>
            <w:vAlign w:val="center"/>
          </w:tcPr>
          <w:p w:rsidR="00F3219E" w:rsidRDefault="00625CBA">
            <w:pPr>
              <w:jc w:val="center"/>
            </w:pPr>
            <w:r>
              <w:rPr>
                <w:color w:val="000000"/>
                <w:sz w:val="24"/>
                <w:szCs w:val="24"/>
              </w:rPr>
              <w:t>600990</w:t>
            </w:r>
          </w:p>
        </w:tc>
        <w:tc>
          <w:tcPr>
            <w:tcW w:w="1777" w:type="dxa"/>
            <w:vAlign w:val="center"/>
          </w:tcPr>
          <w:p w:rsidR="00F3219E" w:rsidRDefault="00625CBA">
            <w:pPr>
              <w:jc w:val="center"/>
            </w:pPr>
            <w:r>
              <w:rPr>
                <w:color w:val="000000"/>
                <w:sz w:val="24"/>
                <w:szCs w:val="24"/>
              </w:rPr>
              <w:t>四创电子</w:t>
            </w:r>
          </w:p>
        </w:tc>
        <w:tc>
          <w:tcPr>
            <w:tcW w:w="1334" w:type="dxa"/>
            <w:vAlign w:val="center"/>
          </w:tcPr>
          <w:p w:rsidR="00F3219E" w:rsidRDefault="00625CBA">
            <w:pPr>
              <w:jc w:val="right"/>
            </w:pPr>
            <w:r>
              <w:rPr>
                <w:color w:val="000000"/>
                <w:sz w:val="24"/>
                <w:szCs w:val="24"/>
              </w:rPr>
              <w:t>200,000</w:t>
            </w:r>
          </w:p>
        </w:tc>
        <w:tc>
          <w:tcPr>
            <w:tcW w:w="1924" w:type="dxa"/>
            <w:vAlign w:val="center"/>
          </w:tcPr>
          <w:p w:rsidR="00F3219E" w:rsidRDefault="00625CBA">
            <w:pPr>
              <w:jc w:val="right"/>
            </w:pPr>
            <w:r>
              <w:rPr>
                <w:color w:val="000000"/>
                <w:sz w:val="24"/>
                <w:szCs w:val="24"/>
              </w:rPr>
              <w:t>12,398,000.00</w:t>
            </w:r>
          </w:p>
        </w:tc>
        <w:tc>
          <w:tcPr>
            <w:tcW w:w="1644" w:type="dxa"/>
            <w:vAlign w:val="center"/>
          </w:tcPr>
          <w:p w:rsidR="00F3219E" w:rsidRDefault="00625CBA">
            <w:pPr>
              <w:jc w:val="right"/>
            </w:pPr>
            <w:r>
              <w:rPr>
                <w:color w:val="000000"/>
                <w:sz w:val="24"/>
                <w:szCs w:val="24"/>
              </w:rPr>
              <w:t>2.12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410,400.22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29,548.57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1,074,027.58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1,513,976.37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lastRenderedPageBreak/>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759,897,052.46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35,335,678.44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216,262,462.91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578,970,267.99</w:t>
            </w:r>
          </w:p>
        </w:tc>
      </w:tr>
    </w:tbl>
    <w:p w:rsidR="00F3219E" w:rsidRDefault="00625CB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168,234,018.00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9F1190" w:rsidP="00C15CAC">
            <w:pPr>
              <w:spacing w:line="288" w:lineRule="auto"/>
              <w:jc w:val="right"/>
              <w:rPr>
                <w:rFonts w:eastAsiaTheme="minorEastAsia"/>
                <w:color w:val="000000"/>
                <w:kern w:val="0"/>
                <w:sz w:val="24"/>
                <w:szCs w:val="24"/>
              </w:rPr>
            </w:pPr>
            <w:r w:rsidRPr="00ED2620">
              <w:rPr>
                <w:rFonts w:eastAsiaTheme="minorEastAsia"/>
                <w:color w:val="000000"/>
                <w:sz w:val="24"/>
              </w:rPr>
              <w:t>168,234,018.00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bl>
    <w:p w:rsidR="00F3219E" w:rsidRDefault="00625CB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F3219E">
        <w:trPr>
          <w:jc w:val="center"/>
        </w:trPr>
        <w:tc>
          <w:tcPr>
            <w:tcW w:w="1032" w:type="dxa"/>
            <w:vAlign w:val="center"/>
          </w:tcPr>
          <w:p w:rsidR="00F3219E" w:rsidRDefault="00625CBA">
            <w:pPr>
              <w:jc w:val="center"/>
            </w:pPr>
            <w:r>
              <w:rPr>
                <w:color w:val="000000"/>
                <w:sz w:val="24"/>
              </w:rPr>
              <w:t>1</w:t>
            </w:r>
          </w:p>
        </w:tc>
        <w:tc>
          <w:tcPr>
            <w:tcW w:w="1776" w:type="dxa"/>
            <w:vAlign w:val="center"/>
          </w:tcPr>
          <w:p w:rsidR="00F3219E" w:rsidRDefault="00625CBA">
            <w:pPr>
              <w:jc w:val="center"/>
            </w:pPr>
            <w:r>
              <w:rPr>
                <w:color w:val="000000"/>
                <w:sz w:val="24"/>
              </w:rPr>
              <w:t>赎回</w:t>
            </w:r>
          </w:p>
        </w:tc>
        <w:tc>
          <w:tcPr>
            <w:tcW w:w="1317" w:type="dxa"/>
            <w:vAlign w:val="center"/>
          </w:tcPr>
          <w:p w:rsidR="00F3219E" w:rsidRDefault="00625CBA">
            <w:pPr>
              <w:jc w:val="center"/>
            </w:pPr>
            <w:r>
              <w:rPr>
                <w:color w:val="000000"/>
                <w:sz w:val="24"/>
              </w:rPr>
              <w:t>2017-04-07</w:t>
            </w:r>
          </w:p>
        </w:tc>
        <w:tc>
          <w:tcPr>
            <w:tcW w:w="1633" w:type="dxa"/>
            <w:vAlign w:val="center"/>
          </w:tcPr>
          <w:p w:rsidR="00F3219E" w:rsidRDefault="00625CBA">
            <w:pPr>
              <w:jc w:val="right"/>
            </w:pPr>
            <w:r>
              <w:rPr>
                <w:color w:val="000000"/>
                <w:sz w:val="24"/>
              </w:rPr>
              <w:t>168,234,018.00</w:t>
            </w:r>
          </w:p>
        </w:tc>
        <w:tc>
          <w:tcPr>
            <w:tcW w:w="1767" w:type="dxa"/>
            <w:vAlign w:val="center"/>
          </w:tcPr>
          <w:p w:rsidR="00F3219E" w:rsidRDefault="00625CBA">
            <w:pPr>
              <w:jc w:val="right"/>
            </w:pPr>
            <w:r>
              <w:rPr>
                <w:color w:val="000000"/>
                <w:sz w:val="24"/>
              </w:rPr>
              <w:t>172,363,195.38</w:t>
            </w:r>
          </w:p>
        </w:tc>
        <w:tc>
          <w:tcPr>
            <w:tcW w:w="1343" w:type="dxa"/>
            <w:vAlign w:val="center"/>
          </w:tcPr>
          <w:p w:rsidR="00F3219E" w:rsidRDefault="00625CBA">
            <w:pPr>
              <w:jc w:val="center"/>
            </w:pPr>
            <w:r>
              <w:rPr>
                <w:color w:val="000000"/>
                <w:sz w:val="24"/>
              </w:rPr>
              <w:t>0.24%</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168,234,018.00</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172,363,195.38</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F21E30" w:rsidTr="00424D30">
        <w:tc>
          <w:tcPr>
            <w:tcW w:w="993" w:type="dxa"/>
            <w:vMerge w:val="restart"/>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r w:rsidRPr="0040057D">
              <w:rPr>
                <w:rFonts w:ascii="宋体" w:hAnsi="宋体" w:hint="eastAsia"/>
                <w:color w:val="000000"/>
                <w:kern w:val="0"/>
                <w:sz w:val="24"/>
                <w:szCs w:val="24"/>
              </w:rPr>
              <w:t>投资者类别</w:t>
            </w:r>
            <w:r w:rsidRPr="0040057D">
              <w:rPr>
                <w:rFonts w:ascii="宋体" w:hAnsi="宋体"/>
                <w:color w:val="000000"/>
                <w:kern w:val="0"/>
                <w:sz w:val="24"/>
                <w:szCs w:val="24"/>
              </w:rPr>
              <w:t xml:space="preserve">  </w:t>
            </w:r>
          </w:p>
        </w:tc>
        <w:tc>
          <w:tcPr>
            <w:tcW w:w="5670" w:type="dxa"/>
            <w:gridSpan w:val="5"/>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r w:rsidRPr="0040057D">
              <w:rPr>
                <w:rFonts w:ascii="宋体" w:hAnsi="宋体" w:hint="eastAsia"/>
                <w:color w:val="000000"/>
                <w:kern w:val="0"/>
                <w:sz w:val="24"/>
                <w:szCs w:val="24"/>
              </w:rPr>
              <w:t>报告期内持有基金份额变化情况</w:t>
            </w:r>
          </w:p>
        </w:tc>
        <w:tc>
          <w:tcPr>
            <w:tcW w:w="2549" w:type="dxa"/>
            <w:gridSpan w:val="2"/>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r w:rsidRPr="0040057D">
              <w:rPr>
                <w:rFonts w:ascii="宋体" w:hAnsi="宋体" w:hint="eastAsia"/>
                <w:color w:val="000000"/>
                <w:kern w:val="0"/>
                <w:sz w:val="24"/>
                <w:szCs w:val="24"/>
              </w:rPr>
              <w:t>报告期末持有基金情况</w:t>
            </w:r>
          </w:p>
        </w:tc>
      </w:tr>
      <w:tr w:rsidR="003C50AD" w:rsidRPr="00F21E30" w:rsidTr="00424D30">
        <w:tc>
          <w:tcPr>
            <w:tcW w:w="993" w:type="dxa"/>
            <w:vMerge/>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r w:rsidRPr="0040057D">
              <w:rPr>
                <w:rFonts w:ascii="宋体" w:hAnsi="宋体" w:hint="eastAsia"/>
                <w:color w:val="000000"/>
                <w:kern w:val="0"/>
                <w:sz w:val="24"/>
                <w:szCs w:val="24"/>
              </w:rPr>
              <w:t>序号</w:t>
            </w:r>
          </w:p>
        </w:tc>
        <w:tc>
          <w:tcPr>
            <w:tcW w:w="1843" w:type="dxa"/>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r w:rsidRPr="0040057D">
              <w:rPr>
                <w:rFonts w:ascii="宋体" w:hAnsi="宋体" w:hint="eastAsia"/>
                <w:color w:val="000000"/>
                <w:kern w:val="0"/>
                <w:sz w:val="24"/>
                <w:szCs w:val="24"/>
              </w:rPr>
              <w:t>持有基金份额比例达到或者超过</w:t>
            </w:r>
            <w:r w:rsidRPr="0040057D">
              <w:rPr>
                <w:rFonts w:ascii="宋体" w:hAnsi="宋体"/>
                <w:color w:val="000000"/>
                <w:kern w:val="0"/>
                <w:sz w:val="24"/>
                <w:szCs w:val="24"/>
              </w:rPr>
              <w:t>20%的时间区间</w:t>
            </w:r>
          </w:p>
        </w:tc>
        <w:tc>
          <w:tcPr>
            <w:tcW w:w="851" w:type="dxa"/>
            <w:vAlign w:val="center"/>
          </w:tcPr>
          <w:p w:rsidR="003C50AD" w:rsidRPr="0040057D" w:rsidRDefault="003C50AD" w:rsidP="00424D30">
            <w:pPr>
              <w:widowControl/>
              <w:jc w:val="center"/>
              <w:rPr>
                <w:rFonts w:ascii="宋体" w:hAnsi="宋体"/>
                <w:b/>
                <w:bCs/>
                <w:color w:val="000000"/>
                <w:kern w:val="0"/>
                <w:sz w:val="24"/>
                <w:szCs w:val="24"/>
              </w:rPr>
            </w:pPr>
            <w:r w:rsidRPr="0040057D">
              <w:rPr>
                <w:rFonts w:ascii="宋体" w:hAnsi="宋体" w:hint="eastAsia"/>
                <w:color w:val="000000"/>
                <w:kern w:val="0"/>
                <w:sz w:val="24"/>
                <w:szCs w:val="24"/>
              </w:rPr>
              <w:t>期初份额</w:t>
            </w:r>
          </w:p>
        </w:tc>
        <w:tc>
          <w:tcPr>
            <w:tcW w:w="850" w:type="dxa"/>
            <w:vAlign w:val="center"/>
          </w:tcPr>
          <w:p w:rsidR="003C50AD" w:rsidRPr="0040057D" w:rsidRDefault="003C50AD" w:rsidP="00424D30">
            <w:pPr>
              <w:widowControl/>
              <w:jc w:val="center"/>
              <w:rPr>
                <w:rFonts w:ascii="宋体" w:hAnsi="宋体"/>
                <w:b/>
                <w:bCs/>
                <w:color w:val="000000"/>
                <w:kern w:val="0"/>
                <w:sz w:val="24"/>
                <w:szCs w:val="24"/>
              </w:rPr>
            </w:pPr>
            <w:r w:rsidRPr="0040057D">
              <w:rPr>
                <w:rFonts w:ascii="宋体" w:hAnsi="宋体" w:hint="eastAsia"/>
                <w:color w:val="000000"/>
                <w:kern w:val="0"/>
                <w:sz w:val="24"/>
                <w:szCs w:val="24"/>
              </w:rPr>
              <w:t>申购份额</w:t>
            </w:r>
          </w:p>
        </w:tc>
        <w:tc>
          <w:tcPr>
            <w:tcW w:w="1134" w:type="dxa"/>
            <w:vAlign w:val="center"/>
          </w:tcPr>
          <w:p w:rsidR="003C50AD" w:rsidRPr="0040057D" w:rsidRDefault="003C50AD" w:rsidP="00424D30">
            <w:pPr>
              <w:widowControl/>
              <w:jc w:val="center"/>
              <w:rPr>
                <w:rFonts w:ascii="宋体" w:hAnsi="宋体"/>
                <w:b/>
                <w:bCs/>
                <w:color w:val="000000"/>
                <w:kern w:val="0"/>
                <w:sz w:val="24"/>
                <w:szCs w:val="24"/>
              </w:rPr>
            </w:pPr>
            <w:r w:rsidRPr="0040057D">
              <w:rPr>
                <w:rFonts w:ascii="宋体" w:hAnsi="宋体" w:hint="eastAsia"/>
                <w:color w:val="000000"/>
                <w:kern w:val="0"/>
                <w:sz w:val="24"/>
                <w:szCs w:val="24"/>
              </w:rPr>
              <w:t>赎回份额</w:t>
            </w:r>
          </w:p>
        </w:tc>
        <w:tc>
          <w:tcPr>
            <w:tcW w:w="1419" w:type="dxa"/>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r w:rsidRPr="0040057D">
              <w:rPr>
                <w:rFonts w:ascii="宋体" w:hAnsi="宋体" w:hint="eastAsia"/>
                <w:color w:val="000000"/>
                <w:kern w:val="0"/>
                <w:sz w:val="24"/>
                <w:szCs w:val="24"/>
              </w:rPr>
              <w:t>持有份额</w:t>
            </w:r>
          </w:p>
        </w:tc>
        <w:tc>
          <w:tcPr>
            <w:tcW w:w="1130" w:type="dxa"/>
            <w:vAlign w:val="center"/>
          </w:tcPr>
          <w:p w:rsidR="003C50AD" w:rsidRPr="0040057D" w:rsidRDefault="003C50AD" w:rsidP="00424D30">
            <w:pPr>
              <w:autoSpaceDE w:val="0"/>
              <w:autoSpaceDN w:val="0"/>
              <w:adjustRightInd w:val="0"/>
              <w:jc w:val="center"/>
              <w:rPr>
                <w:rFonts w:ascii="宋体" w:hAnsi="宋体"/>
                <w:b/>
                <w:bCs/>
                <w:color w:val="000000"/>
                <w:kern w:val="0"/>
                <w:sz w:val="24"/>
                <w:szCs w:val="24"/>
              </w:rPr>
            </w:pPr>
            <w:r w:rsidRPr="0040057D">
              <w:rPr>
                <w:rFonts w:ascii="宋体" w:hAnsi="宋体" w:hint="eastAsia"/>
                <w:color w:val="000000"/>
                <w:kern w:val="0"/>
                <w:sz w:val="24"/>
                <w:szCs w:val="24"/>
              </w:rPr>
              <w:t>份额占比</w:t>
            </w:r>
          </w:p>
        </w:tc>
      </w:tr>
      <w:tr w:rsidR="00F3219E" w:rsidRPr="00F21E30">
        <w:tc>
          <w:tcPr>
            <w:tcW w:w="993" w:type="dxa"/>
            <w:vMerge w:val="restart"/>
          </w:tcPr>
          <w:p w:rsidR="00F3219E" w:rsidRPr="0040057D" w:rsidRDefault="00F3219E">
            <w:pPr>
              <w:rPr>
                <w:sz w:val="24"/>
                <w:szCs w:val="24"/>
              </w:rPr>
            </w:pPr>
          </w:p>
          <w:p w:rsidR="00F3219E" w:rsidRPr="0040057D" w:rsidRDefault="00625CBA">
            <w:pPr>
              <w:rPr>
                <w:sz w:val="24"/>
                <w:szCs w:val="24"/>
              </w:rPr>
            </w:pPr>
            <w:r w:rsidRPr="0040057D">
              <w:rPr>
                <w:rFonts w:ascii="宋体" w:hAnsi="宋体" w:hint="eastAsia"/>
                <w:bCs/>
                <w:color w:val="000000"/>
                <w:kern w:val="0"/>
                <w:sz w:val="24"/>
                <w:szCs w:val="24"/>
              </w:rPr>
              <w:t>机构</w:t>
            </w:r>
          </w:p>
        </w:tc>
        <w:tc>
          <w:tcPr>
            <w:tcW w:w="992" w:type="dxa"/>
            <w:vAlign w:val="center"/>
          </w:tcPr>
          <w:p w:rsidR="00F3219E" w:rsidRPr="0040057D" w:rsidRDefault="00625CBA">
            <w:pPr>
              <w:jc w:val="center"/>
              <w:rPr>
                <w:sz w:val="24"/>
                <w:szCs w:val="24"/>
              </w:rPr>
            </w:pPr>
            <w:r w:rsidRPr="0040057D">
              <w:rPr>
                <w:rFonts w:ascii="宋体" w:hAnsi="宋体"/>
                <w:color w:val="000000"/>
                <w:kern w:val="0"/>
                <w:sz w:val="24"/>
                <w:szCs w:val="24"/>
              </w:rPr>
              <w:t>1</w:t>
            </w:r>
          </w:p>
        </w:tc>
        <w:tc>
          <w:tcPr>
            <w:tcW w:w="1843" w:type="dxa"/>
            <w:vAlign w:val="center"/>
          </w:tcPr>
          <w:p w:rsidR="00F3219E" w:rsidRPr="0040057D" w:rsidRDefault="00625CBA">
            <w:pPr>
              <w:jc w:val="center"/>
              <w:rPr>
                <w:sz w:val="24"/>
                <w:szCs w:val="24"/>
              </w:rPr>
            </w:pPr>
            <w:r w:rsidRPr="0040057D">
              <w:rPr>
                <w:rFonts w:ascii="宋体" w:hAnsi="宋体"/>
                <w:color w:val="000000"/>
                <w:kern w:val="0"/>
                <w:sz w:val="24"/>
                <w:szCs w:val="24"/>
              </w:rPr>
              <w:t>2017/4/1-2017/6/30</w:t>
            </w:r>
          </w:p>
        </w:tc>
        <w:tc>
          <w:tcPr>
            <w:tcW w:w="851" w:type="dxa"/>
            <w:vAlign w:val="center"/>
          </w:tcPr>
          <w:p w:rsidR="00F3219E" w:rsidRPr="0040057D" w:rsidRDefault="00625CBA">
            <w:pPr>
              <w:jc w:val="center"/>
              <w:rPr>
                <w:sz w:val="24"/>
                <w:szCs w:val="24"/>
              </w:rPr>
            </w:pPr>
            <w:r w:rsidRPr="0040057D">
              <w:rPr>
                <w:rFonts w:ascii="宋体" w:hAnsi="宋体"/>
                <w:color w:val="000000"/>
                <w:kern w:val="0"/>
                <w:sz w:val="24"/>
                <w:szCs w:val="24"/>
              </w:rPr>
              <w:t>168,234,018.00</w:t>
            </w:r>
          </w:p>
        </w:tc>
        <w:tc>
          <w:tcPr>
            <w:tcW w:w="850" w:type="dxa"/>
            <w:vAlign w:val="center"/>
          </w:tcPr>
          <w:p w:rsidR="00F3219E" w:rsidRPr="0040057D" w:rsidRDefault="00625CBA">
            <w:pPr>
              <w:jc w:val="center"/>
              <w:rPr>
                <w:sz w:val="24"/>
                <w:szCs w:val="24"/>
              </w:rPr>
            </w:pPr>
            <w:r w:rsidRPr="0040057D">
              <w:rPr>
                <w:rFonts w:ascii="宋体" w:hAnsi="宋体"/>
                <w:color w:val="000000"/>
                <w:kern w:val="0"/>
                <w:sz w:val="24"/>
                <w:szCs w:val="24"/>
              </w:rPr>
              <w:t>-</w:t>
            </w:r>
          </w:p>
        </w:tc>
        <w:tc>
          <w:tcPr>
            <w:tcW w:w="1134" w:type="dxa"/>
            <w:vAlign w:val="center"/>
          </w:tcPr>
          <w:p w:rsidR="00F3219E" w:rsidRPr="0040057D" w:rsidRDefault="00625CBA">
            <w:pPr>
              <w:jc w:val="center"/>
              <w:rPr>
                <w:sz w:val="24"/>
                <w:szCs w:val="24"/>
              </w:rPr>
            </w:pPr>
            <w:r w:rsidRPr="0040057D">
              <w:rPr>
                <w:rFonts w:ascii="宋体" w:hAnsi="宋体"/>
                <w:color w:val="000000"/>
                <w:kern w:val="0"/>
                <w:sz w:val="24"/>
                <w:szCs w:val="24"/>
              </w:rPr>
              <w:t>168,234,018.00</w:t>
            </w:r>
          </w:p>
        </w:tc>
        <w:tc>
          <w:tcPr>
            <w:tcW w:w="1419" w:type="dxa"/>
            <w:vAlign w:val="center"/>
          </w:tcPr>
          <w:p w:rsidR="00F3219E" w:rsidRPr="0040057D" w:rsidRDefault="00625CBA">
            <w:pPr>
              <w:jc w:val="center"/>
              <w:rPr>
                <w:sz w:val="24"/>
                <w:szCs w:val="24"/>
              </w:rPr>
            </w:pPr>
            <w:r w:rsidRPr="0040057D">
              <w:rPr>
                <w:rFonts w:ascii="宋体" w:hAnsi="宋体"/>
                <w:color w:val="000000"/>
                <w:kern w:val="0"/>
                <w:sz w:val="24"/>
                <w:szCs w:val="24"/>
              </w:rPr>
              <w:t>-</w:t>
            </w:r>
          </w:p>
        </w:tc>
        <w:tc>
          <w:tcPr>
            <w:tcW w:w="1130" w:type="dxa"/>
            <w:vAlign w:val="center"/>
          </w:tcPr>
          <w:p w:rsidR="00F3219E" w:rsidRPr="0040057D" w:rsidRDefault="00625CBA">
            <w:pPr>
              <w:jc w:val="center"/>
              <w:rPr>
                <w:sz w:val="24"/>
                <w:szCs w:val="24"/>
              </w:rPr>
            </w:pPr>
            <w:r w:rsidRPr="0040057D">
              <w:rPr>
                <w:rFonts w:ascii="宋体" w:hAnsi="宋体"/>
                <w:color w:val="000000"/>
                <w:kern w:val="0"/>
                <w:sz w:val="24"/>
                <w:szCs w:val="24"/>
              </w:rPr>
              <w:t>-</w:t>
            </w:r>
          </w:p>
        </w:tc>
      </w:tr>
    </w:tbl>
    <w:p w:rsidR="003C50AD" w:rsidRPr="0040057D" w:rsidRDefault="003C50AD" w:rsidP="003C50AD">
      <w:pPr>
        <w:autoSpaceDE w:val="0"/>
        <w:autoSpaceDN w:val="0"/>
        <w:adjustRightInd w:val="0"/>
        <w:spacing w:line="360" w:lineRule="auto"/>
        <w:jc w:val="left"/>
        <w:rPr>
          <w:rFonts w:ascii="宋体" w:hAnsi="宋体"/>
          <w:bCs/>
          <w:color w:val="000000"/>
          <w:kern w:val="0"/>
          <w:sz w:val="24"/>
          <w:szCs w:val="24"/>
        </w:rPr>
      </w:pPr>
      <w:r w:rsidRPr="0040057D">
        <w:rPr>
          <w:rFonts w:ascii="宋体" w:hAnsi="宋体" w:hint="eastAsia"/>
          <w:bCs/>
          <w:color w:val="000000"/>
          <w:kern w:val="0"/>
          <w:sz w:val="24"/>
          <w:szCs w:val="24"/>
        </w:rPr>
        <w:t>注：本基金本报告期内出现单一投资者持有基金份额比例超过基金总份额</w:t>
      </w:r>
      <w:r w:rsidRPr="0040057D">
        <w:rPr>
          <w:rFonts w:ascii="宋体" w:hAnsi="宋体"/>
          <w:bCs/>
          <w:color w:val="000000"/>
          <w:kern w:val="0"/>
          <w:sz w:val="24"/>
          <w:szCs w:val="24"/>
        </w:rPr>
        <w:t>20%的情况。如该类投资者集中赎回，可能会对本基金带来流动性冲击，从而影响基金的投资运作和收益水平。基金管理人将加强流动性管理，防范相关风险，保护持有人利益。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3219E" w:rsidRDefault="00625CB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F3219E" w:rsidRDefault="00625CB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3219E" w:rsidRDefault="00625CB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3219E" w:rsidRDefault="00625CB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2A" w:rsidRDefault="00B7032A" w:rsidP="00876D65">
      <w:r>
        <w:separator/>
      </w:r>
    </w:p>
  </w:endnote>
  <w:endnote w:type="continuationSeparator" w:id="0">
    <w:p w:rsidR="00B7032A" w:rsidRDefault="00B7032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40057D">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40057D">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2A" w:rsidRDefault="00B7032A" w:rsidP="00876D65">
      <w:r>
        <w:separator/>
      </w:r>
    </w:p>
  </w:footnote>
  <w:footnote w:type="continuationSeparator" w:id="0">
    <w:p w:rsidR="00B7032A" w:rsidRDefault="00B7032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05E0"/>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057D"/>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275"/>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5CBA"/>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1190"/>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032A"/>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27720"/>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900B0"/>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1E30"/>
    <w:rsid w:val="00F22499"/>
    <w:rsid w:val="00F22B0F"/>
    <w:rsid w:val="00F24B42"/>
    <w:rsid w:val="00F24F73"/>
    <w:rsid w:val="00F27299"/>
    <w:rsid w:val="00F31B0C"/>
    <w:rsid w:val="00F31F6E"/>
    <w:rsid w:val="00F3219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92AE9-1917-4264-90F1-215B8FBA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CF93-1B67-44F0-AB55-1DE8F025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573</cp:revision>
  <dcterms:created xsi:type="dcterms:W3CDTF">2012-10-16T06:07:00Z</dcterms:created>
  <dcterms:modified xsi:type="dcterms:W3CDTF">2017-07-18T07:16:00Z</dcterms:modified>
</cp:coreProperties>
</file>