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2017</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2017</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二〇一七年七月二十日</w:t>
      </w:r>
    </w:p>
    <w:p w:rsidR="00220542" w:rsidRPr="0036023B" w:rsidRDefault="00220542" w:rsidP="00410CF9">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DA4266" w:rsidRDefault="00995D6C">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A4266" w:rsidRDefault="00995D6C">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A4266" w:rsidRDefault="00995D6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A4266" w:rsidRDefault="00995D6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A4266" w:rsidRDefault="00995D6C">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2017</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467,524,362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4276B" w:rsidRPr="0036023B" w:rsidTr="0094276B">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(2017</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-2017</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94276B" w:rsidRPr="0036023B" w:rsidTr="0094276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3,985,691.06</w:t>
            </w:r>
          </w:p>
        </w:tc>
      </w:tr>
      <w:tr w:rsidR="0094276B" w:rsidRPr="0036023B" w:rsidTr="0094276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35,581,412.98</w:t>
            </w:r>
          </w:p>
        </w:tc>
      </w:tr>
      <w:tr w:rsidR="0094276B" w:rsidRPr="0036023B" w:rsidTr="0094276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0.0747</w:t>
            </w:r>
          </w:p>
        </w:tc>
      </w:tr>
      <w:tr w:rsidR="0094276B" w:rsidRPr="0036023B" w:rsidTr="0094276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503,812,651.20</w:t>
            </w:r>
          </w:p>
        </w:tc>
      </w:tr>
      <w:tr w:rsidR="0094276B" w:rsidRPr="0036023B" w:rsidTr="0094276B">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1.078</w:t>
            </w:r>
          </w:p>
        </w:tc>
      </w:tr>
    </w:tbl>
    <w:p w:rsidR="00DA4266" w:rsidRDefault="00995D6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DA4266">
        <w:trPr>
          <w:jc w:val="center"/>
        </w:trPr>
        <w:tc>
          <w:tcPr>
            <w:tcW w:w="1469" w:type="dxa"/>
            <w:vAlign w:val="center"/>
          </w:tcPr>
          <w:p w:rsidR="00DA4266" w:rsidRDefault="00995D6C">
            <w:pPr>
              <w:jc w:val="left"/>
            </w:pPr>
            <w:r>
              <w:rPr>
                <w:color w:val="000000"/>
                <w:sz w:val="24"/>
              </w:rPr>
              <w:t>过去三个月</w:t>
            </w:r>
          </w:p>
        </w:tc>
        <w:tc>
          <w:tcPr>
            <w:tcW w:w="1150" w:type="dxa"/>
            <w:vAlign w:val="center"/>
          </w:tcPr>
          <w:p w:rsidR="00DA4266" w:rsidRDefault="00995D6C">
            <w:pPr>
              <w:jc w:val="center"/>
            </w:pPr>
            <w:r>
              <w:rPr>
                <w:color w:val="000000"/>
                <w:sz w:val="24"/>
              </w:rPr>
              <w:t>7.48%</w:t>
            </w:r>
          </w:p>
        </w:tc>
        <w:tc>
          <w:tcPr>
            <w:tcW w:w="1223" w:type="dxa"/>
            <w:vAlign w:val="center"/>
          </w:tcPr>
          <w:p w:rsidR="00DA4266" w:rsidRDefault="00995D6C">
            <w:pPr>
              <w:jc w:val="center"/>
            </w:pPr>
            <w:r>
              <w:rPr>
                <w:color w:val="000000"/>
                <w:sz w:val="24"/>
              </w:rPr>
              <w:t>0.67%</w:t>
            </w:r>
          </w:p>
        </w:tc>
        <w:tc>
          <w:tcPr>
            <w:tcW w:w="1244" w:type="dxa"/>
            <w:vAlign w:val="center"/>
          </w:tcPr>
          <w:p w:rsidR="00DA4266" w:rsidRDefault="00995D6C">
            <w:pPr>
              <w:jc w:val="center"/>
            </w:pPr>
            <w:r>
              <w:rPr>
                <w:color w:val="000000"/>
                <w:sz w:val="24"/>
              </w:rPr>
              <w:t>6.29%</w:t>
            </w:r>
          </w:p>
        </w:tc>
        <w:tc>
          <w:tcPr>
            <w:tcW w:w="1251" w:type="dxa"/>
            <w:vAlign w:val="center"/>
          </w:tcPr>
          <w:p w:rsidR="00DA4266" w:rsidRDefault="00995D6C">
            <w:pPr>
              <w:jc w:val="center"/>
            </w:pPr>
            <w:r>
              <w:rPr>
                <w:color w:val="000000"/>
                <w:sz w:val="24"/>
              </w:rPr>
              <w:t>0.69%</w:t>
            </w:r>
          </w:p>
        </w:tc>
        <w:tc>
          <w:tcPr>
            <w:tcW w:w="1263" w:type="dxa"/>
            <w:vAlign w:val="center"/>
          </w:tcPr>
          <w:p w:rsidR="00DA4266" w:rsidRDefault="00995D6C">
            <w:pPr>
              <w:jc w:val="center"/>
            </w:pPr>
            <w:r>
              <w:rPr>
                <w:color w:val="000000"/>
                <w:sz w:val="24"/>
              </w:rPr>
              <w:t>1.19%</w:t>
            </w:r>
          </w:p>
        </w:tc>
        <w:tc>
          <w:tcPr>
            <w:tcW w:w="1268" w:type="dxa"/>
            <w:vAlign w:val="center"/>
          </w:tcPr>
          <w:p w:rsidR="00DA4266" w:rsidRDefault="00995D6C">
            <w:pPr>
              <w:jc w:val="center"/>
            </w:pPr>
            <w:r>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2017</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DA4266">
        <w:trPr>
          <w:jc w:val="center"/>
        </w:trPr>
        <w:tc>
          <w:tcPr>
            <w:tcW w:w="846" w:type="dxa"/>
            <w:vAlign w:val="center"/>
          </w:tcPr>
          <w:p w:rsidR="00DA4266" w:rsidRDefault="00995D6C">
            <w:pPr>
              <w:jc w:val="center"/>
            </w:pPr>
            <w:r>
              <w:rPr>
                <w:color w:val="000000"/>
                <w:sz w:val="24"/>
              </w:rPr>
              <w:t>蔡铮</w:t>
            </w:r>
          </w:p>
        </w:tc>
        <w:tc>
          <w:tcPr>
            <w:tcW w:w="845" w:type="dxa"/>
            <w:vAlign w:val="center"/>
          </w:tcPr>
          <w:p w:rsidR="00DA4266" w:rsidRDefault="00995D6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r>
              <w:rPr>
                <w:color w:val="000000"/>
                <w:sz w:val="24"/>
              </w:rPr>
              <w:lastRenderedPageBreak/>
              <w:t>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DA4266" w:rsidRDefault="00995D6C">
            <w:pPr>
              <w:jc w:val="center"/>
            </w:pPr>
            <w:r>
              <w:rPr>
                <w:color w:val="000000"/>
                <w:sz w:val="24"/>
              </w:rPr>
              <w:lastRenderedPageBreak/>
              <w:t>2012-12-27</w:t>
            </w:r>
          </w:p>
        </w:tc>
        <w:tc>
          <w:tcPr>
            <w:tcW w:w="1548" w:type="dxa"/>
            <w:vAlign w:val="center"/>
          </w:tcPr>
          <w:p w:rsidR="00DA4266" w:rsidRDefault="00995D6C">
            <w:pPr>
              <w:jc w:val="center"/>
            </w:pPr>
            <w:r>
              <w:rPr>
                <w:color w:val="000000"/>
                <w:sz w:val="24"/>
              </w:rPr>
              <w:t>-</w:t>
            </w:r>
          </w:p>
        </w:tc>
        <w:tc>
          <w:tcPr>
            <w:tcW w:w="1407" w:type="dxa"/>
            <w:vAlign w:val="center"/>
          </w:tcPr>
          <w:p w:rsidR="00DA4266" w:rsidRDefault="00995D6C">
            <w:pPr>
              <w:jc w:val="center"/>
            </w:pPr>
            <w:r>
              <w:rPr>
                <w:color w:val="000000"/>
                <w:sz w:val="24"/>
              </w:rPr>
              <w:t>8</w:t>
            </w:r>
            <w:r>
              <w:rPr>
                <w:color w:val="000000"/>
                <w:sz w:val="24"/>
              </w:rPr>
              <w:t>年</w:t>
            </w:r>
          </w:p>
        </w:tc>
        <w:tc>
          <w:tcPr>
            <w:tcW w:w="2673" w:type="dxa"/>
            <w:vAlign w:val="center"/>
          </w:tcPr>
          <w:p w:rsidR="00DA4266" w:rsidRDefault="00995D6C">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w:t>
            </w:r>
            <w:r>
              <w:rPr>
                <w:color w:val="000000"/>
                <w:sz w:val="24"/>
              </w:rPr>
              <w:lastRenderedPageBreak/>
              <w:t>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w:t>
      </w:r>
      <w:r w:rsidRPr="0036023B">
        <w:rPr>
          <w:color w:val="000000"/>
          <w:sz w:val="24"/>
        </w:rPr>
        <w:lastRenderedPageBreak/>
        <w:t>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DA4266" w:rsidRDefault="00995D6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A4266" w:rsidRDefault="00995D6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A4266" w:rsidRDefault="00995D6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DA4266" w:rsidRDefault="00995D6C">
      <w:pPr>
        <w:spacing w:before="29" w:line="288" w:lineRule="auto"/>
        <w:ind w:firstLineChars="200" w:firstLine="480"/>
        <w:rPr>
          <w:color w:val="000000"/>
          <w:sz w:val="24"/>
        </w:rPr>
      </w:pPr>
      <w:r>
        <w:rPr>
          <w:color w:val="000000"/>
          <w:sz w:val="24"/>
        </w:rPr>
        <w:t>2017</w:t>
      </w:r>
      <w:r>
        <w:rPr>
          <w:color w:val="000000"/>
          <w:sz w:val="24"/>
        </w:rPr>
        <w:t>年二季度国内经济延续了去年下半年的态势，宏观经济小幅回落，在去杠杆的大环境下流动性总体趋紧。在此背景下，二季度</w:t>
      </w:r>
      <w:r>
        <w:rPr>
          <w:color w:val="000000"/>
          <w:sz w:val="24"/>
        </w:rPr>
        <w:t>A</w:t>
      </w:r>
      <w:r>
        <w:rPr>
          <w:color w:val="000000"/>
          <w:sz w:val="24"/>
        </w:rPr>
        <w:t>股市场在风格上继续延续着显著分化格局，价值风格震荡上行，但中小创板块依然疲软。作为跟踪基准指数的指数基金，二季度基金总体呈现出震荡上行的走势。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展望下一季度，随着经济企稳和风险偏好的适度回暖，我们对</w:t>
      </w:r>
      <w:r w:rsidRPr="0036023B">
        <w:rPr>
          <w:color w:val="000000"/>
          <w:sz w:val="24"/>
        </w:rPr>
        <w:t>A</w:t>
      </w:r>
      <w:r w:rsidRPr="0036023B">
        <w:rPr>
          <w:color w:val="000000"/>
          <w:sz w:val="24"/>
        </w:rPr>
        <w:t>股市场总体维持</w:t>
      </w:r>
      <w:r w:rsidRPr="0036023B">
        <w:rPr>
          <w:color w:val="000000"/>
          <w:sz w:val="24"/>
        </w:rPr>
        <w:lastRenderedPageBreak/>
        <w:t>谨慎乐观的看法。</w:t>
      </w:r>
      <w:r w:rsidRPr="0036023B">
        <w:rPr>
          <w:color w:val="000000"/>
          <w:sz w:val="24"/>
        </w:rPr>
        <w:t xml:space="preserve"> </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2017</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日，本基金份额净值</w:t>
      </w:r>
      <w:r w:rsidRPr="0036023B">
        <w:rPr>
          <w:color w:val="000000"/>
          <w:sz w:val="24"/>
        </w:rPr>
        <w:t>1.078</w:t>
      </w:r>
      <w:r w:rsidRPr="0036023B">
        <w:rPr>
          <w:color w:val="000000"/>
          <w:sz w:val="24"/>
        </w:rPr>
        <w:t>元，本报告期份额净值增长率为</w:t>
      </w:r>
      <w:r w:rsidRPr="0036023B">
        <w:rPr>
          <w:color w:val="000000"/>
          <w:sz w:val="24"/>
        </w:rPr>
        <w:t>7.48%</w:t>
      </w:r>
      <w:r w:rsidRPr="0036023B">
        <w:rPr>
          <w:color w:val="000000"/>
          <w:sz w:val="24"/>
        </w:rPr>
        <w:t>，同期业绩比较基准增长率为</w:t>
      </w:r>
      <w:r w:rsidRPr="0036023B">
        <w:rPr>
          <w:color w:val="000000"/>
          <w:sz w:val="24"/>
        </w:rPr>
        <w:t>6.29%</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499,877,096.78</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99.05</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499,877,096.78</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99.05</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4,782,262.98</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0.95</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4,946.01</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504,664,305.77</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0C27D1" w:rsidRDefault="000C27D1" w:rsidP="000C27D1">
      <w:pPr>
        <w:rPr>
          <w:szCs w:val="21"/>
        </w:rPr>
      </w:pPr>
      <w:r w:rsidRPr="000C27D1">
        <w:rPr>
          <w:rFonts w:ascii="宋体" w:hAnsi="宋体" w:hint="eastAsia"/>
          <w:color w:val="000000"/>
          <w:sz w:val="24"/>
        </w:rPr>
        <w:t>本基金本报告期末未持有积极投资的股票。</w:t>
      </w:r>
    </w:p>
    <w:p w:rsidR="000C27D1" w:rsidRPr="000C27D1" w:rsidRDefault="000C27D1" w:rsidP="0099526C">
      <w:pPr>
        <w:autoSpaceDE w:val="0"/>
        <w:autoSpaceDN w:val="0"/>
        <w:adjustRightInd w:val="0"/>
        <w:spacing w:before="29" w:line="288" w:lineRule="auto"/>
        <w:jc w:val="left"/>
        <w:rPr>
          <w:rFonts w:hint="eastAsia"/>
          <w:b/>
          <w:color w:val="000000"/>
          <w:kern w:val="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w:t>
            </w:r>
            <w:r w:rsidRPr="0036023B">
              <w:rPr>
                <w:sz w:val="24"/>
              </w:rPr>
              <w:lastRenderedPageBreak/>
              <w:t>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lastRenderedPageBreak/>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1,007,728.56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0.20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24,020,212.29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4.77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110,549,579.69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21.95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29,375,736.81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5.83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41,831,021.70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8.30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11,558,492.23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14,922,640.31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2.96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11,137,121.72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229,084,671.02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45.47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23,596,608.45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4.68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745,764.00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2,047,520.00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499,877,096.78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99.22</w:t>
            </w:r>
          </w:p>
        </w:tc>
      </w:tr>
    </w:tbl>
    <w:p w:rsidR="00563E76" w:rsidRDefault="00563E76"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DA4266">
        <w:trPr>
          <w:jc w:val="center"/>
        </w:trPr>
        <w:tc>
          <w:tcPr>
            <w:tcW w:w="850" w:type="dxa"/>
            <w:vAlign w:val="center"/>
          </w:tcPr>
          <w:p w:rsidR="00DA4266" w:rsidRDefault="00995D6C">
            <w:pPr>
              <w:jc w:val="center"/>
            </w:pPr>
            <w:r>
              <w:rPr>
                <w:color w:val="000000"/>
                <w:sz w:val="24"/>
              </w:rPr>
              <w:t>1</w:t>
            </w:r>
          </w:p>
        </w:tc>
        <w:tc>
          <w:tcPr>
            <w:tcW w:w="1327" w:type="dxa"/>
            <w:vAlign w:val="center"/>
          </w:tcPr>
          <w:p w:rsidR="00DA4266" w:rsidRDefault="00995D6C">
            <w:pPr>
              <w:jc w:val="center"/>
            </w:pPr>
            <w:r>
              <w:rPr>
                <w:color w:val="000000"/>
                <w:sz w:val="24"/>
              </w:rPr>
              <w:t>601318</w:t>
            </w:r>
          </w:p>
        </w:tc>
        <w:tc>
          <w:tcPr>
            <w:tcW w:w="1769" w:type="dxa"/>
            <w:vAlign w:val="center"/>
          </w:tcPr>
          <w:p w:rsidR="00DA4266" w:rsidRDefault="00995D6C">
            <w:pPr>
              <w:jc w:val="center"/>
            </w:pPr>
            <w:r>
              <w:rPr>
                <w:color w:val="000000"/>
                <w:sz w:val="24"/>
              </w:rPr>
              <w:t>中国平安</w:t>
            </w:r>
          </w:p>
        </w:tc>
        <w:tc>
          <w:tcPr>
            <w:tcW w:w="1327" w:type="dxa"/>
            <w:vAlign w:val="center"/>
          </w:tcPr>
          <w:p w:rsidR="00DA4266" w:rsidRDefault="00995D6C">
            <w:pPr>
              <w:jc w:val="right"/>
            </w:pPr>
            <w:r>
              <w:rPr>
                <w:color w:val="000000"/>
                <w:sz w:val="24"/>
              </w:rPr>
              <w:t>1,222,600</w:t>
            </w:r>
          </w:p>
        </w:tc>
        <w:tc>
          <w:tcPr>
            <w:tcW w:w="1915" w:type="dxa"/>
            <w:vAlign w:val="center"/>
          </w:tcPr>
          <w:p w:rsidR="00DA4266" w:rsidRDefault="00995D6C">
            <w:pPr>
              <w:jc w:val="right"/>
            </w:pPr>
            <w:r>
              <w:rPr>
                <w:color w:val="000000"/>
                <w:sz w:val="24"/>
              </w:rPr>
              <w:t>60,653,186.00</w:t>
            </w:r>
          </w:p>
        </w:tc>
        <w:tc>
          <w:tcPr>
            <w:tcW w:w="1680" w:type="dxa"/>
            <w:vAlign w:val="center"/>
          </w:tcPr>
          <w:p w:rsidR="00DA4266" w:rsidRDefault="00995D6C">
            <w:pPr>
              <w:jc w:val="right"/>
            </w:pPr>
            <w:r>
              <w:rPr>
                <w:color w:val="000000"/>
                <w:sz w:val="24"/>
              </w:rPr>
              <w:t>12.04</w:t>
            </w:r>
          </w:p>
        </w:tc>
      </w:tr>
      <w:tr w:rsidR="00DA4266">
        <w:trPr>
          <w:jc w:val="center"/>
        </w:trPr>
        <w:tc>
          <w:tcPr>
            <w:tcW w:w="850" w:type="dxa"/>
            <w:vAlign w:val="center"/>
          </w:tcPr>
          <w:p w:rsidR="00DA4266" w:rsidRDefault="00995D6C">
            <w:pPr>
              <w:jc w:val="center"/>
            </w:pPr>
            <w:r>
              <w:rPr>
                <w:color w:val="000000"/>
                <w:sz w:val="24"/>
              </w:rPr>
              <w:lastRenderedPageBreak/>
              <w:t>2</w:t>
            </w:r>
          </w:p>
        </w:tc>
        <w:tc>
          <w:tcPr>
            <w:tcW w:w="1327" w:type="dxa"/>
            <w:vAlign w:val="center"/>
          </w:tcPr>
          <w:p w:rsidR="00DA4266" w:rsidRDefault="00995D6C">
            <w:pPr>
              <w:jc w:val="center"/>
            </w:pPr>
            <w:r>
              <w:rPr>
                <w:color w:val="000000"/>
                <w:sz w:val="24"/>
              </w:rPr>
              <w:t>600036</w:t>
            </w:r>
          </w:p>
        </w:tc>
        <w:tc>
          <w:tcPr>
            <w:tcW w:w="1769" w:type="dxa"/>
            <w:vAlign w:val="center"/>
          </w:tcPr>
          <w:p w:rsidR="00DA4266" w:rsidRDefault="00995D6C">
            <w:pPr>
              <w:jc w:val="center"/>
            </w:pPr>
            <w:r>
              <w:rPr>
                <w:color w:val="000000"/>
                <w:sz w:val="24"/>
              </w:rPr>
              <w:t>招商银行</w:t>
            </w:r>
          </w:p>
        </w:tc>
        <w:tc>
          <w:tcPr>
            <w:tcW w:w="1327" w:type="dxa"/>
            <w:vAlign w:val="center"/>
          </w:tcPr>
          <w:p w:rsidR="00DA4266" w:rsidRDefault="00995D6C">
            <w:pPr>
              <w:jc w:val="right"/>
            </w:pPr>
            <w:r>
              <w:rPr>
                <w:color w:val="000000"/>
                <w:sz w:val="24"/>
              </w:rPr>
              <w:t>1,164,182</w:t>
            </w:r>
          </w:p>
        </w:tc>
        <w:tc>
          <w:tcPr>
            <w:tcW w:w="1915" w:type="dxa"/>
            <w:vAlign w:val="center"/>
          </w:tcPr>
          <w:p w:rsidR="00DA4266" w:rsidRDefault="00995D6C">
            <w:pPr>
              <w:jc w:val="right"/>
            </w:pPr>
            <w:r>
              <w:rPr>
                <w:color w:val="000000"/>
                <w:sz w:val="24"/>
              </w:rPr>
              <w:t>27,835,591.62</w:t>
            </w:r>
          </w:p>
        </w:tc>
        <w:tc>
          <w:tcPr>
            <w:tcW w:w="1680" w:type="dxa"/>
            <w:vAlign w:val="center"/>
          </w:tcPr>
          <w:p w:rsidR="00DA4266" w:rsidRDefault="00995D6C">
            <w:pPr>
              <w:jc w:val="right"/>
            </w:pPr>
            <w:r>
              <w:rPr>
                <w:color w:val="000000"/>
                <w:sz w:val="24"/>
              </w:rPr>
              <w:t>5.52</w:t>
            </w:r>
          </w:p>
        </w:tc>
      </w:tr>
      <w:tr w:rsidR="00DA4266">
        <w:trPr>
          <w:jc w:val="center"/>
        </w:trPr>
        <w:tc>
          <w:tcPr>
            <w:tcW w:w="850" w:type="dxa"/>
            <w:vAlign w:val="center"/>
          </w:tcPr>
          <w:p w:rsidR="00DA4266" w:rsidRDefault="00995D6C">
            <w:pPr>
              <w:jc w:val="center"/>
            </w:pPr>
            <w:r>
              <w:rPr>
                <w:color w:val="000000"/>
                <w:sz w:val="24"/>
              </w:rPr>
              <w:t>3</w:t>
            </w:r>
          </w:p>
        </w:tc>
        <w:tc>
          <w:tcPr>
            <w:tcW w:w="1327" w:type="dxa"/>
            <w:vAlign w:val="center"/>
          </w:tcPr>
          <w:p w:rsidR="00DA4266" w:rsidRDefault="00995D6C">
            <w:pPr>
              <w:jc w:val="center"/>
            </w:pPr>
            <w:r>
              <w:rPr>
                <w:color w:val="000000"/>
                <w:sz w:val="24"/>
              </w:rPr>
              <w:t>601166</w:t>
            </w:r>
          </w:p>
        </w:tc>
        <w:tc>
          <w:tcPr>
            <w:tcW w:w="1769" w:type="dxa"/>
            <w:vAlign w:val="center"/>
          </w:tcPr>
          <w:p w:rsidR="00DA4266" w:rsidRDefault="00995D6C">
            <w:pPr>
              <w:jc w:val="center"/>
            </w:pPr>
            <w:r>
              <w:rPr>
                <w:color w:val="000000"/>
                <w:sz w:val="24"/>
              </w:rPr>
              <w:t>兴业银行</w:t>
            </w:r>
          </w:p>
        </w:tc>
        <w:tc>
          <w:tcPr>
            <w:tcW w:w="1327" w:type="dxa"/>
            <w:vAlign w:val="center"/>
          </w:tcPr>
          <w:p w:rsidR="00DA4266" w:rsidRDefault="00995D6C">
            <w:pPr>
              <w:jc w:val="right"/>
            </w:pPr>
            <w:r>
              <w:rPr>
                <w:color w:val="000000"/>
                <w:sz w:val="24"/>
              </w:rPr>
              <w:t>1,406,862</w:t>
            </w:r>
          </w:p>
        </w:tc>
        <w:tc>
          <w:tcPr>
            <w:tcW w:w="1915" w:type="dxa"/>
            <w:vAlign w:val="center"/>
          </w:tcPr>
          <w:p w:rsidR="00DA4266" w:rsidRDefault="00995D6C">
            <w:pPr>
              <w:jc w:val="right"/>
            </w:pPr>
            <w:r>
              <w:rPr>
                <w:color w:val="000000"/>
                <w:sz w:val="24"/>
              </w:rPr>
              <w:t>23,719,693.32</w:t>
            </w:r>
          </w:p>
        </w:tc>
        <w:tc>
          <w:tcPr>
            <w:tcW w:w="1680" w:type="dxa"/>
            <w:vAlign w:val="center"/>
          </w:tcPr>
          <w:p w:rsidR="00DA4266" w:rsidRDefault="00995D6C">
            <w:pPr>
              <w:jc w:val="right"/>
            </w:pPr>
            <w:r>
              <w:rPr>
                <w:color w:val="000000"/>
                <w:sz w:val="24"/>
              </w:rPr>
              <w:t>4.71</w:t>
            </w:r>
          </w:p>
        </w:tc>
      </w:tr>
      <w:tr w:rsidR="00DA4266">
        <w:trPr>
          <w:jc w:val="center"/>
        </w:trPr>
        <w:tc>
          <w:tcPr>
            <w:tcW w:w="850" w:type="dxa"/>
            <w:vAlign w:val="center"/>
          </w:tcPr>
          <w:p w:rsidR="00DA4266" w:rsidRDefault="00995D6C">
            <w:pPr>
              <w:jc w:val="center"/>
            </w:pPr>
            <w:r>
              <w:rPr>
                <w:color w:val="000000"/>
                <w:sz w:val="24"/>
              </w:rPr>
              <w:t>4</w:t>
            </w:r>
          </w:p>
        </w:tc>
        <w:tc>
          <w:tcPr>
            <w:tcW w:w="1327" w:type="dxa"/>
            <w:vAlign w:val="center"/>
          </w:tcPr>
          <w:p w:rsidR="00DA4266" w:rsidRDefault="00995D6C">
            <w:pPr>
              <w:jc w:val="center"/>
            </w:pPr>
            <w:r>
              <w:rPr>
                <w:color w:val="000000"/>
                <w:sz w:val="24"/>
              </w:rPr>
              <w:t>600016</w:t>
            </w:r>
          </w:p>
        </w:tc>
        <w:tc>
          <w:tcPr>
            <w:tcW w:w="1769" w:type="dxa"/>
            <w:vAlign w:val="center"/>
          </w:tcPr>
          <w:p w:rsidR="00DA4266" w:rsidRDefault="00995D6C">
            <w:pPr>
              <w:jc w:val="center"/>
            </w:pPr>
            <w:r>
              <w:rPr>
                <w:color w:val="000000"/>
                <w:sz w:val="24"/>
              </w:rPr>
              <w:t>民生银行</w:t>
            </w:r>
          </w:p>
        </w:tc>
        <w:tc>
          <w:tcPr>
            <w:tcW w:w="1327" w:type="dxa"/>
            <w:vAlign w:val="center"/>
          </w:tcPr>
          <w:p w:rsidR="00DA4266" w:rsidRDefault="00995D6C">
            <w:pPr>
              <w:jc w:val="right"/>
            </w:pPr>
            <w:r>
              <w:rPr>
                <w:color w:val="000000"/>
                <w:sz w:val="24"/>
              </w:rPr>
              <w:t>2,668,419</w:t>
            </w:r>
          </w:p>
        </w:tc>
        <w:tc>
          <w:tcPr>
            <w:tcW w:w="1915" w:type="dxa"/>
            <w:vAlign w:val="center"/>
          </w:tcPr>
          <w:p w:rsidR="00DA4266" w:rsidRDefault="00995D6C">
            <w:pPr>
              <w:jc w:val="right"/>
            </w:pPr>
            <w:r>
              <w:rPr>
                <w:color w:val="000000"/>
                <w:sz w:val="24"/>
              </w:rPr>
              <w:t>21,934,404.18</w:t>
            </w:r>
          </w:p>
        </w:tc>
        <w:tc>
          <w:tcPr>
            <w:tcW w:w="1680" w:type="dxa"/>
            <w:vAlign w:val="center"/>
          </w:tcPr>
          <w:p w:rsidR="00DA4266" w:rsidRDefault="00995D6C">
            <w:pPr>
              <w:jc w:val="right"/>
            </w:pPr>
            <w:r>
              <w:rPr>
                <w:color w:val="000000"/>
                <w:sz w:val="24"/>
              </w:rPr>
              <w:t>4.35</w:t>
            </w:r>
          </w:p>
        </w:tc>
      </w:tr>
      <w:tr w:rsidR="00DA4266">
        <w:trPr>
          <w:jc w:val="center"/>
        </w:trPr>
        <w:tc>
          <w:tcPr>
            <w:tcW w:w="850" w:type="dxa"/>
            <w:vAlign w:val="center"/>
          </w:tcPr>
          <w:p w:rsidR="00DA4266" w:rsidRDefault="00995D6C">
            <w:pPr>
              <w:jc w:val="center"/>
            </w:pPr>
            <w:r>
              <w:rPr>
                <w:color w:val="000000"/>
                <w:sz w:val="24"/>
              </w:rPr>
              <w:t>5</w:t>
            </w:r>
          </w:p>
        </w:tc>
        <w:tc>
          <w:tcPr>
            <w:tcW w:w="1327" w:type="dxa"/>
            <w:vAlign w:val="center"/>
          </w:tcPr>
          <w:p w:rsidR="00DA4266" w:rsidRDefault="00995D6C">
            <w:pPr>
              <w:jc w:val="center"/>
            </w:pPr>
            <w:r>
              <w:rPr>
                <w:color w:val="000000"/>
                <w:sz w:val="24"/>
              </w:rPr>
              <w:t>601668</w:t>
            </w:r>
          </w:p>
        </w:tc>
        <w:tc>
          <w:tcPr>
            <w:tcW w:w="1769" w:type="dxa"/>
            <w:vAlign w:val="center"/>
          </w:tcPr>
          <w:p w:rsidR="00DA4266" w:rsidRDefault="00995D6C">
            <w:pPr>
              <w:jc w:val="center"/>
            </w:pPr>
            <w:r>
              <w:rPr>
                <w:color w:val="000000"/>
                <w:sz w:val="24"/>
              </w:rPr>
              <w:t>中国建筑</w:t>
            </w:r>
          </w:p>
        </w:tc>
        <w:tc>
          <w:tcPr>
            <w:tcW w:w="1327" w:type="dxa"/>
            <w:vAlign w:val="center"/>
          </w:tcPr>
          <w:p w:rsidR="00DA4266" w:rsidRDefault="00995D6C">
            <w:pPr>
              <w:jc w:val="right"/>
            </w:pPr>
            <w:r>
              <w:rPr>
                <w:color w:val="000000"/>
                <w:sz w:val="24"/>
              </w:rPr>
              <w:t>1,692,746</w:t>
            </w:r>
          </w:p>
        </w:tc>
        <w:tc>
          <w:tcPr>
            <w:tcW w:w="1915" w:type="dxa"/>
            <w:vAlign w:val="center"/>
          </w:tcPr>
          <w:p w:rsidR="00DA4266" w:rsidRDefault="00995D6C">
            <w:pPr>
              <w:jc w:val="right"/>
            </w:pPr>
            <w:r>
              <w:rPr>
                <w:color w:val="000000"/>
                <w:sz w:val="24"/>
              </w:rPr>
              <w:t>16,385,781.28</w:t>
            </w:r>
          </w:p>
        </w:tc>
        <w:tc>
          <w:tcPr>
            <w:tcW w:w="1680" w:type="dxa"/>
            <w:vAlign w:val="center"/>
          </w:tcPr>
          <w:p w:rsidR="00DA4266" w:rsidRDefault="00995D6C">
            <w:pPr>
              <w:jc w:val="right"/>
            </w:pPr>
            <w:r>
              <w:rPr>
                <w:color w:val="000000"/>
                <w:sz w:val="24"/>
              </w:rPr>
              <w:t>3.25</w:t>
            </w:r>
          </w:p>
        </w:tc>
      </w:tr>
      <w:tr w:rsidR="00DA4266">
        <w:trPr>
          <w:jc w:val="center"/>
        </w:trPr>
        <w:tc>
          <w:tcPr>
            <w:tcW w:w="850" w:type="dxa"/>
            <w:vAlign w:val="center"/>
          </w:tcPr>
          <w:p w:rsidR="00DA4266" w:rsidRDefault="00995D6C">
            <w:pPr>
              <w:jc w:val="center"/>
            </w:pPr>
            <w:r>
              <w:rPr>
                <w:color w:val="000000"/>
                <w:sz w:val="24"/>
              </w:rPr>
              <w:t>6</w:t>
            </w:r>
          </w:p>
        </w:tc>
        <w:tc>
          <w:tcPr>
            <w:tcW w:w="1327" w:type="dxa"/>
            <w:vAlign w:val="center"/>
          </w:tcPr>
          <w:p w:rsidR="00DA4266" w:rsidRDefault="00995D6C">
            <w:pPr>
              <w:jc w:val="center"/>
            </w:pPr>
            <w:r>
              <w:rPr>
                <w:color w:val="000000"/>
                <w:sz w:val="24"/>
              </w:rPr>
              <w:t>600000</w:t>
            </w:r>
          </w:p>
        </w:tc>
        <w:tc>
          <w:tcPr>
            <w:tcW w:w="1769" w:type="dxa"/>
            <w:vAlign w:val="center"/>
          </w:tcPr>
          <w:p w:rsidR="00DA4266" w:rsidRDefault="00995D6C">
            <w:pPr>
              <w:jc w:val="center"/>
            </w:pPr>
            <w:r>
              <w:rPr>
                <w:color w:val="000000"/>
                <w:sz w:val="24"/>
              </w:rPr>
              <w:t>浦发银行</w:t>
            </w:r>
          </w:p>
        </w:tc>
        <w:tc>
          <w:tcPr>
            <w:tcW w:w="1327" w:type="dxa"/>
            <w:vAlign w:val="center"/>
          </w:tcPr>
          <w:p w:rsidR="00DA4266" w:rsidRDefault="00995D6C">
            <w:pPr>
              <w:jc w:val="right"/>
            </w:pPr>
            <w:r>
              <w:rPr>
                <w:color w:val="000000"/>
                <w:sz w:val="24"/>
              </w:rPr>
              <w:t>1,268,845</w:t>
            </w:r>
          </w:p>
        </w:tc>
        <w:tc>
          <w:tcPr>
            <w:tcW w:w="1915" w:type="dxa"/>
            <w:vAlign w:val="center"/>
          </w:tcPr>
          <w:p w:rsidR="00DA4266" w:rsidRDefault="00995D6C">
            <w:pPr>
              <w:jc w:val="right"/>
            </w:pPr>
            <w:r>
              <w:rPr>
                <w:color w:val="000000"/>
                <w:sz w:val="24"/>
              </w:rPr>
              <w:t>16,050,889.25</w:t>
            </w:r>
          </w:p>
        </w:tc>
        <w:tc>
          <w:tcPr>
            <w:tcW w:w="1680" w:type="dxa"/>
            <w:vAlign w:val="center"/>
          </w:tcPr>
          <w:p w:rsidR="00DA4266" w:rsidRDefault="00995D6C">
            <w:pPr>
              <w:jc w:val="right"/>
            </w:pPr>
            <w:r>
              <w:rPr>
                <w:color w:val="000000"/>
                <w:sz w:val="24"/>
              </w:rPr>
              <w:t>3.19</w:t>
            </w:r>
          </w:p>
        </w:tc>
      </w:tr>
      <w:tr w:rsidR="00DA4266">
        <w:trPr>
          <w:jc w:val="center"/>
        </w:trPr>
        <w:tc>
          <w:tcPr>
            <w:tcW w:w="850" w:type="dxa"/>
            <w:vAlign w:val="center"/>
          </w:tcPr>
          <w:p w:rsidR="00DA4266" w:rsidRDefault="00995D6C">
            <w:pPr>
              <w:jc w:val="center"/>
            </w:pPr>
            <w:r>
              <w:rPr>
                <w:color w:val="000000"/>
                <w:sz w:val="24"/>
              </w:rPr>
              <w:t>7</w:t>
            </w:r>
          </w:p>
        </w:tc>
        <w:tc>
          <w:tcPr>
            <w:tcW w:w="1327" w:type="dxa"/>
            <w:vAlign w:val="center"/>
          </w:tcPr>
          <w:p w:rsidR="00DA4266" w:rsidRDefault="00995D6C">
            <w:pPr>
              <w:jc w:val="center"/>
            </w:pPr>
            <w:r>
              <w:rPr>
                <w:color w:val="000000"/>
                <w:sz w:val="24"/>
              </w:rPr>
              <w:t>601398</w:t>
            </w:r>
          </w:p>
        </w:tc>
        <w:tc>
          <w:tcPr>
            <w:tcW w:w="1769" w:type="dxa"/>
            <w:vAlign w:val="center"/>
          </w:tcPr>
          <w:p w:rsidR="00DA4266" w:rsidRDefault="00995D6C">
            <w:pPr>
              <w:jc w:val="center"/>
            </w:pPr>
            <w:r>
              <w:rPr>
                <w:color w:val="000000"/>
                <w:sz w:val="24"/>
              </w:rPr>
              <w:t>工商银行</w:t>
            </w:r>
          </w:p>
        </w:tc>
        <w:tc>
          <w:tcPr>
            <w:tcW w:w="1327" w:type="dxa"/>
            <w:vAlign w:val="center"/>
          </w:tcPr>
          <w:p w:rsidR="00DA4266" w:rsidRDefault="00995D6C">
            <w:pPr>
              <w:jc w:val="right"/>
            </w:pPr>
            <w:r>
              <w:rPr>
                <w:color w:val="000000"/>
                <w:sz w:val="24"/>
              </w:rPr>
              <w:t>2,434,451</w:t>
            </w:r>
          </w:p>
        </w:tc>
        <w:tc>
          <w:tcPr>
            <w:tcW w:w="1915" w:type="dxa"/>
            <w:vAlign w:val="center"/>
          </w:tcPr>
          <w:p w:rsidR="00DA4266" w:rsidRDefault="00995D6C">
            <w:pPr>
              <w:jc w:val="right"/>
            </w:pPr>
            <w:r>
              <w:rPr>
                <w:color w:val="000000"/>
                <w:sz w:val="24"/>
              </w:rPr>
              <w:t>12,780,867.75</w:t>
            </w:r>
          </w:p>
        </w:tc>
        <w:tc>
          <w:tcPr>
            <w:tcW w:w="1680" w:type="dxa"/>
            <w:vAlign w:val="center"/>
          </w:tcPr>
          <w:p w:rsidR="00DA4266" w:rsidRDefault="00995D6C">
            <w:pPr>
              <w:jc w:val="right"/>
            </w:pPr>
            <w:r>
              <w:rPr>
                <w:color w:val="000000"/>
                <w:sz w:val="24"/>
              </w:rPr>
              <w:t>2.54</w:t>
            </w:r>
          </w:p>
        </w:tc>
      </w:tr>
      <w:tr w:rsidR="00DA4266">
        <w:trPr>
          <w:jc w:val="center"/>
        </w:trPr>
        <w:tc>
          <w:tcPr>
            <w:tcW w:w="850" w:type="dxa"/>
            <w:vAlign w:val="center"/>
          </w:tcPr>
          <w:p w:rsidR="00DA4266" w:rsidRDefault="00995D6C">
            <w:pPr>
              <w:jc w:val="center"/>
            </w:pPr>
            <w:r>
              <w:rPr>
                <w:color w:val="000000"/>
                <w:sz w:val="24"/>
              </w:rPr>
              <w:t>8</w:t>
            </w:r>
          </w:p>
        </w:tc>
        <w:tc>
          <w:tcPr>
            <w:tcW w:w="1327" w:type="dxa"/>
            <w:vAlign w:val="center"/>
          </w:tcPr>
          <w:p w:rsidR="00DA4266" w:rsidRDefault="00995D6C">
            <w:pPr>
              <w:jc w:val="center"/>
            </w:pPr>
            <w:r>
              <w:rPr>
                <w:color w:val="000000"/>
                <w:sz w:val="24"/>
              </w:rPr>
              <w:t>600104</w:t>
            </w:r>
          </w:p>
        </w:tc>
        <w:tc>
          <w:tcPr>
            <w:tcW w:w="1769" w:type="dxa"/>
            <w:vAlign w:val="center"/>
          </w:tcPr>
          <w:p w:rsidR="00DA4266" w:rsidRDefault="00995D6C">
            <w:pPr>
              <w:jc w:val="center"/>
            </w:pPr>
            <w:r>
              <w:rPr>
                <w:color w:val="000000"/>
                <w:sz w:val="24"/>
              </w:rPr>
              <w:t>上汽集团</w:t>
            </w:r>
          </w:p>
        </w:tc>
        <w:tc>
          <w:tcPr>
            <w:tcW w:w="1327" w:type="dxa"/>
            <w:vAlign w:val="center"/>
          </w:tcPr>
          <w:p w:rsidR="00DA4266" w:rsidRDefault="00995D6C">
            <w:pPr>
              <w:jc w:val="right"/>
            </w:pPr>
            <w:r>
              <w:rPr>
                <w:color w:val="000000"/>
                <w:sz w:val="24"/>
              </w:rPr>
              <w:t>395,616</w:t>
            </w:r>
          </w:p>
        </w:tc>
        <w:tc>
          <w:tcPr>
            <w:tcW w:w="1915" w:type="dxa"/>
            <w:vAlign w:val="center"/>
          </w:tcPr>
          <w:p w:rsidR="00DA4266" w:rsidRDefault="00995D6C">
            <w:pPr>
              <w:jc w:val="right"/>
            </w:pPr>
            <w:r>
              <w:rPr>
                <w:color w:val="000000"/>
                <w:sz w:val="24"/>
              </w:rPr>
              <w:t>12,283,876.80</w:t>
            </w:r>
          </w:p>
        </w:tc>
        <w:tc>
          <w:tcPr>
            <w:tcW w:w="1680" w:type="dxa"/>
            <w:vAlign w:val="center"/>
          </w:tcPr>
          <w:p w:rsidR="00DA4266" w:rsidRDefault="00995D6C">
            <w:pPr>
              <w:jc w:val="right"/>
            </w:pPr>
            <w:r>
              <w:rPr>
                <w:color w:val="000000"/>
                <w:sz w:val="24"/>
              </w:rPr>
              <w:t>2.44</w:t>
            </w:r>
          </w:p>
        </w:tc>
      </w:tr>
      <w:tr w:rsidR="00DA4266">
        <w:trPr>
          <w:jc w:val="center"/>
        </w:trPr>
        <w:tc>
          <w:tcPr>
            <w:tcW w:w="850" w:type="dxa"/>
            <w:vAlign w:val="center"/>
          </w:tcPr>
          <w:p w:rsidR="00DA4266" w:rsidRDefault="00995D6C">
            <w:pPr>
              <w:jc w:val="center"/>
            </w:pPr>
            <w:r>
              <w:rPr>
                <w:color w:val="000000"/>
                <w:sz w:val="24"/>
              </w:rPr>
              <w:t>9</w:t>
            </w:r>
          </w:p>
        </w:tc>
        <w:tc>
          <w:tcPr>
            <w:tcW w:w="1327" w:type="dxa"/>
            <w:vAlign w:val="center"/>
          </w:tcPr>
          <w:p w:rsidR="00DA4266" w:rsidRDefault="00995D6C">
            <w:pPr>
              <w:jc w:val="center"/>
            </w:pPr>
            <w:r>
              <w:rPr>
                <w:color w:val="000000"/>
                <w:sz w:val="24"/>
              </w:rPr>
              <w:t>601601</w:t>
            </w:r>
          </w:p>
        </w:tc>
        <w:tc>
          <w:tcPr>
            <w:tcW w:w="1769" w:type="dxa"/>
            <w:vAlign w:val="center"/>
          </w:tcPr>
          <w:p w:rsidR="00DA4266" w:rsidRDefault="00995D6C">
            <w:pPr>
              <w:jc w:val="center"/>
            </w:pPr>
            <w:r>
              <w:rPr>
                <w:color w:val="000000"/>
                <w:sz w:val="24"/>
              </w:rPr>
              <w:t>中国太保</w:t>
            </w:r>
          </w:p>
        </w:tc>
        <w:tc>
          <w:tcPr>
            <w:tcW w:w="1327" w:type="dxa"/>
            <w:vAlign w:val="center"/>
          </w:tcPr>
          <w:p w:rsidR="00DA4266" w:rsidRDefault="00995D6C">
            <w:pPr>
              <w:jc w:val="right"/>
            </w:pPr>
            <w:r>
              <w:rPr>
                <w:color w:val="000000"/>
                <w:sz w:val="24"/>
              </w:rPr>
              <w:t>354,699</w:t>
            </w:r>
          </w:p>
        </w:tc>
        <w:tc>
          <w:tcPr>
            <w:tcW w:w="1915" w:type="dxa"/>
            <w:vAlign w:val="center"/>
          </w:tcPr>
          <w:p w:rsidR="00DA4266" w:rsidRDefault="00995D6C">
            <w:pPr>
              <w:jc w:val="right"/>
            </w:pPr>
            <w:r>
              <w:rPr>
                <w:color w:val="000000"/>
                <w:sz w:val="24"/>
              </w:rPr>
              <w:t>12,013,655.13</w:t>
            </w:r>
          </w:p>
        </w:tc>
        <w:tc>
          <w:tcPr>
            <w:tcW w:w="1680" w:type="dxa"/>
            <w:vAlign w:val="center"/>
          </w:tcPr>
          <w:p w:rsidR="00DA4266" w:rsidRDefault="00995D6C">
            <w:pPr>
              <w:jc w:val="right"/>
            </w:pPr>
            <w:r>
              <w:rPr>
                <w:color w:val="000000"/>
                <w:sz w:val="24"/>
              </w:rPr>
              <w:t>2.38</w:t>
            </w:r>
          </w:p>
        </w:tc>
      </w:tr>
      <w:tr w:rsidR="00DA4266">
        <w:trPr>
          <w:jc w:val="center"/>
        </w:trPr>
        <w:tc>
          <w:tcPr>
            <w:tcW w:w="850" w:type="dxa"/>
            <w:vAlign w:val="center"/>
          </w:tcPr>
          <w:p w:rsidR="00DA4266" w:rsidRDefault="00995D6C">
            <w:pPr>
              <w:jc w:val="center"/>
            </w:pPr>
            <w:r>
              <w:rPr>
                <w:color w:val="000000"/>
                <w:sz w:val="24"/>
              </w:rPr>
              <w:t>10</w:t>
            </w:r>
          </w:p>
        </w:tc>
        <w:tc>
          <w:tcPr>
            <w:tcW w:w="1327" w:type="dxa"/>
            <w:vAlign w:val="center"/>
          </w:tcPr>
          <w:p w:rsidR="00DA4266" w:rsidRDefault="00995D6C">
            <w:pPr>
              <w:jc w:val="center"/>
            </w:pPr>
            <w:r>
              <w:rPr>
                <w:color w:val="000000"/>
                <w:sz w:val="24"/>
              </w:rPr>
              <w:t>600900</w:t>
            </w:r>
          </w:p>
        </w:tc>
        <w:tc>
          <w:tcPr>
            <w:tcW w:w="1769" w:type="dxa"/>
            <w:vAlign w:val="center"/>
          </w:tcPr>
          <w:p w:rsidR="00DA4266" w:rsidRDefault="00995D6C">
            <w:pPr>
              <w:jc w:val="center"/>
            </w:pPr>
            <w:r>
              <w:rPr>
                <w:color w:val="000000"/>
                <w:sz w:val="24"/>
              </w:rPr>
              <w:t>长江电力</w:t>
            </w:r>
          </w:p>
        </w:tc>
        <w:tc>
          <w:tcPr>
            <w:tcW w:w="1327" w:type="dxa"/>
            <w:vAlign w:val="center"/>
          </w:tcPr>
          <w:p w:rsidR="00DA4266" w:rsidRDefault="00995D6C">
            <w:pPr>
              <w:jc w:val="right"/>
            </w:pPr>
            <w:r>
              <w:rPr>
                <w:color w:val="000000"/>
                <w:sz w:val="24"/>
              </w:rPr>
              <w:t>744,940</w:t>
            </w:r>
          </w:p>
        </w:tc>
        <w:tc>
          <w:tcPr>
            <w:tcW w:w="1915" w:type="dxa"/>
            <w:vAlign w:val="center"/>
          </w:tcPr>
          <w:p w:rsidR="00DA4266" w:rsidRDefault="00995D6C">
            <w:pPr>
              <w:jc w:val="right"/>
            </w:pPr>
            <w:r>
              <w:rPr>
                <w:color w:val="000000"/>
                <w:sz w:val="24"/>
              </w:rPr>
              <w:t>11,457,177.20</w:t>
            </w:r>
          </w:p>
        </w:tc>
        <w:tc>
          <w:tcPr>
            <w:tcW w:w="1680" w:type="dxa"/>
            <w:vAlign w:val="center"/>
          </w:tcPr>
          <w:p w:rsidR="00DA4266" w:rsidRDefault="00995D6C">
            <w:pPr>
              <w:jc w:val="right"/>
            </w:pPr>
            <w:r>
              <w:rPr>
                <w:color w:val="000000"/>
                <w:sz w:val="24"/>
              </w:rPr>
              <w:t>2.27</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0C27D1" w:rsidRDefault="000C27D1" w:rsidP="000C27D1">
      <w:pPr>
        <w:autoSpaceDE w:val="0"/>
        <w:autoSpaceDN w:val="0"/>
        <w:spacing w:before="29" w:line="288" w:lineRule="auto"/>
        <w:jc w:val="left"/>
        <w:rPr>
          <w:color w:val="000000"/>
          <w:sz w:val="24"/>
        </w:rPr>
      </w:pPr>
      <w:bookmarkStart w:id="0" w:name="_GoBack"/>
      <w:bookmarkEnd w:id="0"/>
      <w:r w:rsidRPr="000C27D1">
        <w:rPr>
          <w:rFonts w:ascii="宋体" w:hAnsi="宋体" w:hint="eastAsia"/>
          <w:color w:val="000000"/>
          <w:sz w:val="24"/>
        </w:rPr>
        <w:t>本基金本报告期末未持有积极投资的股票。</w:t>
      </w:r>
    </w:p>
    <w:p w:rsidR="00563E76" w:rsidRPr="000C27D1" w:rsidRDefault="00563E76" w:rsidP="0099526C">
      <w:pPr>
        <w:autoSpaceDE w:val="0"/>
        <w:autoSpaceDN w:val="0"/>
        <w:adjustRightInd w:val="0"/>
        <w:spacing w:before="29" w:line="288" w:lineRule="auto"/>
        <w:jc w:val="left"/>
        <w:rPr>
          <w:b/>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3,506.73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1,439.28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4,946.01</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本基金本报告期末积极投资前五名股票中不存在流通受限情况。</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492,524,362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29,000,000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467,524,362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410CF9">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Pr="000A1E19" w:rsidRDefault="00BF00F0" w:rsidP="00410CF9">
      <w:pPr>
        <w:pStyle w:val="1"/>
        <w:spacing w:beforeLines="100" w:before="312" w:afterLines="100" w:after="312" w:line="360" w:lineRule="auto"/>
        <w:jc w:val="center"/>
        <w:rPr>
          <w:rFonts w:eastAsiaTheme="minorEastAsia"/>
          <w:color w:val="000000" w:themeColor="text1"/>
          <w:kern w:val="0"/>
          <w:sz w:val="24"/>
          <w:szCs w:val="24"/>
        </w:rPr>
      </w:pPr>
      <w:r w:rsidRPr="000A1E19">
        <w:rPr>
          <w:rFonts w:eastAsiaTheme="minorEastAsia" w:hint="eastAsia"/>
          <w:color w:val="000000" w:themeColor="text1"/>
          <w:kern w:val="0"/>
          <w:sz w:val="24"/>
          <w:szCs w:val="24"/>
        </w:rPr>
        <w:t>§</w:t>
      </w:r>
      <w:r w:rsidR="00131907">
        <w:rPr>
          <w:rFonts w:eastAsiaTheme="minorEastAsia" w:hint="eastAsia"/>
          <w:color w:val="000000" w:themeColor="text1"/>
          <w:kern w:val="0"/>
          <w:sz w:val="24"/>
          <w:szCs w:val="24"/>
        </w:rPr>
        <w:t>8</w:t>
      </w:r>
      <w:r w:rsidR="00131907">
        <w:rPr>
          <w:rFonts w:eastAsiaTheme="minorEastAsia"/>
          <w:color w:val="000000" w:themeColor="text1"/>
          <w:kern w:val="0"/>
          <w:sz w:val="24"/>
          <w:szCs w:val="24"/>
        </w:rPr>
        <w:t xml:space="preserve"> </w:t>
      </w:r>
      <w:r w:rsidRPr="000A1E19">
        <w:rPr>
          <w:rFonts w:eastAsiaTheme="minorEastAsia" w:hint="eastAsia"/>
          <w:color w:val="000000" w:themeColor="text1"/>
          <w:kern w:val="0"/>
          <w:sz w:val="24"/>
          <w:szCs w:val="24"/>
        </w:rPr>
        <w:t>基金管影响投资者决策的其他重要信息</w:t>
      </w:r>
    </w:p>
    <w:p w:rsidR="00BF00F0" w:rsidRPr="000A1E19" w:rsidRDefault="00BF00F0" w:rsidP="00BF00F0">
      <w:pPr>
        <w:autoSpaceDE w:val="0"/>
        <w:autoSpaceDN w:val="0"/>
        <w:adjustRightInd w:val="0"/>
        <w:spacing w:line="360" w:lineRule="auto"/>
        <w:jc w:val="left"/>
        <w:rPr>
          <w:b/>
          <w:bCs/>
          <w:color w:val="000000"/>
          <w:kern w:val="0"/>
          <w:sz w:val="24"/>
        </w:rPr>
      </w:pPr>
      <w:r w:rsidRPr="000A1E19">
        <w:rPr>
          <w:b/>
          <w:bCs/>
          <w:color w:val="000000"/>
          <w:kern w:val="0"/>
          <w:sz w:val="24"/>
        </w:rPr>
        <w:t xml:space="preserve">8.1 </w:t>
      </w:r>
      <w:r w:rsidRPr="000A1E19">
        <w:rPr>
          <w:rFonts w:hint="eastAsia"/>
          <w:b/>
          <w:bCs/>
          <w:color w:val="000000"/>
          <w:kern w:val="0"/>
          <w:sz w:val="24"/>
        </w:rPr>
        <w:t>报告期内单一投资者持有基金份额比例达到或超过</w:t>
      </w:r>
      <w:r w:rsidRPr="000A1E19">
        <w:rPr>
          <w:b/>
          <w:bCs/>
          <w:color w:val="000000"/>
          <w:kern w:val="0"/>
          <w:sz w:val="24"/>
        </w:rPr>
        <w:t>20%</w:t>
      </w:r>
      <w:r w:rsidRPr="000A1E19">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RPr="00563E76" w:rsidTr="0094276B">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00F0" w:rsidRPr="000A1E19" w:rsidRDefault="00BF00F0">
            <w:pPr>
              <w:autoSpaceDE w:val="0"/>
              <w:autoSpaceDN w:val="0"/>
              <w:adjustRightInd w:val="0"/>
              <w:jc w:val="center"/>
              <w:rPr>
                <w:b/>
                <w:bCs/>
                <w:color w:val="000000"/>
                <w:kern w:val="0"/>
                <w:sz w:val="24"/>
              </w:rPr>
            </w:pPr>
            <w:r w:rsidRPr="000A1E19">
              <w:rPr>
                <w:rFonts w:hint="eastAsia"/>
                <w:color w:val="000000"/>
                <w:kern w:val="0"/>
                <w:sz w:val="24"/>
              </w:rPr>
              <w:t>投资者类别</w:t>
            </w:r>
            <w:r w:rsidRPr="000A1E19">
              <w:rPr>
                <w:color w:val="000000"/>
                <w:kern w:val="0"/>
                <w:sz w:val="24"/>
              </w:rPr>
              <w:t xml:space="preserve">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BF00F0" w:rsidRPr="000A1E19" w:rsidRDefault="00BF00F0">
            <w:pPr>
              <w:autoSpaceDE w:val="0"/>
              <w:autoSpaceDN w:val="0"/>
              <w:adjustRightInd w:val="0"/>
              <w:jc w:val="center"/>
              <w:rPr>
                <w:b/>
                <w:bCs/>
                <w:color w:val="000000"/>
                <w:kern w:val="0"/>
                <w:sz w:val="24"/>
              </w:rPr>
            </w:pPr>
            <w:r w:rsidRPr="000A1E19">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Pr="000A1E19" w:rsidRDefault="00BF00F0">
            <w:pPr>
              <w:autoSpaceDE w:val="0"/>
              <w:autoSpaceDN w:val="0"/>
              <w:adjustRightInd w:val="0"/>
              <w:jc w:val="center"/>
              <w:rPr>
                <w:b/>
                <w:bCs/>
                <w:color w:val="000000"/>
                <w:kern w:val="0"/>
                <w:sz w:val="24"/>
              </w:rPr>
            </w:pPr>
            <w:r w:rsidRPr="000A1E19">
              <w:rPr>
                <w:rFonts w:hint="eastAsia"/>
                <w:color w:val="000000"/>
                <w:kern w:val="0"/>
                <w:sz w:val="24"/>
              </w:rPr>
              <w:t>报告期末持有基金情况</w:t>
            </w:r>
          </w:p>
        </w:tc>
      </w:tr>
      <w:tr w:rsidR="00BF00F0" w:rsidRPr="00563E76" w:rsidTr="0094276B">
        <w:tc>
          <w:tcPr>
            <w:tcW w:w="992" w:type="dxa"/>
            <w:vMerge/>
            <w:tcBorders>
              <w:top w:val="single" w:sz="4" w:space="0" w:color="auto"/>
              <w:left w:val="single" w:sz="4" w:space="0" w:color="auto"/>
              <w:bottom w:val="single" w:sz="4" w:space="0" w:color="auto"/>
              <w:right w:val="single" w:sz="4" w:space="0" w:color="auto"/>
            </w:tcBorders>
            <w:vAlign w:val="center"/>
            <w:hideMark/>
          </w:tcPr>
          <w:p w:rsidR="00BF00F0" w:rsidRPr="000A1E19" w:rsidRDefault="00BF00F0">
            <w:pPr>
              <w:widowControl/>
              <w:jc w:val="left"/>
              <w:rPr>
                <w:b/>
                <w:bCs/>
                <w:color w:val="000000"/>
                <w:kern w:val="0"/>
                <w:sz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BF00F0" w:rsidRPr="000A1E19" w:rsidRDefault="00BF00F0">
            <w:pPr>
              <w:autoSpaceDE w:val="0"/>
              <w:autoSpaceDN w:val="0"/>
              <w:adjustRightInd w:val="0"/>
              <w:jc w:val="center"/>
              <w:rPr>
                <w:b/>
                <w:bCs/>
                <w:color w:val="000000"/>
                <w:kern w:val="0"/>
                <w:sz w:val="24"/>
              </w:rPr>
            </w:pPr>
            <w:r w:rsidRPr="000A1E19">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Pr="000A1E19" w:rsidRDefault="00BF00F0">
            <w:pPr>
              <w:autoSpaceDE w:val="0"/>
              <w:autoSpaceDN w:val="0"/>
              <w:adjustRightInd w:val="0"/>
              <w:jc w:val="center"/>
              <w:rPr>
                <w:b/>
                <w:bCs/>
                <w:color w:val="000000"/>
                <w:kern w:val="0"/>
                <w:sz w:val="24"/>
              </w:rPr>
            </w:pPr>
            <w:r w:rsidRPr="000A1E19">
              <w:rPr>
                <w:rFonts w:hint="eastAsia"/>
                <w:color w:val="000000"/>
                <w:kern w:val="0"/>
                <w:sz w:val="24"/>
              </w:rPr>
              <w:t>持有基金份额比例达到或者超过</w:t>
            </w:r>
            <w:r w:rsidRPr="000A1E19">
              <w:rPr>
                <w:color w:val="000000"/>
                <w:kern w:val="0"/>
                <w:sz w:val="24"/>
              </w:rPr>
              <w:t>20%</w:t>
            </w:r>
            <w:r w:rsidRPr="000A1E19">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Pr="000A1E19" w:rsidRDefault="00BF00F0">
            <w:pPr>
              <w:widowControl/>
              <w:jc w:val="center"/>
              <w:rPr>
                <w:b/>
                <w:bCs/>
                <w:color w:val="000000"/>
                <w:kern w:val="0"/>
                <w:sz w:val="24"/>
              </w:rPr>
            </w:pPr>
            <w:r w:rsidRPr="000A1E19">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Pr="000A1E19" w:rsidRDefault="00BF00F0">
            <w:pPr>
              <w:widowControl/>
              <w:jc w:val="center"/>
              <w:rPr>
                <w:b/>
                <w:bCs/>
                <w:color w:val="000000"/>
                <w:kern w:val="0"/>
                <w:sz w:val="24"/>
              </w:rPr>
            </w:pPr>
            <w:r w:rsidRPr="000A1E19">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Pr="000A1E19" w:rsidRDefault="00BF00F0">
            <w:pPr>
              <w:widowControl/>
              <w:jc w:val="center"/>
              <w:rPr>
                <w:b/>
                <w:bCs/>
                <w:color w:val="000000"/>
                <w:kern w:val="0"/>
                <w:sz w:val="24"/>
              </w:rPr>
            </w:pPr>
            <w:r w:rsidRPr="000A1E19">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Pr="000A1E19" w:rsidRDefault="00BF00F0">
            <w:pPr>
              <w:autoSpaceDE w:val="0"/>
              <w:autoSpaceDN w:val="0"/>
              <w:adjustRightInd w:val="0"/>
              <w:jc w:val="center"/>
              <w:rPr>
                <w:b/>
                <w:bCs/>
                <w:color w:val="000000"/>
                <w:kern w:val="0"/>
                <w:sz w:val="24"/>
              </w:rPr>
            </w:pPr>
            <w:r w:rsidRPr="000A1E19">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Pr="000A1E19" w:rsidRDefault="00BF00F0">
            <w:pPr>
              <w:autoSpaceDE w:val="0"/>
              <w:autoSpaceDN w:val="0"/>
              <w:adjustRightInd w:val="0"/>
              <w:jc w:val="center"/>
              <w:rPr>
                <w:b/>
                <w:bCs/>
                <w:color w:val="000000"/>
                <w:kern w:val="0"/>
                <w:sz w:val="24"/>
              </w:rPr>
            </w:pPr>
            <w:r w:rsidRPr="000A1E19">
              <w:rPr>
                <w:rFonts w:hint="eastAsia"/>
                <w:color w:val="000000"/>
                <w:kern w:val="0"/>
                <w:sz w:val="24"/>
              </w:rPr>
              <w:t>份额占比</w:t>
            </w:r>
          </w:p>
        </w:tc>
      </w:tr>
      <w:tr w:rsidR="00DA4266" w:rsidRPr="00563E76">
        <w:tc>
          <w:tcPr>
            <w:tcW w:w="992" w:type="dxa"/>
            <w:vMerge w:val="restart"/>
          </w:tcPr>
          <w:p w:rsidR="00DA4266" w:rsidRPr="000A1E19" w:rsidRDefault="00DA4266">
            <w:pPr>
              <w:rPr>
                <w:sz w:val="24"/>
              </w:rPr>
            </w:pPr>
          </w:p>
          <w:p w:rsidR="00DA4266" w:rsidRPr="000A1E19" w:rsidRDefault="00995D6C">
            <w:pPr>
              <w:rPr>
                <w:sz w:val="24"/>
              </w:rPr>
            </w:pPr>
            <w:r w:rsidRPr="000A1E19">
              <w:rPr>
                <w:rFonts w:hint="eastAsia"/>
                <w:kern w:val="0"/>
                <w:sz w:val="24"/>
              </w:rPr>
              <w:t>交银施罗德上证</w:t>
            </w:r>
            <w:r w:rsidRPr="000A1E19">
              <w:rPr>
                <w:kern w:val="0"/>
                <w:sz w:val="24"/>
              </w:rPr>
              <w:t>180</w:t>
            </w:r>
            <w:r w:rsidRPr="000A1E19">
              <w:rPr>
                <w:rFonts w:hint="eastAsia"/>
                <w:kern w:val="0"/>
                <w:sz w:val="24"/>
              </w:rPr>
              <w:t>公司治理交易型开放式指数证券投资基金联接基金</w:t>
            </w:r>
          </w:p>
        </w:tc>
        <w:tc>
          <w:tcPr>
            <w:tcW w:w="991" w:type="dxa"/>
            <w:vAlign w:val="center"/>
          </w:tcPr>
          <w:p w:rsidR="00DA4266" w:rsidRPr="000A1E19" w:rsidRDefault="00995D6C">
            <w:pPr>
              <w:jc w:val="center"/>
              <w:rPr>
                <w:sz w:val="24"/>
              </w:rPr>
            </w:pPr>
            <w:r w:rsidRPr="000A1E19">
              <w:rPr>
                <w:bCs/>
                <w:color w:val="000000"/>
                <w:kern w:val="0"/>
                <w:sz w:val="24"/>
              </w:rPr>
              <w:t>1</w:t>
            </w:r>
          </w:p>
        </w:tc>
        <w:tc>
          <w:tcPr>
            <w:tcW w:w="1843" w:type="dxa"/>
            <w:vAlign w:val="center"/>
          </w:tcPr>
          <w:p w:rsidR="00DA4266" w:rsidRPr="000A1E19" w:rsidRDefault="00995D6C">
            <w:pPr>
              <w:jc w:val="center"/>
              <w:rPr>
                <w:sz w:val="24"/>
              </w:rPr>
            </w:pPr>
            <w:r w:rsidRPr="000A1E19">
              <w:rPr>
                <w:bCs/>
                <w:color w:val="000000"/>
                <w:kern w:val="0"/>
                <w:sz w:val="24"/>
              </w:rPr>
              <w:t>2017/4/1-2017/6/30</w:t>
            </w:r>
          </w:p>
        </w:tc>
        <w:tc>
          <w:tcPr>
            <w:tcW w:w="851" w:type="dxa"/>
            <w:vAlign w:val="center"/>
          </w:tcPr>
          <w:p w:rsidR="00DA4266" w:rsidRPr="000A1E19" w:rsidRDefault="00995D6C">
            <w:pPr>
              <w:jc w:val="center"/>
              <w:rPr>
                <w:sz w:val="24"/>
              </w:rPr>
            </w:pPr>
            <w:r w:rsidRPr="000A1E19">
              <w:rPr>
                <w:bCs/>
                <w:color w:val="000000"/>
                <w:kern w:val="0"/>
                <w:sz w:val="24"/>
              </w:rPr>
              <w:t>458,424,699.00</w:t>
            </w:r>
          </w:p>
        </w:tc>
        <w:tc>
          <w:tcPr>
            <w:tcW w:w="850" w:type="dxa"/>
            <w:vAlign w:val="center"/>
          </w:tcPr>
          <w:p w:rsidR="00DA4266" w:rsidRPr="000A1E19" w:rsidRDefault="00995D6C">
            <w:pPr>
              <w:jc w:val="center"/>
              <w:rPr>
                <w:sz w:val="24"/>
              </w:rPr>
            </w:pPr>
            <w:r w:rsidRPr="000A1E19">
              <w:rPr>
                <w:bCs/>
                <w:color w:val="000000"/>
                <w:kern w:val="0"/>
                <w:sz w:val="24"/>
              </w:rPr>
              <w:t>-</w:t>
            </w:r>
          </w:p>
        </w:tc>
        <w:tc>
          <w:tcPr>
            <w:tcW w:w="1134" w:type="dxa"/>
            <w:vAlign w:val="center"/>
          </w:tcPr>
          <w:p w:rsidR="00DA4266" w:rsidRPr="000A1E19" w:rsidRDefault="00995D6C">
            <w:pPr>
              <w:jc w:val="center"/>
              <w:rPr>
                <w:sz w:val="24"/>
              </w:rPr>
            </w:pPr>
            <w:r w:rsidRPr="000A1E19">
              <w:rPr>
                <w:bCs/>
                <w:color w:val="000000"/>
                <w:kern w:val="0"/>
                <w:sz w:val="24"/>
              </w:rPr>
              <w:t>21,000,000.00</w:t>
            </w:r>
          </w:p>
        </w:tc>
        <w:tc>
          <w:tcPr>
            <w:tcW w:w="1419" w:type="dxa"/>
            <w:vAlign w:val="center"/>
          </w:tcPr>
          <w:p w:rsidR="00DA4266" w:rsidRPr="000A1E19" w:rsidRDefault="00995D6C">
            <w:pPr>
              <w:jc w:val="center"/>
              <w:rPr>
                <w:sz w:val="24"/>
              </w:rPr>
            </w:pPr>
            <w:r w:rsidRPr="000A1E19">
              <w:rPr>
                <w:bCs/>
                <w:color w:val="000000"/>
                <w:kern w:val="0"/>
                <w:sz w:val="24"/>
              </w:rPr>
              <w:t>437,424,699.00</w:t>
            </w:r>
          </w:p>
        </w:tc>
        <w:tc>
          <w:tcPr>
            <w:tcW w:w="1130" w:type="dxa"/>
            <w:vAlign w:val="center"/>
          </w:tcPr>
          <w:p w:rsidR="00DA4266" w:rsidRPr="000A1E19" w:rsidRDefault="00995D6C">
            <w:pPr>
              <w:jc w:val="center"/>
              <w:rPr>
                <w:sz w:val="24"/>
              </w:rPr>
            </w:pPr>
            <w:r w:rsidRPr="000A1E19">
              <w:rPr>
                <w:bCs/>
                <w:color w:val="000000"/>
                <w:kern w:val="0"/>
                <w:sz w:val="24"/>
              </w:rPr>
              <w:t>93.56%</w:t>
            </w:r>
          </w:p>
        </w:tc>
      </w:tr>
    </w:tbl>
    <w:p w:rsidR="0094276B" w:rsidRPr="000A1E19" w:rsidRDefault="0094276B" w:rsidP="0094276B">
      <w:pPr>
        <w:rPr>
          <w:sz w:val="24"/>
        </w:rPr>
      </w:pPr>
      <w:r w:rsidRPr="000A1E19">
        <w:rPr>
          <w:rFonts w:hint="eastAsia"/>
          <w:sz w:val="24"/>
        </w:rPr>
        <w:t>注：本基金是交银施罗德上证</w:t>
      </w:r>
      <w:r w:rsidRPr="000A1E19">
        <w:rPr>
          <w:sz w:val="24"/>
        </w:rPr>
        <w:t>180</w:t>
      </w:r>
      <w:r w:rsidRPr="000A1E19">
        <w:rPr>
          <w:rFonts w:hint="eastAsia"/>
          <w:sz w:val="24"/>
        </w:rPr>
        <w:t>公司治理交易型开放式指数证券投资基金联接基金的</w:t>
      </w:r>
      <w:r w:rsidRPr="000A1E19">
        <w:rPr>
          <w:rFonts w:hint="eastAsia"/>
          <w:sz w:val="24"/>
        </w:rPr>
        <w:lastRenderedPageBreak/>
        <w:t>目标</w:t>
      </w:r>
      <w:r w:rsidRPr="000A1E19">
        <w:rPr>
          <w:sz w:val="24"/>
        </w:rPr>
        <w:t>ETF</w:t>
      </w:r>
      <w:r w:rsidRPr="000A1E19">
        <w:rPr>
          <w:rFonts w:hint="eastAsia"/>
          <w:sz w:val="24"/>
        </w:rPr>
        <w:t>。交银施罗德上证</w:t>
      </w:r>
      <w:r w:rsidRPr="000A1E19">
        <w:rPr>
          <w:sz w:val="24"/>
        </w:rPr>
        <w:t>180</w:t>
      </w:r>
      <w:r w:rsidRPr="000A1E19">
        <w:rPr>
          <w:rFonts w:hint="eastAsia"/>
          <w:sz w:val="24"/>
        </w:rPr>
        <w:t>公司治理交易型开放式指数证券投资基金联接基金遵循指数化投资理念，以目标</w:t>
      </w:r>
      <w:r w:rsidRPr="000A1E19">
        <w:rPr>
          <w:sz w:val="24"/>
        </w:rPr>
        <w:t>ETF</w:t>
      </w:r>
      <w:r w:rsidRPr="000A1E19">
        <w:rPr>
          <w:rFonts w:hint="eastAsia"/>
          <w:sz w:val="24"/>
        </w:rPr>
        <w:t>为主要投资对象，正常情况下投资于目标</w:t>
      </w:r>
      <w:r w:rsidRPr="000A1E19">
        <w:rPr>
          <w:sz w:val="24"/>
        </w:rPr>
        <w:t>ETF</w:t>
      </w:r>
      <w:r w:rsidRPr="000A1E19">
        <w:rPr>
          <w:rFonts w:hint="eastAsia"/>
          <w:sz w:val="24"/>
        </w:rPr>
        <w:t>的资产比例不低于基金资产净值的</w:t>
      </w:r>
      <w:r w:rsidRPr="000A1E19">
        <w:rPr>
          <w:sz w:val="24"/>
        </w:rPr>
        <w:t>90%</w:t>
      </w:r>
      <w:r w:rsidRPr="000A1E19">
        <w:rPr>
          <w:rFonts w:hint="eastAsia"/>
          <w:sz w:val="24"/>
        </w:rPr>
        <w:t>。本基金本报告期内除上述联接基金外未出现单一投资者持有基金份额比例超过基金总份额</w:t>
      </w:r>
      <w:r w:rsidRPr="000A1E19">
        <w:rPr>
          <w:sz w:val="24"/>
        </w:rPr>
        <w:t>20%</w:t>
      </w:r>
      <w:r w:rsidRPr="000A1E19">
        <w:rPr>
          <w:rFonts w:hint="eastAsia"/>
          <w:sz w:val="24"/>
        </w:rPr>
        <w:t>的情况。</w:t>
      </w:r>
    </w:p>
    <w:p w:rsidR="00981CE6" w:rsidRPr="00405A85"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DA4266" w:rsidRDefault="00995D6C">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DA4266" w:rsidRDefault="00995D6C">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DA4266" w:rsidRDefault="00995D6C">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DA4266" w:rsidRDefault="00995D6C">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DA4266" w:rsidRDefault="00995D6C">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DA4266" w:rsidRDefault="00995D6C">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DA4266" w:rsidRDefault="00995D6C">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DA4266" w:rsidRDefault="00995D6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63A" w:rsidRDefault="006F163A">
      <w:r>
        <w:separator/>
      </w:r>
    </w:p>
  </w:endnote>
  <w:endnote w:type="continuationSeparator" w:id="0">
    <w:p w:rsidR="006F163A" w:rsidRDefault="006F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E839DB">
      <w:rPr>
        <w:kern w:val="0"/>
        <w:szCs w:val="21"/>
      </w:rPr>
      <w:fldChar w:fldCharType="begin"/>
    </w:r>
    <w:r>
      <w:rPr>
        <w:kern w:val="0"/>
        <w:szCs w:val="21"/>
      </w:rPr>
      <w:instrText xml:space="preserve"> PAGE </w:instrText>
    </w:r>
    <w:r w:rsidR="00E839DB">
      <w:rPr>
        <w:kern w:val="0"/>
        <w:szCs w:val="21"/>
      </w:rPr>
      <w:fldChar w:fldCharType="separate"/>
    </w:r>
    <w:r w:rsidR="000C27D1">
      <w:rPr>
        <w:noProof/>
        <w:kern w:val="0"/>
        <w:szCs w:val="21"/>
      </w:rPr>
      <w:t>8</w:t>
    </w:r>
    <w:r w:rsidR="00E839DB">
      <w:rPr>
        <w:kern w:val="0"/>
        <w:szCs w:val="21"/>
      </w:rPr>
      <w:fldChar w:fldCharType="end"/>
    </w:r>
    <w:r>
      <w:rPr>
        <w:rFonts w:hint="eastAsia"/>
        <w:kern w:val="0"/>
        <w:szCs w:val="21"/>
      </w:rPr>
      <w:t>页共</w:t>
    </w:r>
    <w:r w:rsidR="00E839DB">
      <w:rPr>
        <w:kern w:val="0"/>
        <w:szCs w:val="21"/>
      </w:rPr>
      <w:fldChar w:fldCharType="begin"/>
    </w:r>
    <w:r>
      <w:rPr>
        <w:kern w:val="0"/>
        <w:szCs w:val="21"/>
      </w:rPr>
      <w:instrText xml:space="preserve"> NUMPAGES </w:instrText>
    </w:r>
    <w:r w:rsidR="00E839DB">
      <w:rPr>
        <w:kern w:val="0"/>
        <w:szCs w:val="21"/>
      </w:rPr>
      <w:fldChar w:fldCharType="separate"/>
    </w:r>
    <w:r w:rsidR="000C27D1">
      <w:rPr>
        <w:noProof/>
        <w:kern w:val="0"/>
        <w:szCs w:val="21"/>
      </w:rPr>
      <w:t>12</w:t>
    </w:r>
    <w:r w:rsidR="00E839D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E839DB">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63A" w:rsidRDefault="006F163A">
      <w:r>
        <w:separator/>
      </w:r>
    </w:p>
  </w:footnote>
  <w:footnote w:type="continuationSeparator" w:id="0">
    <w:p w:rsidR="006F163A" w:rsidRDefault="006F1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1E19"/>
    <w:rsid w:val="000A457E"/>
    <w:rsid w:val="000A53FD"/>
    <w:rsid w:val="000A549A"/>
    <w:rsid w:val="000A5F96"/>
    <w:rsid w:val="000A72F2"/>
    <w:rsid w:val="000B0C56"/>
    <w:rsid w:val="000B0CB4"/>
    <w:rsid w:val="000B3E43"/>
    <w:rsid w:val="000B5072"/>
    <w:rsid w:val="000B5CC0"/>
    <w:rsid w:val="000C1723"/>
    <w:rsid w:val="000C1B20"/>
    <w:rsid w:val="000C27D1"/>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1907"/>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3E76"/>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163A"/>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276B"/>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5D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4D84"/>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4266"/>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6564929E-03E6-4448-9BB7-35CE5F1F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12</Pages>
  <Words>1044</Words>
  <Characters>5957</Characters>
  <Application>Microsoft Office Word</Application>
  <DocSecurity>0</DocSecurity>
  <Lines>49</Lines>
  <Paragraphs>13</Paragraphs>
  <ScaleCrop>false</ScaleCrop>
  <Company>TRT. Ltd. Co.</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390</cp:revision>
  <cp:lastPrinted>2007-07-19T00:46:00Z</cp:lastPrinted>
  <dcterms:created xsi:type="dcterms:W3CDTF">2012-11-21T04:46:00Z</dcterms:created>
  <dcterms:modified xsi:type="dcterms:W3CDTF">2017-07-18T05:27:00Z</dcterms:modified>
</cp:coreProperties>
</file>