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bookmarkStart w:id="0" w:name="_GoBack"/>
      <w:bookmarkEnd w:id="0"/>
    </w:p>
    <w:p w:rsidR="002279D3" w:rsidRPr="0081286B" w:rsidRDefault="002279D3" w:rsidP="00C15CAC">
      <w:pPr>
        <w:spacing w:before="29" w:line="288" w:lineRule="auto"/>
        <w:jc w:val="center"/>
        <w:rPr>
          <w:b/>
          <w:sz w:val="36"/>
          <w:szCs w:val="36"/>
        </w:rPr>
      </w:pPr>
      <w:r w:rsidRPr="0081286B">
        <w:rPr>
          <w:b/>
          <w:sz w:val="36"/>
          <w:szCs w:val="36"/>
        </w:rPr>
        <w:t>交银施罗德稳健配置混合型证券投资基金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二〇一七年七月二十日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90B27" w:rsidRDefault="006149A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90B27" w:rsidRDefault="006149A8">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90B27" w:rsidRDefault="006149A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90B27" w:rsidRDefault="006149A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690B27" w:rsidRDefault="006149A8">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2,208,778,533.06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65%×MSCI</w:t>
            </w:r>
            <w:r w:rsidRPr="00414345">
              <w:rPr>
                <w:color w:val="000000"/>
                <w:kern w:val="0"/>
                <w:sz w:val="24"/>
                <w:szCs w:val="24"/>
              </w:rPr>
              <w:t>中国</w:t>
            </w:r>
            <w:r w:rsidRPr="00414345">
              <w:rPr>
                <w:color w:val="000000"/>
                <w:kern w:val="0"/>
                <w:sz w:val="24"/>
                <w:szCs w:val="24"/>
              </w:rPr>
              <w:t>A</w:t>
            </w:r>
            <w:r w:rsidRPr="00414345">
              <w:rPr>
                <w:color w:val="000000"/>
                <w:kern w:val="0"/>
                <w:sz w:val="24"/>
                <w:szCs w:val="24"/>
              </w:rPr>
              <w:t>股指数</w:t>
            </w:r>
            <w:r w:rsidRPr="00414345">
              <w:rPr>
                <w:color w:val="000000"/>
                <w:kern w:val="0"/>
                <w:sz w:val="24"/>
                <w:szCs w:val="24"/>
              </w:rPr>
              <w:t>+35%×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149A8" w:rsidRPr="00414345" w:rsidTr="006149A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6149A8" w:rsidRPr="00414345" w:rsidTr="006149A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19,758,707.27</w:t>
            </w:r>
          </w:p>
        </w:tc>
      </w:tr>
      <w:tr w:rsidR="006149A8" w:rsidRPr="00414345" w:rsidTr="006149A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288,192,090.12</w:t>
            </w:r>
          </w:p>
        </w:tc>
      </w:tr>
      <w:tr w:rsidR="006149A8" w:rsidRPr="00414345" w:rsidTr="006149A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6149A8">
            <w:pPr>
              <w:adjustRightInd w:val="0"/>
              <w:spacing w:before="29" w:line="288" w:lineRule="auto"/>
              <w:ind w:left="17"/>
              <w:jc w:val="right"/>
              <w:rPr>
                <w:color w:val="000000"/>
                <w:sz w:val="24"/>
                <w:szCs w:val="24"/>
              </w:rPr>
            </w:pPr>
            <w:r w:rsidRPr="00414345">
              <w:rPr>
                <w:color w:val="000000"/>
                <w:sz w:val="24"/>
                <w:szCs w:val="24"/>
              </w:rPr>
              <w:t>0.148</w:t>
            </w:r>
            <w:r w:rsidR="006149A8">
              <w:rPr>
                <w:color w:val="000000"/>
                <w:sz w:val="24"/>
                <w:szCs w:val="24"/>
              </w:rPr>
              <w:t>8</w:t>
            </w:r>
          </w:p>
        </w:tc>
      </w:tr>
      <w:tr w:rsidR="006149A8" w:rsidRPr="00414345" w:rsidTr="006149A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3,019,396,153.84</w:t>
            </w:r>
          </w:p>
        </w:tc>
      </w:tr>
      <w:tr w:rsidR="006149A8" w:rsidRPr="00414345" w:rsidTr="006149A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1.3670</w:t>
            </w:r>
          </w:p>
        </w:tc>
      </w:tr>
    </w:tbl>
    <w:p w:rsidR="00690B27" w:rsidRDefault="006149A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90B27">
        <w:trPr>
          <w:jc w:val="center"/>
        </w:trPr>
        <w:tc>
          <w:tcPr>
            <w:tcW w:w="1701" w:type="dxa"/>
            <w:vAlign w:val="center"/>
          </w:tcPr>
          <w:p w:rsidR="00690B27" w:rsidRDefault="006149A8">
            <w:pPr>
              <w:jc w:val="left"/>
            </w:pPr>
            <w:r>
              <w:rPr>
                <w:color w:val="000000"/>
                <w:sz w:val="24"/>
                <w:szCs w:val="24"/>
              </w:rPr>
              <w:t>过去三个月</w:t>
            </w:r>
          </w:p>
        </w:tc>
        <w:tc>
          <w:tcPr>
            <w:tcW w:w="1045" w:type="dxa"/>
            <w:vAlign w:val="center"/>
          </w:tcPr>
          <w:p w:rsidR="00690B27" w:rsidRDefault="006149A8">
            <w:pPr>
              <w:jc w:val="center"/>
            </w:pPr>
            <w:r>
              <w:rPr>
                <w:color w:val="000000"/>
                <w:sz w:val="24"/>
                <w:szCs w:val="24"/>
              </w:rPr>
              <w:t>11.88%</w:t>
            </w:r>
          </w:p>
        </w:tc>
        <w:tc>
          <w:tcPr>
            <w:tcW w:w="1344" w:type="dxa"/>
            <w:vAlign w:val="center"/>
          </w:tcPr>
          <w:p w:rsidR="00690B27" w:rsidRDefault="006149A8">
            <w:pPr>
              <w:jc w:val="center"/>
            </w:pPr>
            <w:r>
              <w:rPr>
                <w:color w:val="000000"/>
                <w:sz w:val="24"/>
                <w:szCs w:val="24"/>
              </w:rPr>
              <w:t>0.93%</w:t>
            </w:r>
          </w:p>
        </w:tc>
        <w:tc>
          <w:tcPr>
            <w:tcW w:w="1194" w:type="dxa"/>
            <w:vAlign w:val="center"/>
          </w:tcPr>
          <w:p w:rsidR="00690B27" w:rsidRDefault="006149A8">
            <w:pPr>
              <w:jc w:val="center"/>
            </w:pPr>
            <w:r>
              <w:rPr>
                <w:color w:val="000000"/>
                <w:sz w:val="24"/>
                <w:szCs w:val="24"/>
              </w:rPr>
              <w:t>1.68%</w:t>
            </w:r>
          </w:p>
        </w:tc>
        <w:tc>
          <w:tcPr>
            <w:tcW w:w="1492" w:type="dxa"/>
            <w:vAlign w:val="center"/>
          </w:tcPr>
          <w:p w:rsidR="00690B27" w:rsidRDefault="006149A8">
            <w:pPr>
              <w:jc w:val="center"/>
            </w:pPr>
            <w:r>
              <w:rPr>
                <w:color w:val="000000"/>
                <w:sz w:val="24"/>
                <w:szCs w:val="24"/>
              </w:rPr>
              <w:t>0.44%</w:t>
            </w:r>
          </w:p>
        </w:tc>
        <w:tc>
          <w:tcPr>
            <w:tcW w:w="1194" w:type="dxa"/>
            <w:vAlign w:val="center"/>
          </w:tcPr>
          <w:p w:rsidR="00690B27" w:rsidRDefault="006149A8">
            <w:pPr>
              <w:jc w:val="center"/>
            </w:pPr>
            <w:r>
              <w:rPr>
                <w:color w:val="000000"/>
                <w:sz w:val="24"/>
                <w:szCs w:val="24"/>
              </w:rPr>
              <w:t>10.20%</w:t>
            </w:r>
          </w:p>
        </w:tc>
        <w:tc>
          <w:tcPr>
            <w:tcW w:w="898" w:type="dxa"/>
            <w:vAlign w:val="center"/>
          </w:tcPr>
          <w:p w:rsidR="00690B27" w:rsidRDefault="006149A8">
            <w:pPr>
              <w:jc w:val="center"/>
            </w:pPr>
            <w:r>
              <w:rPr>
                <w:color w:val="000000"/>
                <w:sz w:val="24"/>
                <w:szCs w:val="24"/>
              </w:rPr>
              <w:t>0.49%</w:t>
            </w:r>
          </w:p>
        </w:tc>
      </w:tr>
    </w:tbl>
    <w:p w:rsidR="00690B27" w:rsidRDefault="006149A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、本基金业绩比较基准自</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1</w:t>
      </w:r>
      <w:r>
        <w:rPr>
          <w:color w:val="000000"/>
          <w:sz w:val="24"/>
          <w:szCs w:val="24"/>
        </w:rPr>
        <w:t>日起，由</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新华巴克莱资本中国全债指数</w:t>
      </w:r>
      <w:r>
        <w:rPr>
          <w:color w:val="000000"/>
          <w:sz w:val="24"/>
          <w:szCs w:val="24"/>
        </w:rPr>
        <w:t>”</w:t>
      </w:r>
      <w:r>
        <w:rPr>
          <w:color w:val="000000"/>
          <w:sz w:val="24"/>
          <w:szCs w:val="24"/>
        </w:rPr>
        <w:t>变更为</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中信标普全债指数</w:t>
      </w:r>
      <w:r>
        <w:rPr>
          <w:color w:val="000000"/>
          <w:sz w:val="24"/>
          <w:szCs w:val="24"/>
        </w:rPr>
        <w:t>”</w:t>
      </w:r>
      <w:r>
        <w:rPr>
          <w:color w:val="000000"/>
          <w:sz w:val="24"/>
          <w:szCs w:val="24"/>
        </w:rPr>
        <w:t>，</w:t>
      </w:r>
      <w:r>
        <w:rPr>
          <w:color w:val="000000"/>
          <w:sz w:val="24"/>
          <w:szCs w:val="24"/>
        </w:rPr>
        <w:t>3.2.2</w:t>
      </w:r>
      <w:r>
        <w:rPr>
          <w:color w:val="000000"/>
          <w:sz w:val="24"/>
          <w:szCs w:val="24"/>
        </w:rPr>
        <w:t>同。详情见本基金管理人于</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26</w:t>
      </w:r>
      <w:r>
        <w:rPr>
          <w:color w:val="000000"/>
          <w:sz w:val="24"/>
          <w:szCs w:val="24"/>
        </w:rPr>
        <w:t>日发布的《交银施罗德基金管理有限公司关于变更交银施罗德稳健配置混合型证券投资基金业绩比较基准并修改基金合同相关内容的公告》。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交银施罗德稳健配置混合型证券投资基金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90B27">
        <w:trPr>
          <w:jc w:val="center"/>
        </w:trPr>
        <w:tc>
          <w:tcPr>
            <w:tcW w:w="846" w:type="dxa"/>
            <w:vAlign w:val="center"/>
          </w:tcPr>
          <w:p w:rsidR="00690B27" w:rsidRDefault="006149A8">
            <w:pPr>
              <w:jc w:val="center"/>
            </w:pPr>
            <w:r>
              <w:rPr>
                <w:color w:val="000000"/>
                <w:sz w:val="24"/>
                <w:szCs w:val="24"/>
              </w:rPr>
              <w:t>唐倩</w:t>
            </w:r>
          </w:p>
        </w:tc>
        <w:tc>
          <w:tcPr>
            <w:tcW w:w="845" w:type="dxa"/>
            <w:vAlign w:val="center"/>
          </w:tcPr>
          <w:p w:rsidR="00690B27" w:rsidRDefault="006149A8">
            <w:pPr>
              <w:jc w:val="center"/>
            </w:pPr>
            <w:r>
              <w:rPr>
                <w:color w:val="000000"/>
                <w:sz w:val="24"/>
                <w:szCs w:val="24"/>
              </w:rPr>
              <w:t>交银稳健配置混合的基金经理、公</w:t>
            </w:r>
            <w:r>
              <w:rPr>
                <w:color w:val="000000"/>
                <w:sz w:val="24"/>
                <w:szCs w:val="24"/>
              </w:rPr>
              <w:lastRenderedPageBreak/>
              <w:t>司首席基金经理</w:t>
            </w:r>
          </w:p>
        </w:tc>
        <w:tc>
          <w:tcPr>
            <w:tcW w:w="1549" w:type="dxa"/>
            <w:vAlign w:val="center"/>
          </w:tcPr>
          <w:p w:rsidR="00690B27" w:rsidRDefault="006149A8">
            <w:pPr>
              <w:jc w:val="center"/>
            </w:pPr>
            <w:r>
              <w:rPr>
                <w:color w:val="000000"/>
                <w:sz w:val="24"/>
                <w:szCs w:val="24"/>
              </w:rPr>
              <w:lastRenderedPageBreak/>
              <w:t>2013-12-12</w:t>
            </w:r>
          </w:p>
        </w:tc>
        <w:tc>
          <w:tcPr>
            <w:tcW w:w="1548" w:type="dxa"/>
            <w:vAlign w:val="center"/>
          </w:tcPr>
          <w:p w:rsidR="00690B27" w:rsidRDefault="006149A8">
            <w:pPr>
              <w:jc w:val="center"/>
            </w:pPr>
            <w:r>
              <w:rPr>
                <w:color w:val="000000"/>
                <w:sz w:val="24"/>
                <w:szCs w:val="24"/>
              </w:rPr>
              <w:t>-</w:t>
            </w:r>
          </w:p>
        </w:tc>
        <w:tc>
          <w:tcPr>
            <w:tcW w:w="1407" w:type="dxa"/>
            <w:vAlign w:val="center"/>
          </w:tcPr>
          <w:p w:rsidR="00690B27" w:rsidRDefault="006149A8">
            <w:pPr>
              <w:jc w:val="center"/>
            </w:pPr>
            <w:r>
              <w:rPr>
                <w:color w:val="000000"/>
                <w:sz w:val="24"/>
                <w:szCs w:val="24"/>
              </w:rPr>
              <w:t>17</w:t>
            </w:r>
            <w:r>
              <w:rPr>
                <w:color w:val="000000"/>
                <w:sz w:val="24"/>
                <w:szCs w:val="24"/>
              </w:rPr>
              <w:t>年</w:t>
            </w:r>
          </w:p>
        </w:tc>
        <w:tc>
          <w:tcPr>
            <w:tcW w:w="2673" w:type="dxa"/>
            <w:vAlign w:val="center"/>
          </w:tcPr>
          <w:p w:rsidR="00690B27" w:rsidRDefault="006149A8">
            <w:r>
              <w:rPr>
                <w:color w:val="000000"/>
                <w:sz w:val="24"/>
                <w:szCs w:val="24"/>
              </w:rPr>
              <w:t>唐倩女士，</w:t>
            </w:r>
            <w:r>
              <w:rPr>
                <w:color w:val="000000"/>
                <w:sz w:val="24"/>
                <w:szCs w:val="24"/>
              </w:rPr>
              <w:t>CPA</w:t>
            </w:r>
            <w:r>
              <w:rPr>
                <w:color w:val="000000"/>
                <w:sz w:val="24"/>
                <w:szCs w:val="24"/>
              </w:rPr>
              <w:t>，华东师范大学金融学硕士。历任申银万国证券研究所分析师，中银国际有限公司分析师，香港雷曼兄弟证券公司研究员，上投摩根基金管理</w:t>
            </w:r>
            <w:r>
              <w:rPr>
                <w:color w:val="000000"/>
                <w:sz w:val="24"/>
                <w:szCs w:val="24"/>
              </w:rPr>
              <w:lastRenderedPageBreak/>
              <w:t>有限公司研究部总监、基金经理。其中</w:t>
            </w:r>
            <w:r>
              <w:rPr>
                <w:color w:val="000000"/>
                <w:sz w:val="24"/>
                <w:szCs w:val="24"/>
              </w:rPr>
              <w:t>2011</w:t>
            </w:r>
            <w:r>
              <w:rPr>
                <w:color w:val="000000"/>
                <w:sz w:val="24"/>
                <w:szCs w:val="24"/>
              </w:rPr>
              <w:t>年</w:t>
            </w:r>
            <w:r>
              <w:rPr>
                <w:color w:val="000000"/>
                <w:sz w:val="24"/>
                <w:szCs w:val="24"/>
              </w:rPr>
              <w:t>4</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8</w:t>
            </w:r>
            <w:r>
              <w:rPr>
                <w:color w:val="000000"/>
                <w:sz w:val="24"/>
                <w:szCs w:val="24"/>
              </w:rPr>
              <w:t>日担任上投摩根成长先锋基金经理。</w:t>
            </w:r>
            <w:r>
              <w:rPr>
                <w:color w:val="000000"/>
                <w:sz w:val="24"/>
                <w:szCs w:val="24"/>
              </w:rPr>
              <w:t>2013</w:t>
            </w:r>
            <w:r>
              <w:rPr>
                <w:color w:val="000000"/>
                <w:sz w:val="24"/>
                <w:szCs w:val="24"/>
              </w:rPr>
              <w:t>年加入交银施罗德基金管理有限公司，历任权益部副总经理。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90B27" w:rsidRDefault="006149A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90B27" w:rsidRDefault="006149A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90B27" w:rsidRDefault="006149A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lastRenderedPageBreak/>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90B27" w:rsidRDefault="006149A8">
      <w:pPr>
        <w:spacing w:before="29" w:line="288" w:lineRule="auto"/>
        <w:ind w:firstLineChars="200" w:firstLine="480"/>
        <w:rPr>
          <w:color w:val="000000"/>
          <w:sz w:val="24"/>
          <w:szCs w:val="24"/>
        </w:rPr>
      </w:pPr>
      <w:r>
        <w:rPr>
          <w:color w:val="000000"/>
          <w:sz w:val="24"/>
          <w:szCs w:val="24"/>
        </w:rPr>
        <w:t>在今年一季报中，我们对于二季度的市场持</w:t>
      </w:r>
      <w:r>
        <w:rPr>
          <w:color w:val="000000"/>
          <w:sz w:val="24"/>
          <w:szCs w:val="24"/>
        </w:rPr>
        <w:t>“</w:t>
      </w:r>
      <w:r>
        <w:rPr>
          <w:color w:val="000000"/>
          <w:sz w:val="24"/>
          <w:szCs w:val="24"/>
        </w:rPr>
        <w:t>谨慎乐观</w:t>
      </w:r>
      <w:r>
        <w:rPr>
          <w:color w:val="000000"/>
          <w:sz w:val="24"/>
          <w:szCs w:val="24"/>
        </w:rPr>
        <w:t>”</w:t>
      </w:r>
      <w:r>
        <w:rPr>
          <w:color w:val="000000"/>
          <w:sz w:val="24"/>
          <w:szCs w:val="24"/>
        </w:rPr>
        <w:t>的态度，并且认为龙头公司的估值水平从过去的明显低估到接近合理。观察二季度的实际表现，价值股的涨幅还是比较超出预期。盈利和估值的共振带来了价值股在短期内比较迅猛的重估。从宏观面而言，利率温和上升、地产和基建增速较快加上消费端也逐渐向好，预计企业盈利也趋向好转，就短期而言，这是支持蓝筹股价值回归的因素之一。</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三季度而言，我们仍然认为龙头公司的基本面情况是重要考量因素，需要通过深入细致的研究分析工作来保证选股质量，力争确保在泡沫退潮的时候能够减小回撤。</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1.3670</w:t>
      </w:r>
      <w:r w:rsidRPr="00414345">
        <w:rPr>
          <w:color w:val="000000"/>
          <w:sz w:val="24"/>
          <w:szCs w:val="24"/>
        </w:rPr>
        <w:t>元，本报告期份额净值增长率为</w:t>
      </w:r>
      <w:r w:rsidRPr="00414345">
        <w:rPr>
          <w:color w:val="000000"/>
          <w:sz w:val="24"/>
          <w:szCs w:val="24"/>
        </w:rPr>
        <w:t>11.88%</w:t>
      </w:r>
      <w:r w:rsidRPr="00414345">
        <w:rPr>
          <w:color w:val="000000"/>
          <w:sz w:val="24"/>
          <w:szCs w:val="24"/>
        </w:rPr>
        <w:t>，同期业绩比较基准增长率为</w:t>
      </w:r>
      <w:r w:rsidRPr="00414345">
        <w:rPr>
          <w:color w:val="000000"/>
          <w:sz w:val="24"/>
          <w:szCs w:val="24"/>
        </w:rPr>
        <w:t>1.68%</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2,537,256,460.17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83.82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2,537,256,460.17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83.82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79,433,328.09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2.62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79,433,328.09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2.62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159,920,399.96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5.28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247,205,155.00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8.17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3,376,100.11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lastRenderedPageBreak/>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3,027,191,443.33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80,090.96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1,762,796,411.75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845,058.52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563,243.07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316,926,111.20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356,790.02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185,787,592.96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6.15</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952,284.77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1,148,236.89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266,970,101.38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148,491.26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86,652.88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260,338.71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19,731.51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315,324.29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2,537,256,460.17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84.03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690B27">
        <w:trPr>
          <w:jc w:val="center"/>
        </w:trPr>
        <w:tc>
          <w:tcPr>
            <w:tcW w:w="855" w:type="dxa"/>
            <w:vAlign w:val="center"/>
          </w:tcPr>
          <w:p w:rsidR="00690B27" w:rsidRDefault="006149A8">
            <w:pPr>
              <w:jc w:val="center"/>
            </w:pPr>
            <w:r>
              <w:rPr>
                <w:color w:val="000000"/>
                <w:sz w:val="24"/>
                <w:szCs w:val="24"/>
              </w:rPr>
              <w:t>1</w:t>
            </w:r>
          </w:p>
        </w:tc>
        <w:tc>
          <w:tcPr>
            <w:tcW w:w="1334" w:type="dxa"/>
            <w:vAlign w:val="center"/>
          </w:tcPr>
          <w:p w:rsidR="00690B27" w:rsidRDefault="006149A8">
            <w:pPr>
              <w:jc w:val="center"/>
            </w:pPr>
            <w:r>
              <w:rPr>
                <w:color w:val="000000"/>
                <w:sz w:val="24"/>
                <w:szCs w:val="24"/>
              </w:rPr>
              <w:t>600622</w:t>
            </w:r>
          </w:p>
        </w:tc>
        <w:tc>
          <w:tcPr>
            <w:tcW w:w="1777" w:type="dxa"/>
            <w:vAlign w:val="center"/>
          </w:tcPr>
          <w:p w:rsidR="00690B27" w:rsidRDefault="006149A8">
            <w:pPr>
              <w:jc w:val="center"/>
            </w:pPr>
            <w:r>
              <w:rPr>
                <w:color w:val="000000"/>
                <w:sz w:val="24"/>
                <w:szCs w:val="24"/>
              </w:rPr>
              <w:t>嘉宝集团</w:t>
            </w:r>
          </w:p>
        </w:tc>
        <w:tc>
          <w:tcPr>
            <w:tcW w:w="1334" w:type="dxa"/>
            <w:vAlign w:val="center"/>
          </w:tcPr>
          <w:p w:rsidR="00690B27" w:rsidRDefault="006149A8">
            <w:pPr>
              <w:jc w:val="right"/>
            </w:pPr>
            <w:r>
              <w:rPr>
                <w:color w:val="000000"/>
                <w:sz w:val="24"/>
                <w:szCs w:val="24"/>
              </w:rPr>
              <w:t>16,375,377</w:t>
            </w:r>
          </w:p>
        </w:tc>
        <w:tc>
          <w:tcPr>
            <w:tcW w:w="1924" w:type="dxa"/>
            <w:vAlign w:val="center"/>
          </w:tcPr>
          <w:p w:rsidR="00690B27" w:rsidRDefault="006149A8">
            <w:pPr>
              <w:jc w:val="right"/>
            </w:pPr>
            <w:r>
              <w:rPr>
                <w:color w:val="000000"/>
                <w:sz w:val="24"/>
                <w:szCs w:val="24"/>
              </w:rPr>
              <w:t>266,591,137.56</w:t>
            </w:r>
          </w:p>
        </w:tc>
        <w:tc>
          <w:tcPr>
            <w:tcW w:w="1644" w:type="dxa"/>
            <w:vAlign w:val="center"/>
          </w:tcPr>
          <w:p w:rsidR="00690B27" w:rsidRDefault="006149A8">
            <w:pPr>
              <w:jc w:val="right"/>
            </w:pPr>
            <w:r>
              <w:rPr>
                <w:color w:val="000000"/>
                <w:sz w:val="24"/>
                <w:szCs w:val="24"/>
              </w:rPr>
              <w:t>8.83</w:t>
            </w:r>
          </w:p>
        </w:tc>
      </w:tr>
      <w:tr w:rsidR="00690B27">
        <w:trPr>
          <w:jc w:val="center"/>
        </w:trPr>
        <w:tc>
          <w:tcPr>
            <w:tcW w:w="855" w:type="dxa"/>
            <w:vAlign w:val="center"/>
          </w:tcPr>
          <w:p w:rsidR="00690B27" w:rsidRDefault="006149A8">
            <w:pPr>
              <w:jc w:val="center"/>
            </w:pPr>
            <w:r>
              <w:rPr>
                <w:color w:val="000000"/>
                <w:sz w:val="24"/>
                <w:szCs w:val="24"/>
              </w:rPr>
              <w:t>2</w:t>
            </w:r>
          </w:p>
        </w:tc>
        <w:tc>
          <w:tcPr>
            <w:tcW w:w="1334" w:type="dxa"/>
            <w:vAlign w:val="center"/>
          </w:tcPr>
          <w:p w:rsidR="00690B27" w:rsidRDefault="006149A8">
            <w:pPr>
              <w:jc w:val="center"/>
            </w:pPr>
            <w:r>
              <w:rPr>
                <w:color w:val="000000"/>
                <w:sz w:val="24"/>
                <w:szCs w:val="24"/>
              </w:rPr>
              <w:t>601012</w:t>
            </w:r>
          </w:p>
        </w:tc>
        <w:tc>
          <w:tcPr>
            <w:tcW w:w="1777" w:type="dxa"/>
            <w:vAlign w:val="center"/>
          </w:tcPr>
          <w:p w:rsidR="00690B27" w:rsidRDefault="006149A8">
            <w:pPr>
              <w:jc w:val="center"/>
            </w:pPr>
            <w:r>
              <w:rPr>
                <w:color w:val="000000"/>
                <w:sz w:val="24"/>
                <w:szCs w:val="24"/>
              </w:rPr>
              <w:t>隆基股份</w:t>
            </w:r>
          </w:p>
        </w:tc>
        <w:tc>
          <w:tcPr>
            <w:tcW w:w="1334" w:type="dxa"/>
            <w:vAlign w:val="center"/>
          </w:tcPr>
          <w:p w:rsidR="00690B27" w:rsidRDefault="006149A8">
            <w:pPr>
              <w:jc w:val="right"/>
            </w:pPr>
            <w:r>
              <w:rPr>
                <w:color w:val="000000"/>
                <w:sz w:val="24"/>
                <w:szCs w:val="24"/>
              </w:rPr>
              <w:t>14,306,459</w:t>
            </w:r>
          </w:p>
        </w:tc>
        <w:tc>
          <w:tcPr>
            <w:tcW w:w="1924" w:type="dxa"/>
            <w:vAlign w:val="center"/>
          </w:tcPr>
          <w:p w:rsidR="00690B27" w:rsidRDefault="006149A8">
            <w:pPr>
              <w:jc w:val="right"/>
            </w:pPr>
            <w:r>
              <w:rPr>
                <w:color w:val="000000"/>
                <w:sz w:val="24"/>
                <w:szCs w:val="24"/>
              </w:rPr>
              <w:t>244,640,448.90</w:t>
            </w:r>
          </w:p>
        </w:tc>
        <w:tc>
          <w:tcPr>
            <w:tcW w:w="1644" w:type="dxa"/>
            <w:vAlign w:val="center"/>
          </w:tcPr>
          <w:p w:rsidR="00690B27" w:rsidRDefault="006149A8">
            <w:pPr>
              <w:jc w:val="right"/>
            </w:pPr>
            <w:r>
              <w:rPr>
                <w:color w:val="000000"/>
                <w:sz w:val="24"/>
                <w:szCs w:val="24"/>
              </w:rPr>
              <w:t>8.10</w:t>
            </w:r>
          </w:p>
        </w:tc>
      </w:tr>
      <w:tr w:rsidR="00690B27">
        <w:trPr>
          <w:jc w:val="center"/>
        </w:trPr>
        <w:tc>
          <w:tcPr>
            <w:tcW w:w="855" w:type="dxa"/>
            <w:vAlign w:val="center"/>
          </w:tcPr>
          <w:p w:rsidR="00690B27" w:rsidRDefault="006149A8">
            <w:pPr>
              <w:jc w:val="center"/>
            </w:pPr>
            <w:r>
              <w:rPr>
                <w:color w:val="000000"/>
                <w:sz w:val="24"/>
                <w:szCs w:val="24"/>
              </w:rPr>
              <w:t>3</w:t>
            </w:r>
          </w:p>
        </w:tc>
        <w:tc>
          <w:tcPr>
            <w:tcW w:w="1334" w:type="dxa"/>
            <w:vAlign w:val="center"/>
          </w:tcPr>
          <w:p w:rsidR="00690B27" w:rsidRDefault="006149A8">
            <w:pPr>
              <w:jc w:val="center"/>
            </w:pPr>
            <w:r>
              <w:rPr>
                <w:color w:val="000000"/>
                <w:sz w:val="24"/>
                <w:szCs w:val="24"/>
              </w:rPr>
              <w:t>600056</w:t>
            </w:r>
          </w:p>
        </w:tc>
        <w:tc>
          <w:tcPr>
            <w:tcW w:w="1777" w:type="dxa"/>
            <w:vAlign w:val="center"/>
          </w:tcPr>
          <w:p w:rsidR="00690B27" w:rsidRDefault="006149A8">
            <w:pPr>
              <w:jc w:val="center"/>
            </w:pPr>
            <w:r>
              <w:rPr>
                <w:color w:val="000000"/>
                <w:sz w:val="24"/>
                <w:szCs w:val="24"/>
              </w:rPr>
              <w:t>中国医药</w:t>
            </w:r>
          </w:p>
        </w:tc>
        <w:tc>
          <w:tcPr>
            <w:tcW w:w="1334" w:type="dxa"/>
            <w:vAlign w:val="center"/>
          </w:tcPr>
          <w:p w:rsidR="00690B27" w:rsidRDefault="006149A8">
            <w:pPr>
              <w:jc w:val="right"/>
            </w:pPr>
            <w:r>
              <w:rPr>
                <w:color w:val="000000"/>
                <w:sz w:val="24"/>
                <w:szCs w:val="24"/>
              </w:rPr>
              <w:t>9,325,502</w:t>
            </w:r>
          </w:p>
        </w:tc>
        <w:tc>
          <w:tcPr>
            <w:tcW w:w="1924" w:type="dxa"/>
            <w:vAlign w:val="center"/>
          </w:tcPr>
          <w:p w:rsidR="00690B27" w:rsidRDefault="006149A8">
            <w:pPr>
              <w:jc w:val="right"/>
            </w:pPr>
            <w:r>
              <w:rPr>
                <w:color w:val="000000"/>
                <w:sz w:val="24"/>
                <w:szCs w:val="24"/>
              </w:rPr>
              <w:t>241,996,776.90</w:t>
            </w:r>
          </w:p>
        </w:tc>
        <w:tc>
          <w:tcPr>
            <w:tcW w:w="1644" w:type="dxa"/>
            <w:vAlign w:val="center"/>
          </w:tcPr>
          <w:p w:rsidR="00690B27" w:rsidRDefault="006149A8">
            <w:pPr>
              <w:jc w:val="right"/>
            </w:pPr>
            <w:r>
              <w:rPr>
                <w:color w:val="000000"/>
                <w:sz w:val="24"/>
                <w:szCs w:val="24"/>
              </w:rPr>
              <w:t>8.01</w:t>
            </w:r>
          </w:p>
        </w:tc>
      </w:tr>
      <w:tr w:rsidR="00690B27">
        <w:trPr>
          <w:jc w:val="center"/>
        </w:trPr>
        <w:tc>
          <w:tcPr>
            <w:tcW w:w="855" w:type="dxa"/>
            <w:vAlign w:val="center"/>
          </w:tcPr>
          <w:p w:rsidR="00690B27" w:rsidRDefault="006149A8">
            <w:pPr>
              <w:jc w:val="center"/>
            </w:pPr>
            <w:r>
              <w:rPr>
                <w:color w:val="000000"/>
                <w:sz w:val="24"/>
                <w:szCs w:val="24"/>
              </w:rPr>
              <w:t>4</w:t>
            </w:r>
          </w:p>
        </w:tc>
        <w:tc>
          <w:tcPr>
            <w:tcW w:w="1334" w:type="dxa"/>
            <w:vAlign w:val="center"/>
          </w:tcPr>
          <w:p w:rsidR="00690B27" w:rsidRDefault="006149A8">
            <w:pPr>
              <w:jc w:val="center"/>
            </w:pPr>
            <w:r>
              <w:rPr>
                <w:color w:val="000000"/>
                <w:sz w:val="24"/>
                <w:szCs w:val="24"/>
              </w:rPr>
              <w:t>600519</w:t>
            </w:r>
          </w:p>
        </w:tc>
        <w:tc>
          <w:tcPr>
            <w:tcW w:w="1777" w:type="dxa"/>
            <w:vAlign w:val="center"/>
          </w:tcPr>
          <w:p w:rsidR="00690B27" w:rsidRDefault="006149A8">
            <w:pPr>
              <w:jc w:val="center"/>
            </w:pPr>
            <w:r>
              <w:rPr>
                <w:color w:val="000000"/>
                <w:sz w:val="24"/>
                <w:szCs w:val="24"/>
              </w:rPr>
              <w:t>贵州茅台</w:t>
            </w:r>
          </w:p>
        </w:tc>
        <w:tc>
          <w:tcPr>
            <w:tcW w:w="1334" w:type="dxa"/>
            <w:vAlign w:val="center"/>
          </w:tcPr>
          <w:p w:rsidR="00690B27" w:rsidRDefault="006149A8">
            <w:pPr>
              <w:jc w:val="right"/>
            </w:pPr>
            <w:r>
              <w:rPr>
                <w:color w:val="000000"/>
                <w:sz w:val="24"/>
                <w:szCs w:val="24"/>
              </w:rPr>
              <w:t>505,567</w:t>
            </w:r>
          </w:p>
        </w:tc>
        <w:tc>
          <w:tcPr>
            <w:tcW w:w="1924" w:type="dxa"/>
            <w:vAlign w:val="center"/>
          </w:tcPr>
          <w:p w:rsidR="00690B27" w:rsidRDefault="006149A8">
            <w:pPr>
              <w:jc w:val="right"/>
            </w:pPr>
            <w:r>
              <w:rPr>
                <w:color w:val="000000"/>
                <w:sz w:val="24"/>
                <w:szCs w:val="24"/>
              </w:rPr>
              <w:t>238,551,788.95</w:t>
            </w:r>
          </w:p>
        </w:tc>
        <w:tc>
          <w:tcPr>
            <w:tcW w:w="1644" w:type="dxa"/>
            <w:vAlign w:val="center"/>
          </w:tcPr>
          <w:p w:rsidR="00690B27" w:rsidRDefault="006149A8">
            <w:pPr>
              <w:jc w:val="right"/>
            </w:pPr>
            <w:r>
              <w:rPr>
                <w:color w:val="000000"/>
                <w:sz w:val="24"/>
                <w:szCs w:val="24"/>
              </w:rPr>
              <w:t>7.90</w:t>
            </w:r>
          </w:p>
        </w:tc>
      </w:tr>
      <w:tr w:rsidR="00690B27">
        <w:trPr>
          <w:jc w:val="center"/>
        </w:trPr>
        <w:tc>
          <w:tcPr>
            <w:tcW w:w="855" w:type="dxa"/>
            <w:vAlign w:val="center"/>
          </w:tcPr>
          <w:p w:rsidR="00690B27" w:rsidRDefault="006149A8">
            <w:pPr>
              <w:jc w:val="center"/>
            </w:pPr>
            <w:r>
              <w:rPr>
                <w:color w:val="000000"/>
                <w:sz w:val="24"/>
                <w:szCs w:val="24"/>
              </w:rPr>
              <w:t>5</w:t>
            </w:r>
          </w:p>
        </w:tc>
        <w:tc>
          <w:tcPr>
            <w:tcW w:w="1334" w:type="dxa"/>
            <w:vAlign w:val="center"/>
          </w:tcPr>
          <w:p w:rsidR="00690B27" w:rsidRDefault="006149A8">
            <w:pPr>
              <w:jc w:val="center"/>
            </w:pPr>
            <w:r>
              <w:rPr>
                <w:color w:val="000000"/>
                <w:sz w:val="24"/>
                <w:szCs w:val="24"/>
              </w:rPr>
              <w:t>000538</w:t>
            </w:r>
          </w:p>
        </w:tc>
        <w:tc>
          <w:tcPr>
            <w:tcW w:w="1777" w:type="dxa"/>
            <w:vAlign w:val="center"/>
          </w:tcPr>
          <w:p w:rsidR="00690B27" w:rsidRDefault="006149A8">
            <w:pPr>
              <w:jc w:val="center"/>
            </w:pPr>
            <w:r>
              <w:rPr>
                <w:color w:val="000000"/>
                <w:sz w:val="24"/>
                <w:szCs w:val="24"/>
              </w:rPr>
              <w:t>云南白药</w:t>
            </w:r>
          </w:p>
        </w:tc>
        <w:tc>
          <w:tcPr>
            <w:tcW w:w="1334" w:type="dxa"/>
            <w:vAlign w:val="center"/>
          </w:tcPr>
          <w:p w:rsidR="00690B27" w:rsidRDefault="006149A8">
            <w:pPr>
              <w:jc w:val="right"/>
            </w:pPr>
            <w:r>
              <w:rPr>
                <w:color w:val="000000"/>
                <w:sz w:val="24"/>
                <w:szCs w:val="24"/>
              </w:rPr>
              <w:t>2,527,046</w:t>
            </w:r>
          </w:p>
        </w:tc>
        <w:tc>
          <w:tcPr>
            <w:tcW w:w="1924" w:type="dxa"/>
            <w:vAlign w:val="center"/>
          </w:tcPr>
          <w:p w:rsidR="00690B27" w:rsidRDefault="006149A8">
            <w:pPr>
              <w:jc w:val="right"/>
            </w:pPr>
            <w:r>
              <w:rPr>
                <w:color w:val="000000"/>
                <w:sz w:val="24"/>
                <w:szCs w:val="24"/>
              </w:rPr>
              <w:t>237,163,267.10</w:t>
            </w:r>
          </w:p>
        </w:tc>
        <w:tc>
          <w:tcPr>
            <w:tcW w:w="1644" w:type="dxa"/>
            <w:vAlign w:val="center"/>
          </w:tcPr>
          <w:p w:rsidR="00690B27" w:rsidRDefault="006149A8">
            <w:pPr>
              <w:jc w:val="right"/>
            </w:pPr>
            <w:r>
              <w:rPr>
                <w:color w:val="000000"/>
                <w:sz w:val="24"/>
                <w:szCs w:val="24"/>
              </w:rPr>
              <w:t>7.85</w:t>
            </w:r>
          </w:p>
        </w:tc>
      </w:tr>
      <w:tr w:rsidR="00690B27">
        <w:trPr>
          <w:jc w:val="center"/>
        </w:trPr>
        <w:tc>
          <w:tcPr>
            <w:tcW w:w="855" w:type="dxa"/>
            <w:vAlign w:val="center"/>
          </w:tcPr>
          <w:p w:rsidR="00690B27" w:rsidRDefault="006149A8">
            <w:pPr>
              <w:jc w:val="center"/>
            </w:pPr>
            <w:r>
              <w:rPr>
                <w:color w:val="000000"/>
                <w:sz w:val="24"/>
                <w:szCs w:val="24"/>
              </w:rPr>
              <w:t>6</w:t>
            </w:r>
          </w:p>
        </w:tc>
        <w:tc>
          <w:tcPr>
            <w:tcW w:w="1334" w:type="dxa"/>
            <w:vAlign w:val="center"/>
          </w:tcPr>
          <w:p w:rsidR="00690B27" w:rsidRDefault="006149A8">
            <w:pPr>
              <w:jc w:val="center"/>
            </w:pPr>
            <w:r>
              <w:rPr>
                <w:color w:val="000000"/>
                <w:sz w:val="24"/>
                <w:szCs w:val="24"/>
              </w:rPr>
              <w:t>002271</w:t>
            </w:r>
          </w:p>
        </w:tc>
        <w:tc>
          <w:tcPr>
            <w:tcW w:w="1777" w:type="dxa"/>
            <w:vAlign w:val="center"/>
          </w:tcPr>
          <w:p w:rsidR="00690B27" w:rsidRDefault="006149A8">
            <w:pPr>
              <w:jc w:val="center"/>
            </w:pPr>
            <w:r>
              <w:rPr>
                <w:color w:val="000000"/>
                <w:sz w:val="24"/>
                <w:szCs w:val="24"/>
              </w:rPr>
              <w:t>东方雨虹</w:t>
            </w:r>
          </w:p>
        </w:tc>
        <w:tc>
          <w:tcPr>
            <w:tcW w:w="1334" w:type="dxa"/>
            <w:vAlign w:val="center"/>
          </w:tcPr>
          <w:p w:rsidR="00690B27" w:rsidRDefault="006149A8">
            <w:pPr>
              <w:jc w:val="right"/>
            </w:pPr>
            <w:r>
              <w:rPr>
                <w:color w:val="000000"/>
                <w:sz w:val="24"/>
                <w:szCs w:val="24"/>
              </w:rPr>
              <w:t>6,373,172</w:t>
            </w:r>
          </w:p>
        </w:tc>
        <w:tc>
          <w:tcPr>
            <w:tcW w:w="1924" w:type="dxa"/>
            <w:vAlign w:val="center"/>
          </w:tcPr>
          <w:p w:rsidR="00690B27" w:rsidRDefault="006149A8">
            <w:pPr>
              <w:jc w:val="right"/>
            </w:pPr>
            <w:r>
              <w:rPr>
                <w:color w:val="000000"/>
                <w:sz w:val="24"/>
                <w:szCs w:val="24"/>
              </w:rPr>
              <w:t>236,444,681.20</w:t>
            </w:r>
          </w:p>
        </w:tc>
        <w:tc>
          <w:tcPr>
            <w:tcW w:w="1644" w:type="dxa"/>
            <w:vAlign w:val="center"/>
          </w:tcPr>
          <w:p w:rsidR="00690B27" w:rsidRDefault="006149A8">
            <w:pPr>
              <w:jc w:val="right"/>
            </w:pPr>
            <w:r>
              <w:rPr>
                <w:color w:val="000000"/>
                <w:sz w:val="24"/>
                <w:szCs w:val="24"/>
              </w:rPr>
              <w:t>7.83</w:t>
            </w:r>
          </w:p>
        </w:tc>
      </w:tr>
      <w:tr w:rsidR="00690B27">
        <w:trPr>
          <w:jc w:val="center"/>
        </w:trPr>
        <w:tc>
          <w:tcPr>
            <w:tcW w:w="855" w:type="dxa"/>
            <w:vAlign w:val="center"/>
          </w:tcPr>
          <w:p w:rsidR="00690B27" w:rsidRDefault="006149A8">
            <w:pPr>
              <w:jc w:val="center"/>
            </w:pPr>
            <w:r>
              <w:rPr>
                <w:color w:val="000000"/>
                <w:sz w:val="24"/>
                <w:szCs w:val="24"/>
              </w:rPr>
              <w:t>7</w:t>
            </w:r>
          </w:p>
        </w:tc>
        <w:tc>
          <w:tcPr>
            <w:tcW w:w="1334" w:type="dxa"/>
            <w:vAlign w:val="center"/>
          </w:tcPr>
          <w:p w:rsidR="00690B27" w:rsidRDefault="006149A8">
            <w:pPr>
              <w:jc w:val="center"/>
            </w:pPr>
            <w:r>
              <w:rPr>
                <w:color w:val="000000"/>
                <w:sz w:val="24"/>
                <w:szCs w:val="24"/>
              </w:rPr>
              <w:t>601933</w:t>
            </w:r>
          </w:p>
        </w:tc>
        <w:tc>
          <w:tcPr>
            <w:tcW w:w="1777" w:type="dxa"/>
            <w:vAlign w:val="center"/>
          </w:tcPr>
          <w:p w:rsidR="00690B27" w:rsidRDefault="006149A8">
            <w:pPr>
              <w:jc w:val="center"/>
            </w:pPr>
            <w:r>
              <w:rPr>
                <w:color w:val="000000"/>
                <w:sz w:val="24"/>
                <w:szCs w:val="24"/>
              </w:rPr>
              <w:t>永辉超市</w:t>
            </w:r>
          </w:p>
        </w:tc>
        <w:tc>
          <w:tcPr>
            <w:tcW w:w="1334" w:type="dxa"/>
            <w:vAlign w:val="center"/>
          </w:tcPr>
          <w:p w:rsidR="00690B27" w:rsidRDefault="006149A8">
            <w:pPr>
              <w:jc w:val="right"/>
            </w:pPr>
            <w:r>
              <w:rPr>
                <w:color w:val="000000"/>
                <w:sz w:val="24"/>
                <w:szCs w:val="24"/>
              </w:rPr>
              <w:t>29,731,483</w:t>
            </w:r>
          </w:p>
        </w:tc>
        <w:tc>
          <w:tcPr>
            <w:tcW w:w="1924" w:type="dxa"/>
            <w:vAlign w:val="center"/>
          </w:tcPr>
          <w:p w:rsidR="00690B27" w:rsidRDefault="006149A8">
            <w:pPr>
              <w:jc w:val="right"/>
            </w:pPr>
            <w:r>
              <w:rPr>
                <w:color w:val="000000"/>
                <w:sz w:val="24"/>
                <w:szCs w:val="24"/>
              </w:rPr>
              <w:t>210,498,899.64</w:t>
            </w:r>
          </w:p>
        </w:tc>
        <w:tc>
          <w:tcPr>
            <w:tcW w:w="1644" w:type="dxa"/>
            <w:vAlign w:val="center"/>
          </w:tcPr>
          <w:p w:rsidR="00690B27" w:rsidRDefault="006149A8">
            <w:pPr>
              <w:jc w:val="right"/>
            </w:pPr>
            <w:r>
              <w:rPr>
                <w:color w:val="000000"/>
                <w:sz w:val="24"/>
                <w:szCs w:val="24"/>
              </w:rPr>
              <w:t>6.97</w:t>
            </w:r>
          </w:p>
        </w:tc>
      </w:tr>
      <w:tr w:rsidR="00690B27">
        <w:trPr>
          <w:jc w:val="center"/>
        </w:trPr>
        <w:tc>
          <w:tcPr>
            <w:tcW w:w="855" w:type="dxa"/>
            <w:vAlign w:val="center"/>
          </w:tcPr>
          <w:p w:rsidR="00690B27" w:rsidRDefault="006149A8">
            <w:pPr>
              <w:jc w:val="center"/>
            </w:pPr>
            <w:r>
              <w:rPr>
                <w:color w:val="000000"/>
                <w:sz w:val="24"/>
                <w:szCs w:val="24"/>
              </w:rPr>
              <w:t>8</w:t>
            </w:r>
          </w:p>
        </w:tc>
        <w:tc>
          <w:tcPr>
            <w:tcW w:w="1334" w:type="dxa"/>
            <w:vAlign w:val="center"/>
          </w:tcPr>
          <w:p w:rsidR="00690B27" w:rsidRDefault="006149A8">
            <w:pPr>
              <w:jc w:val="center"/>
            </w:pPr>
            <w:r>
              <w:rPr>
                <w:color w:val="000000"/>
                <w:sz w:val="24"/>
                <w:szCs w:val="24"/>
              </w:rPr>
              <w:t>000333</w:t>
            </w:r>
          </w:p>
        </w:tc>
        <w:tc>
          <w:tcPr>
            <w:tcW w:w="1777" w:type="dxa"/>
            <w:vAlign w:val="center"/>
          </w:tcPr>
          <w:p w:rsidR="00690B27" w:rsidRDefault="006149A8">
            <w:pPr>
              <w:jc w:val="center"/>
            </w:pPr>
            <w:r>
              <w:rPr>
                <w:color w:val="000000"/>
                <w:sz w:val="24"/>
                <w:szCs w:val="24"/>
              </w:rPr>
              <w:t>美的集团</w:t>
            </w:r>
          </w:p>
        </w:tc>
        <w:tc>
          <w:tcPr>
            <w:tcW w:w="1334" w:type="dxa"/>
            <w:vAlign w:val="center"/>
          </w:tcPr>
          <w:p w:rsidR="00690B27" w:rsidRDefault="006149A8">
            <w:pPr>
              <w:jc w:val="right"/>
            </w:pPr>
            <w:r>
              <w:rPr>
                <w:color w:val="000000"/>
                <w:sz w:val="24"/>
                <w:szCs w:val="24"/>
              </w:rPr>
              <w:t>4,667,131</w:t>
            </w:r>
          </w:p>
        </w:tc>
        <w:tc>
          <w:tcPr>
            <w:tcW w:w="1924" w:type="dxa"/>
            <w:vAlign w:val="center"/>
          </w:tcPr>
          <w:p w:rsidR="00690B27" w:rsidRDefault="006149A8">
            <w:pPr>
              <w:jc w:val="right"/>
            </w:pPr>
            <w:r>
              <w:rPr>
                <w:color w:val="000000"/>
                <w:sz w:val="24"/>
                <w:szCs w:val="24"/>
              </w:rPr>
              <w:t>200,873,318.24</w:t>
            </w:r>
          </w:p>
        </w:tc>
        <w:tc>
          <w:tcPr>
            <w:tcW w:w="1644" w:type="dxa"/>
            <w:vAlign w:val="center"/>
          </w:tcPr>
          <w:p w:rsidR="00690B27" w:rsidRDefault="006149A8">
            <w:pPr>
              <w:jc w:val="right"/>
            </w:pPr>
            <w:r>
              <w:rPr>
                <w:color w:val="000000"/>
                <w:sz w:val="24"/>
                <w:szCs w:val="24"/>
              </w:rPr>
              <w:t>6.65</w:t>
            </w:r>
          </w:p>
        </w:tc>
      </w:tr>
      <w:tr w:rsidR="00690B27">
        <w:trPr>
          <w:jc w:val="center"/>
        </w:trPr>
        <w:tc>
          <w:tcPr>
            <w:tcW w:w="855" w:type="dxa"/>
            <w:vAlign w:val="center"/>
          </w:tcPr>
          <w:p w:rsidR="00690B27" w:rsidRDefault="006149A8">
            <w:pPr>
              <w:jc w:val="center"/>
            </w:pPr>
            <w:r>
              <w:rPr>
                <w:color w:val="000000"/>
                <w:sz w:val="24"/>
                <w:szCs w:val="24"/>
              </w:rPr>
              <w:t>9</w:t>
            </w:r>
          </w:p>
        </w:tc>
        <w:tc>
          <w:tcPr>
            <w:tcW w:w="1334" w:type="dxa"/>
            <w:vAlign w:val="center"/>
          </w:tcPr>
          <w:p w:rsidR="00690B27" w:rsidRDefault="006149A8">
            <w:pPr>
              <w:jc w:val="center"/>
            </w:pPr>
            <w:r>
              <w:rPr>
                <w:color w:val="000000"/>
                <w:sz w:val="24"/>
                <w:szCs w:val="24"/>
              </w:rPr>
              <w:t>600258</w:t>
            </w:r>
          </w:p>
        </w:tc>
        <w:tc>
          <w:tcPr>
            <w:tcW w:w="1777" w:type="dxa"/>
            <w:vAlign w:val="center"/>
          </w:tcPr>
          <w:p w:rsidR="00690B27" w:rsidRDefault="006149A8">
            <w:pPr>
              <w:jc w:val="center"/>
            </w:pPr>
            <w:r>
              <w:rPr>
                <w:color w:val="000000"/>
                <w:sz w:val="24"/>
                <w:szCs w:val="24"/>
              </w:rPr>
              <w:t>首旅酒店</w:t>
            </w:r>
          </w:p>
        </w:tc>
        <w:tc>
          <w:tcPr>
            <w:tcW w:w="1334" w:type="dxa"/>
            <w:vAlign w:val="center"/>
          </w:tcPr>
          <w:p w:rsidR="00690B27" w:rsidRDefault="006149A8">
            <w:pPr>
              <w:jc w:val="right"/>
            </w:pPr>
            <w:r>
              <w:rPr>
                <w:color w:val="000000"/>
                <w:sz w:val="24"/>
                <w:szCs w:val="24"/>
              </w:rPr>
              <w:t>7,953,236</w:t>
            </w:r>
          </w:p>
        </w:tc>
        <w:tc>
          <w:tcPr>
            <w:tcW w:w="1924" w:type="dxa"/>
            <w:vAlign w:val="center"/>
          </w:tcPr>
          <w:p w:rsidR="00690B27" w:rsidRDefault="006149A8">
            <w:pPr>
              <w:jc w:val="right"/>
            </w:pPr>
            <w:r>
              <w:rPr>
                <w:color w:val="000000"/>
                <w:sz w:val="24"/>
                <w:szCs w:val="24"/>
              </w:rPr>
              <w:t>185,787,592.96</w:t>
            </w:r>
          </w:p>
        </w:tc>
        <w:tc>
          <w:tcPr>
            <w:tcW w:w="1644" w:type="dxa"/>
            <w:vAlign w:val="center"/>
          </w:tcPr>
          <w:p w:rsidR="00690B27" w:rsidRDefault="006149A8">
            <w:pPr>
              <w:jc w:val="right"/>
            </w:pPr>
            <w:r>
              <w:rPr>
                <w:color w:val="000000"/>
                <w:sz w:val="24"/>
                <w:szCs w:val="24"/>
              </w:rPr>
              <w:t>6.15</w:t>
            </w:r>
          </w:p>
        </w:tc>
      </w:tr>
      <w:tr w:rsidR="00690B27">
        <w:trPr>
          <w:jc w:val="center"/>
        </w:trPr>
        <w:tc>
          <w:tcPr>
            <w:tcW w:w="855" w:type="dxa"/>
            <w:vAlign w:val="center"/>
          </w:tcPr>
          <w:p w:rsidR="00690B27" w:rsidRDefault="006149A8">
            <w:pPr>
              <w:jc w:val="center"/>
            </w:pPr>
            <w:r>
              <w:rPr>
                <w:color w:val="000000"/>
                <w:sz w:val="24"/>
                <w:szCs w:val="24"/>
              </w:rPr>
              <w:t>10</w:t>
            </w:r>
          </w:p>
        </w:tc>
        <w:tc>
          <w:tcPr>
            <w:tcW w:w="1334" w:type="dxa"/>
            <w:vAlign w:val="center"/>
          </w:tcPr>
          <w:p w:rsidR="00690B27" w:rsidRDefault="006149A8">
            <w:pPr>
              <w:jc w:val="center"/>
            </w:pPr>
            <w:r>
              <w:rPr>
                <w:color w:val="000000"/>
                <w:sz w:val="24"/>
                <w:szCs w:val="24"/>
              </w:rPr>
              <w:t>601607</w:t>
            </w:r>
          </w:p>
        </w:tc>
        <w:tc>
          <w:tcPr>
            <w:tcW w:w="1777" w:type="dxa"/>
            <w:vAlign w:val="center"/>
          </w:tcPr>
          <w:p w:rsidR="00690B27" w:rsidRDefault="006149A8">
            <w:pPr>
              <w:jc w:val="center"/>
            </w:pPr>
            <w:r>
              <w:rPr>
                <w:color w:val="000000"/>
                <w:sz w:val="24"/>
                <w:szCs w:val="24"/>
              </w:rPr>
              <w:t>上海医药</w:t>
            </w:r>
          </w:p>
        </w:tc>
        <w:tc>
          <w:tcPr>
            <w:tcW w:w="1334" w:type="dxa"/>
            <w:vAlign w:val="center"/>
          </w:tcPr>
          <w:p w:rsidR="00690B27" w:rsidRDefault="006149A8">
            <w:pPr>
              <w:jc w:val="right"/>
            </w:pPr>
            <w:r>
              <w:rPr>
                <w:color w:val="000000"/>
                <w:sz w:val="24"/>
                <w:szCs w:val="24"/>
              </w:rPr>
              <w:t>3,669,364</w:t>
            </w:r>
          </w:p>
        </w:tc>
        <w:tc>
          <w:tcPr>
            <w:tcW w:w="1924" w:type="dxa"/>
            <w:vAlign w:val="center"/>
          </w:tcPr>
          <w:p w:rsidR="00690B27" w:rsidRDefault="006149A8">
            <w:pPr>
              <w:jc w:val="right"/>
            </w:pPr>
            <w:r>
              <w:rPr>
                <w:color w:val="000000"/>
                <w:sz w:val="24"/>
                <w:szCs w:val="24"/>
              </w:rPr>
              <w:t>105,971,232.32</w:t>
            </w:r>
          </w:p>
        </w:tc>
        <w:tc>
          <w:tcPr>
            <w:tcW w:w="1644" w:type="dxa"/>
            <w:vAlign w:val="center"/>
          </w:tcPr>
          <w:p w:rsidR="00690B27" w:rsidRDefault="006149A8">
            <w:pPr>
              <w:jc w:val="right"/>
            </w:pPr>
            <w:r>
              <w:rPr>
                <w:color w:val="000000"/>
                <w:sz w:val="24"/>
                <w:szCs w:val="24"/>
              </w:rPr>
              <w:t>3.51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79,424,000.00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9,328.09</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79,433,328.09</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690B27">
        <w:trPr>
          <w:jc w:val="center"/>
        </w:trPr>
        <w:tc>
          <w:tcPr>
            <w:tcW w:w="850" w:type="dxa"/>
            <w:vAlign w:val="center"/>
          </w:tcPr>
          <w:p w:rsidR="00690B27" w:rsidRDefault="006149A8">
            <w:pPr>
              <w:jc w:val="center"/>
            </w:pPr>
            <w:r>
              <w:rPr>
                <w:color w:val="000000"/>
                <w:sz w:val="24"/>
                <w:szCs w:val="24"/>
              </w:rPr>
              <w:lastRenderedPageBreak/>
              <w:t>1</w:t>
            </w:r>
          </w:p>
        </w:tc>
        <w:tc>
          <w:tcPr>
            <w:tcW w:w="1475" w:type="dxa"/>
            <w:vAlign w:val="center"/>
          </w:tcPr>
          <w:p w:rsidR="00690B27" w:rsidRDefault="006149A8">
            <w:pPr>
              <w:jc w:val="center"/>
            </w:pPr>
            <w:r>
              <w:rPr>
                <w:color w:val="000000"/>
                <w:sz w:val="24"/>
                <w:szCs w:val="24"/>
              </w:rPr>
              <w:t>179919</w:t>
            </w:r>
          </w:p>
        </w:tc>
        <w:tc>
          <w:tcPr>
            <w:tcW w:w="1769" w:type="dxa"/>
            <w:vAlign w:val="center"/>
          </w:tcPr>
          <w:p w:rsidR="00690B27" w:rsidRDefault="006149A8">
            <w:pPr>
              <w:jc w:val="center"/>
            </w:pPr>
            <w:r>
              <w:rPr>
                <w:color w:val="000000"/>
                <w:sz w:val="24"/>
                <w:szCs w:val="24"/>
              </w:rPr>
              <w:t>17</w:t>
            </w:r>
            <w:r>
              <w:rPr>
                <w:color w:val="000000"/>
                <w:sz w:val="24"/>
                <w:szCs w:val="24"/>
              </w:rPr>
              <w:t>贴现国债</w:t>
            </w:r>
            <w:r>
              <w:rPr>
                <w:color w:val="000000"/>
                <w:sz w:val="24"/>
                <w:szCs w:val="24"/>
              </w:rPr>
              <w:t>19</w:t>
            </w:r>
          </w:p>
        </w:tc>
        <w:tc>
          <w:tcPr>
            <w:tcW w:w="1387" w:type="dxa"/>
            <w:vAlign w:val="center"/>
          </w:tcPr>
          <w:p w:rsidR="00690B27" w:rsidRDefault="006149A8">
            <w:pPr>
              <w:jc w:val="right"/>
            </w:pPr>
            <w:r>
              <w:rPr>
                <w:color w:val="000000"/>
                <w:sz w:val="24"/>
                <w:szCs w:val="24"/>
              </w:rPr>
              <w:t>800,000</w:t>
            </w:r>
          </w:p>
        </w:tc>
        <w:tc>
          <w:tcPr>
            <w:tcW w:w="2150" w:type="dxa"/>
            <w:vAlign w:val="center"/>
          </w:tcPr>
          <w:p w:rsidR="00690B27" w:rsidRDefault="006149A8">
            <w:pPr>
              <w:jc w:val="right"/>
            </w:pPr>
            <w:r>
              <w:rPr>
                <w:color w:val="000000"/>
                <w:sz w:val="24"/>
                <w:szCs w:val="24"/>
              </w:rPr>
              <w:t>79,424,000.00</w:t>
            </w:r>
          </w:p>
        </w:tc>
        <w:tc>
          <w:tcPr>
            <w:tcW w:w="1237" w:type="dxa"/>
            <w:vAlign w:val="center"/>
          </w:tcPr>
          <w:p w:rsidR="00690B27" w:rsidRDefault="006149A8">
            <w:pPr>
              <w:jc w:val="right"/>
            </w:pPr>
            <w:r>
              <w:rPr>
                <w:color w:val="000000"/>
                <w:sz w:val="24"/>
                <w:szCs w:val="24"/>
              </w:rPr>
              <w:t>2.63</w:t>
            </w:r>
          </w:p>
        </w:tc>
      </w:tr>
      <w:tr w:rsidR="00690B27">
        <w:trPr>
          <w:jc w:val="center"/>
        </w:trPr>
        <w:tc>
          <w:tcPr>
            <w:tcW w:w="850" w:type="dxa"/>
            <w:vAlign w:val="center"/>
          </w:tcPr>
          <w:p w:rsidR="00690B27" w:rsidRDefault="006149A8">
            <w:pPr>
              <w:jc w:val="center"/>
            </w:pPr>
            <w:r>
              <w:rPr>
                <w:color w:val="000000"/>
                <w:sz w:val="24"/>
                <w:szCs w:val="24"/>
              </w:rPr>
              <w:t>2</w:t>
            </w:r>
          </w:p>
        </w:tc>
        <w:tc>
          <w:tcPr>
            <w:tcW w:w="1475" w:type="dxa"/>
            <w:vAlign w:val="center"/>
          </w:tcPr>
          <w:p w:rsidR="00690B27" w:rsidRDefault="006149A8">
            <w:pPr>
              <w:jc w:val="center"/>
            </w:pPr>
            <w:r>
              <w:rPr>
                <w:color w:val="000000"/>
                <w:sz w:val="24"/>
                <w:szCs w:val="24"/>
              </w:rPr>
              <w:t>123001</w:t>
            </w:r>
          </w:p>
        </w:tc>
        <w:tc>
          <w:tcPr>
            <w:tcW w:w="1769" w:type="dxa"/>
            <w:vAlign w:val="center"/>
          </w:tcPr>
          <w:p w:rsidR="00690B27" w:rsidRDefault="006149A8">
            <w:pPr>
              <w:jc w:val="center"/>
            </w:pPr>
            <w:r>
              <w:rPr>
                <w:color w:val="000000"/>
                <w:sz w:val="24"/>
                <w:szCs w:val="24"/>
              </w:rPr>
              <w:t>蓝标转债</w:t>
            </w:r>
          </w:p>
        </w:tc>
        <w:tc>
          <w:tcPr>
            <w:tcW w:w="1387" w:type="dxa"/>
            <w:vAlign w:val="center"/>
          </w:tcPr>
          <w:p w:rsidR="00690B27" w:rsidRDefault="006149A8">
            <w:pPr>
              <w:jc w:val="right"/>
            </w:pPr>
            <w:r>
              <w:rPr>
                <w:color w:val="000000"/>
                <w:sz w:val="24"/>
                <w:szCs w:val="24"/>
              </w:rPr>
              <w:t>89</w:t>
            </w:r>
          </w:p>
        </w:tc>
        <w:tc>
          <w:tcPr>
            <w:tcW w:w="2150" w:type="dxa"/>
            <w:vAlign w:val="center"/>
          </w:tcPr>
          <w:p w:rsidR="00690B27" w:rsidRDefault="006149A8">
            <w:pPr>
              <w:jc w:val="right"/>
            </w:pPr>
            <w:r>
              <w:rPr>
                <w:color w:val="000000"/>
                <w:sz w:val="24"/>
                <w:szCs w:val="24"/>
              </w:rPr>
              <w:t>9,328.09</w:t>
            </w:r>
          </w:p>
        </w:tc>
        <w:tc>
          <w:tcPr>
            <w:tcW w:w="1237" w:type="dxa"/>
            <w:vAlign w:val="center"/>
          </w:tcPr>
          <w:p w:rsidR="00690B27" w:rsidRDefault="006149A8">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412,013.02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521,533.17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2,442,553.92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3,376,100.11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690B27">
        <w:trPr>
          <w:jc w:val="center"/>
        </w:trPr>
        <w:tc>
          <w:tcPr>
            <w:tcW w:w="1883" w:type="dxa"/>
            <w:vAlign w:val="center"/>
          </w:tcPr>
          <w:p w:rsidR="00690B27" w:rsidRDefault="006149A8">
            <w:pPr>
              <w:jc w:val="center"/>
            </w:pPr>
            <w:r>
              <w:rPr>
                <w:color w:val="000000"/>
                <w:sz w:val="24"/>
                <w:szCs w:val="24"/>
              </w:rPr>
              <w:t>1</w:t>
            </w:r>
          </w:p>
        </w:tc>
        <w:tc>
          <w:tcPr>
            <w:tcW w:w="1801" w:type="dxa"/>
            <w:vAlign w:val="center"/>
          </w:tcPr>
          <w:p w:rsidR="00690B27" w:rsidRDefault="006149A8">
            <w:pPr>
              <w:jc w:val="center"/>
            </w:pPr>
            <w:r>
              <w:rPr>
                <w:color w:val="000000"/>
                <w:sz w:val="24"/>
                <w:szCs w:val="24"/>
              </w:rPr>
              <w:t>123001</w:t>
            </w:r>
          </w:p>
        </w:tc>
        <w:tc>
          <w:tcPr>
            <w:tcW w:w="1727" w:type="dxa"/>
            <w:vAlign w:val="center"/>
          </w:tcPr>
          <w:p w:rsidR="00690B27" w:rsidRDefault="006149A8">
            <w:pPr>
              <w:jc w:val="center"/>
            </w:pPr>
            <w:r>
              <w:rPr>
                <w:color w:val="000000"/>
                <w:sz w:val="24"/>
                <w:szCs w:val="24"/>
              </w:rPr>
              <w:t>蓝标转债</w:t>
            </w:r>
          </w:p>
        </w:tc>
        <w:tc>
          <w:tcPr>
            <w:tcW w:w="1768" w:type="dxa"/>
            <w:vAlign w:val="center"/>
          </w:tcPr>
          <w:p w:rsidR="00690B27" w:rsidRDefault="006149A8">
            <w:pPr>
              <w:jc w:val="right"/>
            </w:pPr>
            <w:r>
              <w:rPr>
                <w:color w:val="000000"/>
                <w:sz w:val="24"/>
                <w:szCs w:val="24"/>
              </w:rPr>
              <w:t>9,328.09</w:t>
            </w:r>
          </w:p>
        </w:tc>
        <w:tc>
          <w:tcPr>
            <w:tcW w:w="1689" w:type="dxa"/>
            <w:vAlign w:val="center"/>
          </w:tcPr>
          <w:p w:rsidR="00690B27" w:rsidRDefault="006149A8">
            <w:pPr>
              <w:jc w:val="right"/>
            </w:pPr>
            <w:r>
              <w:rPr>
                <w:color w:val="000000"/>
                <w:sz w:val="24"/>
                <w:szCs w:val="24"/>
              </w:rPr>
              <w:t>0.00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1,868,798,060.65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416,704,822.85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76,724,350.44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2,208,778,533.06</w:t>
            </w:r>
          </w:p>
        </w:tc>
      </w:tr>
    </w:tbl>
    <w:p w:rsidR="00690B27" w:rsidRDefault="006149A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690B27" w:rsidRDefault="006149A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、中国证监会批准交银施罗德稳健配置混合型证券投资基金募集的文件；</w:t>
      </w:r>
      <w:r>
        <w:rPr>
          <w:color w:val="000000"/>
          <w:sz w:val="24"/>
          <w:szCs w:val="24"/>
        </w:rPr>
        <w:t xml:space="preserve"> </w:t>
      </w:r>
    </w:p>
    <w:p w:rsidR="00690B27" w:rsidRDefault="006149A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、《交银施罗德稳健配置混合型证券投资基金基金合同》；</w:t>
      </w:r>
      <w:r>
        <w:rPr>
          <w:color w:val="000000"/>
          <w:sz w:val="24"/>
          <w:szCs w:val="24"/>
        </w:rPr>
        <w:t xml:space="preserve"> </w:t>
      </w:r>
    </w:p>
    <w:p w:rsidR="00690B27" w:rsidRDefault="006149A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、《交银施罗德稳健配置混合型证券投资基金招募说明书》；</w:t>
      </w:r>
    </w:p>
    <w:p w:rsidR="00690B27" w:rsidRDefault="006149A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、《交银施罗德稳健配置混合型证券投资基金托管协议》；</w:t>
      </w:r>
      <w:r>
        <w:rPr>
          <w:color w:val="000000"/>
          <w:sz w:val="24"/>
          <w:szCs w:val="24"/>
        </w:rPr>
        <w:t xml:space="preserve"> </w:t>
      </w:r>
    </w:p>
    <w:p w:rsidR="00690B27" w:rsidRDefault="006149A8">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、关于募集交银施罗德稳健配置混合型证券投资基金之法律意见书；</w:t>
      </w:r>
      <w:r>
        <w:rPr>
          <w:color w:val="000000"/>
          <w:sz w:val="24"/>
          <w:szCs w:val="24"/>
        </w:rPr>
        <w:t xml:space="preserve"> </w:t>
      </w:r>
    </w:p>
    <w:p w:rsidR="00690B27" w:rsidRDefault="006149A8">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690B27" w:rsidRDefault="006149A8">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、报告期内交银施罗德稳健配置混合型证券投资基金在指定报刊上各项公告的原稿。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690B27" w:rsidRDefault="006149A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74C" w:rsidRDefault="00C8674C" w:rsidP="00876D65">
      <w:r>
        <w:separator/>
      </w:r>
    </w:p>
  </w:endnote>
  <w:endnote w:type="continuationSeparator" w:id="0">
    <w:p w:rsidR="00C8674C" w:rsidRDefault="00C8674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2D58DF">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2D58DF">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74C" w:rsidRDefault="00C8674C" w:rsidP="00876D65">
      <w:r>
        <w:separator/>
      </w:r>
    </w:p>
  </w:footnote>
  <w:footnote w:type="continuationSeparator" w:id="0">
    <w:p w:rsidR="00C8674C" w:rsidRDefault="00C8674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5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9A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0B27"/>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674C"/>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A2F0A5-7A1A-49AC-9557-A3A905704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FC191-A45C-435C-BD70-98BFA4D56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568</cp:revision>
  <dcterms:created xsi:type="dcterms:W3CDTF">2012-10-16T06:07:00Z</dcterms:created>
  <dcterms:modified xsi:type="dcterms:W3CDTF">2017-07-18T07:16:00Z</dcterms:modified>
</cp:coreProperties>
</file>