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bookmarkStart w:id="0" w:name="_GoBack"/>
      <w:bookmarkEnd w:id="0"/>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交银施罗德精选混合型证券投资基金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B4451" w:rsidRDefault="0099730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B4451" w:rsidRDefault="0099730B">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B4451" w:rsidRDefault="0099730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B4451" w:rsidRDefault="0099730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B4451" w:rsidRDefault="0099730B">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519688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519689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2005</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29</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4,198,067,110.48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自上而下配置资产，自下而上精选证券，有效控制下行风险。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37A3A" w:rsidRPr="00414345" w:rsidTr="00F37A3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37A3A" w:rsidRPr="00414345" w:rsidTr="00F37A3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-83,658,116.65</w:t>
            </w:r>
          </w:p>
        </w:tc>
      </w:tr>
      <w:tr w:rsidR="00F37A3A" w:rsidRPr="00414345" w:rsidTr="00F37A3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94,505,479.62</w:t>
            </w:r>
          </w:p>
        </w:tc>
      </w:tr>
      <w:tr w:rsidR="00F37A3A" w:rsidRPr="00414345" w:rsidTr="00F37A3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0.0197</w:t>
            </w:r>
          </w:p>
        </w:tc>
      </w:tr>
      <w:tr w:rsidR="00F37A3A" w:rsidRPr="00414345" w:rsidTr="00F37A3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2,441,234,029.46</w:t>
            </w:r>
          </w:p>
        </w:tc>
      </w:tr>
      <w:tr w:rsidR="00F37A3A" w:rsidRPr="00414345" w:rsidTr="00F37A3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0.5815</w:t>
            </w:r>
          </w:p>
        </w:tc>
      </w:tr>
    </w:tbl>
    <w:p w:rsidR="00AB4451" w:rsidRDefault="0099730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B4451">
        <w:trPr>
          <w:jc w:val="center"/>
        </w:trPr>
        <w:tc>
          <w:tcPr>
            <w:tcW w:w="1701" w:type="dxa"/>
            <w:vAlign w:val="center"/>
          </w:tcPr>
          <w:p w:rsidR="00AB4451" w:rsidRDefault="0099730B">
            <w:pPr>
              <w:jc w:val="left"/>
            </w:pPr>
            <w:r>
              <w:rPr>
                <w:color w:val="000000"/>
                <w:sz w:val="24"/>
                <w:szCs w:val="24"/>
              </w:rPr>
              <w:t>过去三个月</w:t>
            </w:r>
          </w:p>
        </w:tc>
        <w:tc>
          <w:tcPr>
            <w:tcW w:w="1045" w:type="dxa"/>
            <w:vAlign w:val="center"/>
          </w:tcPr>
          <w:p w:rsidR="00AB4451" w:rsidRDefault="0099730B">
            <w:pPr>
              <w:jc w:val="center"/>
            </w:pPr>
            <w:r>
              <w:rPr>
                <w:color w:val="000000"/>
                <w:sz w:val="24"/>
                <w:szCs w:val="24"/>
              </w:rPr>
              <w:t>3.58%</w:t>
            </w:r>
          </w:p>
        </w:tc>
        <w:tc>
          <w:tcPr>
            <w:tcW w:w="1344" w:type="dxa"/>
            <w:vAlign w:val="center"/>
          </w:tcPr>
          <w:p w:rsidR="00AB4451" w:rsidRDefault="0099730B">
            <w:pPr>
              <w:jc w:val="center"/>
            </w:pPr>
            <w:r>
              <w:rPr>
                <w:color w:val="000000"/>
                <w:sz w:val="24"/>
                <w:szCs w:val="24"/>
              </w:rPr>
              <w:t>0.65%</w:t>
            </w:r>
          </w:p>
        </w:tc>
        <w:tc>
          <w:tcPr>
            <w:tcW w:w="1194" w:type="dxa"/>
            <w:vAlign w:val="center"/>
          </w:tcPr>
          <w:p w:rsidR="00AB4451" w:rsidRDefault="0099730B">
            <w:pPr>
              <w:jc w:val="center"/>
            </w:pPr>
            <w:r>
              <w:rPr>
                <w:color w:val="000000"/>
                <w:sz w:val="24"/>
                <w:szCs w:val="24"/>
              </w:rPr>
              <w:t>4.63%</w:t>
            </w:r>
          </w:p>
        </w:tc>
        <w:tc>
          <w:tcPr>
            <w:tcW w:w="1492" w:type="dxa"/>
            <w:vAlign w:val="center"/>
          </w:tcPr>
          <w:p w:rsidR="00AB4451" w:rsidRDefault="0099730B">
            <w:pPr>
              <w:jc w:val="center"/>
            </w:pPr>
            <w:r>
              <w:rPr>
                <w:color w:val="000000"/>
                <w:sz w:val="24"/>
                <w:szCs w:val="24"/>
              </w:rPr>
              <w:t>0.47%</w:t>
            </w:r>
          </w:p>
        </w:tc>
        <w:tc>
          <w:tcPr>
            <w:tcW w:w="1194" w:type="dxa"/>
            <w:vAlign w:val="center"/>
          </w:tcPr>
          <w:p w:rsidR="00AB4451" w:rsidRDefault="0099730B">
            <w:pPr>
              <w:jc w:val="center"/>
            </w:pPr>
            <w:r>
              <w:rPr>
                <w:color w:val="000000"/>
                <w:sz w:val="24"/>
                <w:szCs w:val="24"/>
              </w:rPr>
              <w:t>-1.05%</w:t>
            </w:r>
          </w:p>
        </w:tc>
        <w:tc>
          <w:tcPr>
            <w:tcW w:w="898" w:type="dxa"/>
            <w:vAlign w:val="center"/>
          </w:tcPr>
          <w:p w:rsidR="00AB4451" w:rsidRDefault="0099730B">
            <w:pPr>
              <w:jc w:val="center"/>
            </w:pPr>
            <w:r>
              <w:rPr>
                <w:color w:val="000000"/>
                <w:sz w:val="24"/>
                <w:szCs w:val="24"/>
              </w:rPr>
              <w:t>0.18%</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交银施罗德精选混合型证券投资基金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2005</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29</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B4451">
        <w:trPr>
          <w:jc w:val="center"/>
        </w:trPr>
        <w:tc>
          <w:tcPr>
            <w:tcW w:w="846" w:type="dxa"/>
            <w:vAlign w:val="center"/>
          </w:tcPr>
          <w:p w:rsidR="00AB4451" w:rsidRDefault="0099730B">
            <w:pPr>
              <w:jc w:val="center"/>
            </w:pPr>
            <w:r>
              <w:rPr>
                <w:color w:val="000000"/>
                <w:sz w:val="24"/>
                <w:szCs w:val="24"/>
              </w:rPr>
              <w:t>曹文俊</w:t>
            </w:r>
          </w:p>
        </w:tc>
        <w:tc>
          <w:tcPr>
            <w:tcW w:w="845" w:type="dxa"/>
            <w:vAlign w:val="center"/>
          </w:tcPr>
          <w:p w:rsidR="00AB4451" w:rsidRDefault="0099730B">
            <w:pPr>
              <w:jc w:val="center"/>
            </w:pPr>
            <w:r>
              <w:rPr>
                <w:color w:val="000000"/>
                <w:sz w:val="24"/>
                <w:szCs w:val="24"/>
              </w:rPr>
              <w:t>交银精选混合、交银趋势混合的基金经理</w:t>
            </w:r>
          </w:p>
        </w:tc>
        <w:tc>
          <w:tcPr>
            <w:tcW w:w="1549" w:type="dxa"/>
            <w:vAlign w:val="center"/>
          </w:tcPr>
          <w:p w:rsidR="00AB4451" w:rsidRDefault="0099730B">
            <w:pPr>
              <w:jc w:val="center"/>
            </w:pPr>
            <w:r>
              <w:rPr>
                <w:color w:val="000000"/>
                <w:sz w:val="24"/>
                <w:szCs w:val="24"/>
              </w:rPr>
              <w:t>2014-10-22</w:t>
            </w:r>
          </w:p>
        </w:tc>
        <w:tc>
          <w:tcPr>
            <w:tcW w:w="1548" w:type="dxa"/>
            <w:vAlign w:val="center"/>
          </w:tcPr>
          <w:p w:rsidR="00AB4451" w:rsidRDefault="0099730B">
            <w:pPr>
              <w:jc w:val="center"/>
            </w:pPr>
            <w:r>
              <w:rPr>
                <w:color w:val="000000"/>
                <w:sz w:val="24"/>
                <w:szCs w:val="24"/>
              </w:rPr>
              <w:t>2017-06-13</w:t>
            </w:r>
          </w:p>
        </w:tc>
        <w:tc>
          <w:tcPr>
            <w:tcW w:w="1407" w:type="dxa"/>
            <w:vAlign w:val="center"/>
          </w:tcPr>
          <w:p w:rsidR="00AB4451" w:rsidRDefault="0099730B">
            <w:pPr>
              <w:jc w:val="center"/>
            </w:pPr>
            <w:r>
              <w:rPr>
                <w:color w:val="000000"/>
                <w:sz w:val="24"/>
                <w:szCs w:val="24"/>
              </w:rPr>
              <w:t>12</w:t>
            </w:r>
            <w:r>
              <w:rPr>
                <w:color w:val="000000"/>
                <w:sz w:val="24"/>
                <w:szCs w:val="24"/>
              </w:rPr>
              <w:t>年</w:t>
            </w:r>
          </w:p>
        </w:tc>
        <w:tc>
          <w:tcPr>
            <w:tcW w:w="2673" w:type="dxa"/>
            <w:vAlign w:val="center"/>
          </w:tcPr>
          <w:p w:rsidR="00AB4451" w:rsidRDefault="0099730B">
            <w:r>
              <w:rPr>
                <w:color w:val="000000"/>
                <w:sz w:val="24"/>
                <w:szCs w:val="24"/>
              </w:rPr>
              <w:t>曹文俊先生，硕士学位。历任申银万国证券研究所有限公司助理分析师，申万巴黎基金管理有限公司（现申万菱信基金管理有限公司）研究员。</w:t>
            </w:r>
            <w:r>
              <w:rPr>
                <w:color w:val="000000"/>
                <w:sz w:val="24"/>
                <w:szCs w:val="24"/>
              </w:rPr>
              <w:t>2010</w:t>
            </w:r>
            <w:r>
              <w:rPr>
                <w:color w:val="000000"/>
                <w:sz w:val="24"/>
                <w:szCs w:val="24"/>
              </w:rPr>
              <w:t>年加入交银施罗德基金管理有限公司，历任行业分析师、基金经理助理。</w:t>
            </w:r>
            <w:r>
              <w:rPr>
                <w:color w:val="000000"/>
                <w:sz w:val="24"/>
                <w:szCs w:val="24"/>
              </w:rPr>
              <w:t>2013</w:t>
            </w:r>
            <w:r>
              <w:rPr>
                <w:color w:val="000000"/>
                <w:sz w:val="24"/>
                <w:szCs w:val="24"/>
              </w:rPr>
              <w:t>年</w:t>
            </w:r>
            <w:r>
              <w:rPr>
                <w:color w:val="000000"/>
                <w:sz w:val="24"/>
                <w:szCs w:val="24"/>
              </w:rPr>
              <w:t>8</w:t>
            </w:r>
            <w:r>
              <w:rPr>
                <w:color w:val="000000"/>
                <w:sz w:val="24"/>
                <w:szCs w:val="24"/>
              </w:rPr>
              <w:t>月</w:t>
            </w:r>
            <w:r>
              <w:rPr>
                <w:color w:val="000000"/>
                <w:sz w:val="24"/>
                <w:szCs w:val="24"/>
              </w:rPr>
              <w:t>8</w:t>
            </w:r>
            <w:r>
              <w:rPr>
                <w:color w:val="000000"/>
                <w:sz w:val="24"/>
                <w:szCs w:val="24"/>
              </w:rPr>
              <w:t>日至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12</w:t>
            </w:r>
            <w:r>
              <w:rPr>
                <w:color w:val="000000"/>
                <w:sz w:val="24"/>
                <w:szCs w:val="24"/>
              </w:rPr>
              <w:t>日担任交银施罗德趋势优先混合型证券投资基金的基金经理，</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22</w:t>
            </w:r>
            <w:r>
              <w:rPr>
                <w:color w:val="000000"/>
                <w:sz w:val="24"/>
                <w:szCs w:val="24"/>
              </w:rPr>
              <w:t>日至</w:t>
            </w:r>
            <w:r>
              <w:rPr>
                <w:color w:val="000000"/>
                <w:sz w:val="24"/>
                <w:szCs w:val="24"/>
              </w:rPr>
              <w:t>2017</w:t>
            </w:r>
            <w:r>
              <w:rPr>
                <w:color w:val="000000"/>
                <w:sz w:val="24"/>
                <w:szCs w:val="24"/>
              </w:rPr>
              <w:t>年</w:t>
            </w:r>
            <w:r>
              <w:rPr>
                <w:color w:val="000000"/>
                <w:sz w:val="24"/>
                <w:szCs w:val="24"/>
              </w:rPr>
              <w:lastRenderedPageBreak/>
              <w:t>6</w:t>
            </w:r>
            <w:r>
              <w:rPr>
                <w:color w:val="000000"/>
                <w:sz w:val="24"/>
                <w:szCs w:val="24"/>
              </w:rPr>
              <w:t>月</w:t>
            </w:r>
            <w:r>
              <w:rPr>
                <w:color w:val="000000"/>
                <w:sz w:val="24"/>
                <w:szCs w:val="24"/>
              </w:rPr>
              <w:t>12</w:t>
            </w:r>
            <w:r>
              <w:rPr>
                <w:color w:val="000000"/>
                <w:sz w:val="24"/>
                <w:szCs w:val="24"/>
              </w:rPr>
              <w:t>日担任交银施罗德精选混合型证券投资基金的基金经理。</w:t>
            </w:r>
          </w:p>
        </w:tc>
      </w:tr>
      <w:tr w:rsidR="00AB4451">
        <w:trPr>
          <w:jc w:val="center"/>
        </w:trPr>
        <w:tc>
          <w:tcPr>
            <w:tcW w:w="846" w:type="dxa"/>
            <w:vAlign w:val="center"/>
          </w:tcPr>
          <w:p w:rsidR="00AB4451" w:rsidRDefault="0099730B">
            <w:pPr>
              <w:jc w:val="center"/>
            </w:pPr>
            <w:r>
              <w:rPr>
                <w:color w:val="000000"/>
                <w:sz w:val="24"/>
                <w:szCs w:val="24"/>
              </w:rPr>
              <w:lastRenderedPageBreak/>
              <w:t>王崇</w:t>
            </w:r>
          </w:p>
        </w:tc>
        <w:tc>
          <w:tcPr>
            <w:tcW w:w="845" w:type="dxa"/>
            <w:vAlign w:val="center"/>
          </w:tcPr>
          <w:p w:rsidR="00AB4451" w:rsidRDefault="0099730B">
            <w:pPr>
              <w:jc w:val="center"/>
            </w:pPr>
            <w:r>
              <w:rPr>
                <w:color w:val="000000"/>
                <w:sz w:val="24"/>
                <w:szCs w:val="24"/>
              </w:rPr>
              <w:t>交银精选混合、交银新成长混合的基金经理</w:t>
            </w:r>
          </w:p>
        </w:tc>
        <w:tc>
          <w:tcPr>
            <w:tcW w:w="1549" w:type="dxa"/>
            <w:vAlign w:val="center"/>
          </w:tcPr>
          <w:p w:rsidR="00AB4451" w:rsidRDefault="0099730B" w:rsidP="00F37A3A">
            <w:pPr>
              <w:jc w:val="center"/>
            </w:pPr>
            <w:r>
              <w:rPr>
                <w:color w:val="000000"/>
                <w:sz w:val="24"/>
                <w:szCs w:val="24"/>
              </w:rPr>
              <w:t>2017-06-</w:t>
            </w:r>
            <w:r w:rsidR="00F37A3A">
              <w:rPr>
                <w:color w:val="000000"/>
                <w:sz w:val="24"/>
                <w:szCs w:val="24"/>
              </w:rPr>
              <w:t>0</w:t>
            </w:r>
            <w:r>
              <w:rPr>
                <w:color w:val="000000"/>
                <w:sz w:val="24"/>
                <w:szCs w:val="24"/>
              </w:rPr>
              <w:t>3</w:t>
            </w:r>
          </w:p>
        </w:tc>
        <w:tc>
          <w:tcPr>
            <w:tcW w:w="1548" w:type="dxa"/>
            <w:vAlign w:val="center"/>
          </w:tcPr>
          <w:p w:rsidR="00AB4451" w:rsidRDefault="0099730B">
            <w:pPr>
              <w:jc w:val="center"/>
            </w:pPr>
            <w:r>
              <w:rPr>
                <w:color w:val="000000"/>
                <w:sz w:val="24"/>
                <w:szCs w:val="24"/>
              </w:rPr>
              <w:t>-</w:t>
            </w:r>
          </w:p>
        </w:tc>
        <w:tc>
          <w:tcPr>
            <w:tcW w:w="1407" w:type="dxa"/>
            <w:vAlign w:val="center"/>
          </w:tcPr>
          <w:p w:rsidR="00AB4451" w:rsidRDefault="0099730B">
            <w:pPr>
              <w:jc w:val="center"/>
            </w:pPr>
            <w:r>
              <w:rPr>
                <w:color w:val="000000"/>
                <w:sz w:val="24"/>
                <w:szCs w:val="24"/>
              </w:rPr>
              <w:t>9</w:t>
            </w:r>
            <w:r>
              <w:rPr>
                <w:color w:val="000000"/>
                <w:sz w:val="24"/>
                <w:szCs w:val="24"/>
              </w:rPr>
              <w:t>年</w:t>
            </w:r>
          </w:p>
        </w:tc>
        <w:tc>
          <w:tcPr>
            <w:tcW w:w="2673" w:type="dxa"/>
            <w:vAlign w:val="center"/>
          </w:tcPr>
          <w:p w:rsidR="00AB4451" w:rsidRDefault="0099730B">
            <w:r>
              <w:rPr>
                <w:color w:val="000000"/>
                <w:sz w:val="24"/>
                <w:szCs w:val="24"/>
              </w:rPr>
              <w:t>王崇先生，北京大学金融学博士。</w:t>
            </w:r>
            <w:r>
              <w:rPr>
                <w:color w:val="000000"/>
                <w:sz w:val="24"/>
                <w:szCs w:val="24"/>
              </w:rPr>
              <w:t>2008</w:t>
            </w:r>
            <w:r>
              <w:rPr>
                <w:color w:val="000000"/>
                <w:sz w:val="24"/>
                <w:szCs w:val="24"/>
              </w:rPr>
              <w:t>年加入交银施罗德基金管理有限公司，历任行业分析师、高级研究员。</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B4451" w:rsidRDefault="0099730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B4451" w:rsidRDefault="0099730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B4451" w:rsidRDefault="0099730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lastRenderedPageBreak/>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B4451" w:rsidRDefault="0099730B">
      <w:pPr>
        <w:spacing w:before="29" w:line="288" w:lineRule="auto"/>
        <w:ind w:firstLineChars="200" w:firstLine="480"/>
        <w:rPr>
          <w:color w:val="000000"/>
          <w:sz w:val="24"/>
          <w:szCs w:val="24"/>
        </w:rPr>
      </w:pPr>
      <w:r>
        <w:rPr>
          <w:color w:val="000000"/>
          <w:sz w:val="24"/>
          <w:szCs w:val="24"/>
        </w:rPr>
        <w:t>二季度国内经济数据回落，货币政策中性偏紧，通胀压力略有缓解。二季度</w:t>
      </w:r>
      <w:r>
        <w:rPr>
          <w:color w:val="000000"/>
          <w:sz w:val="24"/>
          <w:szCs w:val="24"/>
        </w:rPr>
        <w:t>A</w:t>
      </w:r>
      <w:r>
        <w:rPr>
          <w:color w:val="000000"/>
          <w:sz w:val="24"/>
          <w:szCs w:val="24"/>
        </w:rPr>
        <w:t>股市场表现为风险偏好下降、追求确定性的投资风格，防御性的板块如家电、食品饮料、金融表现优异，市场以大为美，以</w:t>
      </w:r>
      <w:r>
        <w:rPr>
          <w:color w:val="000000"/>
          <w:sz w:val="24"/>
          <w:szCs w:val="24"/>
        </w:rPr>
        <w:t>“</w:t>
      </w:r>
      <w:r>
        <w:rPr>
          <w:color w:val="000000"/>
          <w:sz w:val="24"/>
          <w:szCs w:val="24"/>
        </w:rPr>
        <w:t>价值投资</w:t>
      </w:r>
      <w:r>
        <w:rPr>
          <w:color w:val="000000"/>
          <w:sz w:val="24"/>
          <w:szCs w:val="24"/>
        </w:rPr>
        <w:t>”</w:t>
      </w:r>
      <w:r>
        <w:rPr>
          <w:color w:val="000000"/>
          <w:sz w:val="24"/>
          <w:szCs w:val="24"/>
        </w:rPr>
        <w:t>为标榜的大盘股被追捧，中证红利指数和上证</w:t>
      </w:r>
      <w:r>
        <w:rPr>
          <w:color w:val="000000"/>
          <w:sz w:val="24"/>
          <w:szCs w:val="24"/>
        </w:rPr>
        <w:t>50</w:t>
      </w:r>
      <w:r>
        <w:rPr>
          <w:color w:val="000000"/>
          <w:sz w:val="24"/>
          <w:szCs w:val="24"/>
        </w:rPr>
        <w:t>指数表现突出，创业板指数表现落后。</w:t>
      </w:r>
    </w:p>
    <w:p w:rsidR="00AB4451" w:rsidRDefault="0099730B">
      <w:pPr>
        <w:spacing w:before="29" w:line="288" w:lineRule="auto"/>
        <w:ind w:firstLineChars="200" w:firstLine="480"/>
        <w:rPr>
          <w:color w:val="000000"/>
          <w:sz w:val="24"/>
          <w:szCs w:val="24"/>
        </w:rPr>
      </w:pPr>
      <w:r>
        <w:rPr>
          <w:color w:val="000000"/>
          <w:sz w:val="24"/>
          <w:szCs w:val="24"/>
        </w:rPr>
        <w:t>本基金二季度采取稳健投资策略，维持中性仓位，板块配置转向防御，追求确定性。操作上减持部分小股票仓位，增加了医药、金融等行业配置，精选细分子行业景气较好的优质龙头公司做中期布局，超配医药、通信、化工、新能源、有色等行业，二季度获得正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展望三季度的</w:t>
      </w:r>
      <w:r w:rsidRPr="00414345">
        <w:rPr>
          <w:color w:val="000000"/>
          <w:sz w:val="24"/>
          <w:szCs w:val="24"/>
        </w:rPr>
        <w:t>A</w:t>
      </w:r>
      <w:r w:rsidRPr="00414345">
        <w:rPr>
          <w:color w:val="000000"/>
          <w:sz w:val="24"/>
          <w:szCs w:val="24"/>
        </w:rPr>
        <w:t>股市场，我们继续维持谨慎乐观的态度。一方面，预计国内货币政策后续易紧难松；另一方面，部分优质蓝筹股估值水平并不高，一批在细分子行业具有核心竞争力的龙头公司中期来看具有良好投资价值。本基金三季度将继续关注医药、通信、精细化工、新能源以及新能源汽车等板块投资机会，精选子行业优质龙头公司，恪守安全边际，努力为基金持有人带来稳定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0.5815</w:t>
      </w:r>
      <w:r w:rsidRPr="00414345">
        <w:rPr>
          <w:color w:val="000000"/>
          <w:sz w:val="24"/>
          <w:szCs w:val="24"/>
        </w:rPr>
        <w:t>元，本报告期份额净值增长率为</w:t>
      </w:r>
      <w:r w:rsidRPr="00414345">
        <w:rPr>
          <w:color w:val="000000"/>
          <w:sz w:val="24"/>
          <w:szCs w:val="24"/>
        </w:rPr>
        <w:t>3.58%</w:t>
      </w:r>
      <w:r w:rsidRPr="00414345">
        <w:rPr>
          <w:color w:val="000000"/>
          <w:sz w:val="24"/>
          <w:szCs w:val="24"/>
        </w:rPr>
        <w:t>，同期业绩比较基准增长率为</w:t>
      </w:r>
      <w:r w:rsidRPr="00414345">
        <w:rPr>
          <w:color w:val="000000"/>
          <w:sz w:val="24"/>
          <w:szCs w:val="24"/>
        </w:rPr>
        <w:t>4.63%</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1,950,847,330.59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78.64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1,950,847,330.59</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78.64</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101,054,000.00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4.07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101,054,000.00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4.07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192,020,981.03</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7.74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224,939,871.42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9.07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11,733,882.87</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0.47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2,480,596,065.91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1,278,516,933.28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89,164,844.77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69,990,489.18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213,466,207.32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63,540,807.44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73,627,846.20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153,825,412.40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8,714,790.00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1,950,847,330.59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79.91</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B4451">
        <w:trPr>
          <w:jc w:val="center"/>
        </w:trPr>
        <w:tc>
          <w:tcPr>
            <w:tcW w:w="855" w:type="dxa"/>
            <w:vAlign w:val="center"/>
          </w:tcPr>
          <w:p w:rsidR="00AB4451" w:rsidRDefault="0099730B">
            <w:pPr>
              <w:jc w:val="center"/>
            </w:pPr>
            <w:r>
              <w:rPr>
                <w:color w:val="000000"/>
                <w:sz w:val="24"/>
                <w:szCs w:val="24"/>
              </w:rPr>
              <w:t>1</w:t>
            </w:r>
          </w:p>
        </w:tc>
        <w:tc>
          <w:tcPr>
            <w:tcW w:w="1334" w:type="dxa"/>
            <w:vAlign w:val="center"/>
          </w:tcPr>
          <w:p w:rsidR="00AB4451" w:rsidRDefault="0099730B">
            <w:pPr>
              <w:jc w:val="center"/>
            </w:pPr>
            <w:r>
              <w:rPr>
                <w:color w:val="000000"/>
                <w:sz w:val="24"/>
                <w:szCs w:val="24"/>
              </w:rPr>
              <w:t>002583</w:t>
            </w:r>
          </w:p>
        </w:tc>
        <w:tc>
          <w:tcPr>
            <w:tcW w:w="1777" w:type="dxa"/>
            <w:vAlign w:val="center"/>
          </w:tcPr>
          <w:p w:rsidR="00AB4451" w:rsidRDefault="0099730B">
            <w:pPr>
              <w:jc w:val="center"/>
            </w:pPr>
            <w:r>
              <w:rPr>
                <w:color w:val="000000"/>
                <w:sz w:val="24"/>
                <w:szCs w:val="24"/>
              </w:rPr>
              <w:t>海能达</w:t>
            </w:r>
          </w:p>
        </w:tc>
        <w:tc>
          <w:tcPr>
            <w:tcW w:w="1334" w:type="dxa"/>
            <w:vAlign w:val="center"/>
          </w:tcPr>
          <w:p w:rsidR="00AB4451" w:rsidRDefault="0099730B">
            <w:pPr>
              <w:jc w:val="right"/>
            </w:pPr>
            <w:r>
              <w:rPr>
                <w:color w:val="000000"/>
                <w:sz w:val="24"/>
                <w:szCs w:val="24"/>
              </w:rPr>
              <w:t>15,000,752</w:t>
            </w:r>
          </w:p>
        </w:tc>
        <w:tc>
          <w:tcPr>
            <w:tcW w:w="1924" w:type="dxa"/>
            <w:vAlign w:val="center"/>
          </w:tcPr>
          <w:p w:rsidR="00AB4451" w:rsidRDefault="0099730B">
            <w:pPr>
              <w:jc w:val="right"/>
            </w:pPr>
            <w:r>
              <w:rPr>
                <w:color w:val="000000"/>
                <w:sz w:val="24"/>
                <w:szCs w:val="24"/>
              </w:rPr>
              <w:t>241,362,099.68</w:t>
            </w:r>
          </w:p>
        </w:tc>
        <w:tc>
          <w:tcPr>
            <w:tcW w:w="1644" w:type="dxa"/>
            <w:vAlign w:val="center"/>
          </w:tcPr>
          <w:p w:rsidR="00AB4451" w:rsidRDefault="0099730B">
            <w:pPr>
              <w:jc w:val="right"/>
            </w:pPr>
            <w:r>
              <w:rPr>
                <w:color w:val="000000"/>
                <w:sz w:val="24"/>
                <w:szCs w:val="24"/>
              </w:rPr>
              <w:t>9.89</w:t>
            </w:r>
          </w:p>
        </w:tc>
      </w:tr>
      <w:tr w:rsidR="00AB4451">
        <w:trPr>
          <w:jc w:val="center"/>
        </w:trPr>
        <w:tc>
          <w:tcPr>
            <w:tcW w:w="855" w:type="dxa"/>
            <w:vAlign w:val="center"/>
          </w:tcPr>
          <w:p w:rsidR="00AB4451" w:rsidRDefault="0099730B">
            <w:pPr>
              <w:jc w:val="center"/>
            </w:pPr>
            <w:r>
              <w:rPr>
                <w:color w:val="000000"/>
                <w:sz w:val="24"/>
                <w:szCs w:val="24"/>
              </w:rPr>
              <w:t>2</w:t>
            </w:r>
          </w:p>
        </w:tc>
        <w:tc>
          <w:tcPr>
            <w:tcW w:w="1334" w:type="dxa"/>
            <w:vAlign w:val="center"/>
          </w:tcPr>
          <w:p w:rsidR="00AB4451" w:rsidRDefault="0099730B">
            <w:pPr>
              <w:jc w:val="center"/>
            </w:pPr>
            <w:r>
              <w:rPr>
                <w:color w:val="000000"/>
                <w:sz w:val="24"/>
                <w:szCs w:val="24"/>
              </w:rPr>
              <w:t>300347</w:t>
            </w:r>
          </w:p>
        </w:tc>
        <w:tc>
          <w:tcPr>
            <w:tcW w:w="1777" w:type="dxa"/>
            <w:vAlign w:val="center"/>
          </w:tcPr>
          <w:p w:rsidR="00AB4451" w:rsidRDefault="0099730B">
            <w:pPr>
              <w:jc w:val="center"/>
            </w:pPr>
            <w:r>
              <w:rPr>
                <w:color w:val="000000"/>
                <w:sz w:val="24"/>
                <w:szCs w:val="24"/>
              </w:rPr>
              <w:t>泰格医药</w:t>
            </w:r>
          </w:p>
        </w:tc>
        <w:tc>
          <w:tcPr>
            <w:tcW w:w="1334" w:type="dxa"/>
            <w:vAlign w:val="center"/>
          </w:tcPr>
          <w:p w:rsidR="00AB4451" w:rsidRDefault="0099730B">
            <w:pPr>
              <w:jc w:val="right"/>
            </w:pPr>
            <w:r>
              <w:rPr>
                <w:color w:val="000000"/>
                <w:sz w:val="24"/>
                <w:szCs w:val="24"/>
              </w:rPr>
              <w:t>6,356,422</w:t>
            </w:r>
          </w:p>
        </w:tc>
        <w:tc>
          <w:tcPr>
            <w:tcW w:w="1924" w:type="dxa"/>
            <w:vAlign w:val="center"/>
          </w:tcPr>
          <w:p w:rsidR="00AB4451" w:rsidRDefault="0099730B">
            <w:pPr>
              <w:jc w:val="right"/>
            </w:pPr>
            <w:r>
              <w:rPr>
                <w:color w:val="000000"/>
                <w:sz w:val="24"/>
                <w:szCs w:val="24"/>
              </w:rPr>
              <w:t>153,825,412.40</w:t>
            </w:r>
          </w:p>
        </w:tc>
        <w:tc>
          <w:tcPr>
            <w:tcW w:w="1644" w:type="dxa"/>
            <w:vAlign w:val="center"/>
          </w:tcPr>
          <w:p w:rsidR="00AB4451" w:rsidRDefault="0099730B">
            <w:pPr>
              <w:jc w:val="right"/>
            </w:pPr>
            <w:r>
              <w:rPr>
                <w:color w:val="000000"/>
                <w:sz w:val="24"/>
                <w:szCs w:val="24"/>
              </w:rPr>
              <w:t>6.30</w:t>
            </w:r>
          </w:p>
        </w:tc>
      </w:tr>
      <w:tr w:rsidR="00AB4451">
        <w:trPr>
          <w:jc w:val="center"/>
        </w:trPr>
        <w:tc>
          <w:tcPr>
            <w:tcW w:w="855" w:type="dxa"/>
            <w:vAlign w:val="center"/>
          </w:tcPr>
          <w:p w:rsidR="00AB4451" w:rsidRDefault="0099730B">
            <w:pPr>
              <w:jc w:val="center"/>
            </w:pPr>
            <w:r>
              <w:rPr>
                <w:color w:val="000000"/>
                <w:sz w:val="24"/>
                <w:szCs w:val="24"/>
              </w:rPr>
              <w:t>3</w:t>
            </w:r>
          </w:p>
        </w:tc>
        <w:tc>
          <w:tcPr>
            <w:tcW w:w="1334" w:type="dxa"/>
            <w:vAlign w:val="center"/>
          </w:tcPr>
          <w:p w:rsidR="00AB4451" w:rsidRDefault="0099730B">
            <w:pPr>
              <w:jc w:val="center"/>
            </w:pPr>
            <w:r>
              <w:rPr>
                <w:color w:val="000000"/>
                <w:sz w:val="24"/>
                <w:szCs w:val="24"/>
              </w:rPr>
              <w:t>600486</w:t>
            </w:r>
          </w:p>
        </w:tc>
        <w:tc>
          <w:tcPr>
            <w:tcW w:w="1777" w:type="dxa"/>
            <w:vAlign w:val="center"/>
          </w:tcPr>
          <w:p w:rsidR="00AB4451" w:rsidRDefault="0099730B">
            <w:pPr>
              <w:jc w:val="center"/>
            </w:pPr>
            <w:r>
              <w:rPr>
                <w:color w:val="000000"/>
                <w:sz w:val="24"/>
                <w:szCs w:val="24"/>
              </w:rPr>
              <w:t>扬农化工</w:t>
            </w:r>
          </w:p>
        </w:tc>
        <w:tc>
          <w:tcPr>
            <w:tcW w:w="1334" w:type="dxa"/>
            <w:vAlign w:val="center"/>
          </w:tcPr>
          <w:p w:rsidR="00AB4451" w:rsidRDefault="0099730B">
            <w:pPr>
              <w:jc w:val="right"/>
            </w:pPr>
            <w:r>
              <w:rPr>
                <w:color w:val="000000"/>
                <w:sz w:val="24"/>
                <w:szCs w:val="24"/>
              </w:rPr>
              <w:t>3,232,981</w:t>
            </w:r>
          </w:p>
        </w:tc>
        <w:tc>
          <w:tcPr>
            <w:tcW w:w="1924" w:type="dxa"/>
            <w:vAlign w:val="center"/>
          </w:tcPr>
          <w:p w:rsidR="00AB4451" w:rsidRDefault="0099730B">
            <w:pPr>
              <w:jc w:val="right"/>
            </w:pPr>
            <w:r>
              <w:rPr>
                <w:color w:val="000000"/>
                <w:sz w:val="24"/>
                <w:szCs w:val="24"/>
              </w:rPr>
              <w:t>136,464,128.01</w:t>
            </w:r>
          </w:p>
        </w:tc>
        <w:tc>
          <w:tcPr>
            <w:tcW w:w="1644" w:type="dxa"/>
            <w:vAlign w:val="center"/>
          </w:tcPr>
          <w:p w:rsidR="00AB4451" w:rsidRDefault="0099730B">
            <w:pPr>
              <w:jc w:val="right"/>
            </w:pPr>
            <w:r>
              <w:rPr>
                <w:color w:val="000000"/>
                <w:sz w:val="24"/>
                <w:szCs w:val="24"/>
              </w:rPr>
              <w:t>5.59</w:t>
            </w:r>
          </w:p>
        </w:tc>
      </w:tr>
      <w:tr w:rsidR="00AB4451">
        <w:trPr>
          <w:jc w:val="center"/>
        </w:trPr>
        <w:tc>
          <w:tcPr>
            <w:tcW w:w="855" w:type="dxa"/>
            <w:vAlign w:val="center"/>
          </w:tcPr>
          <w:p w:rsidR="00AB4451" w:rsidRDefault="0099730B">
            <w:pPr>
              <w:jc w:val="center"/>
            </w:pPr>
            <w:r>
              <w:rPr>
                <w:color w:val="000000"/>
                <w:sz w:val="24"/>
                <w:szCs w:val="24"/>
              </w:rPr>
              <w:t>4</w:t>
            </w:r>
          </w:p>
        </w:tc>
        <w:tc>
          <w:tcPr>
            <w:tcW w:w="1334" w:type="dxa"/>
            <w:vAlign w:val="center"/>
          </w:tcPr>
          <w:p w:rsidR="00AB4451" w:rsidRDefault="0099730B">
            <w:pPr>
              <w:jc w:val="center"/>
            </w:pPr>
            <w:r>
              <w:rPr>
                <w:color w:val="000000"/>
                <w:sz w:val="24"/>
                <w:szCs w:val="24"/>
              </w:rPr>
              <w:t>002434</w:t>
            </w:r>
          </w:p>
        </w:tc>
        <w:tc>
          <w:tcPr>
            <w:tcW w:w="1777" w:type="dxa"/>
            <w:vAlign w:val="center"/>
          </w:tcPr>
          <w:p w:rsidR="00AB4451" w:rsidRDefault="0099730B">
            <w:pPr>
              <w:jc w:val="center"/>
            </w:pPr>
            <w:r>
              <w:rPr>
                <w:color w:val="000000"/>
                <w:sz w:val="24"/>
                <w:szCs w:val="24"/>
              </w:rPr>
              <w:t>万里扬</w:t>
            </w:r>
          </w:p>
        </w:tc>
        <w:tc>
          <w:tcPr>
            <w:tcW w:w="1334" w:type="dxa"/>
            <w:vAlign w:val="center"/>
          </w:tcPr>
          <w:p w:rsidR="00AB4451" w:rsidRDefault="0099730B">
            <w:pPr>
              <w:jc w:val="right"/>
            </w:pPr>
            <w:r>
              <w:rPr>
                <w:color w:val="000000"/>
                <w:sz w:val="24"/>
                <w:szCs w:val="24"/>
              </w:rPr>
              <w:t>7,875,733</w:t>
            </w:r>
          </w:p>
        </w:tc>
        <w:tc>
          <w:tcPr>
            <w:tcW w:w="1924" w:type="dxa"/>
            <w:vAlign w:val="center"/>
          </w:tcPr>
          <w:p w:rsidR="00AB4451" w:rsidRDefault="0099730B">
            <w:pPr>
              <w:jc w:val="right"/>
            </w:pPr>
            <w:r>
              <w:rPr>
                <w:color w:val="000000"/>
                <w:sz w:val="24"/>
                <w:szCs w:val="24"/>
              </w:rPr>
              <w:t>125,381,669.36</w:t>
            </w:r>
          </w:p>
        </w:tc>
        <w:tc>
          <w:tcPr>
            <w:tcW w:w="1644" w:type="dxa"/>
            <w:vAlign w:val="center"/>
          </w:tcPr>
          <w:p w:rsidR="00AB4451" w:rsidRDefault="0099730B">
            <w:pPr>
              <w:jc w:val="right"/>
            </w:pPr>
            <w:r>
              <w:rPr>
                <w:color w:val="000000"/>
                <w:sz w:val="24"/>
                <w:szCs w:val="24"/>
              </w:rPr>
              <w:t>5.14</w:t>
            </w:r>
          </w:p>
        </w:tc>
      </w:tr>
      <w:tr w:rsidR="00AB4451">
        <w:trPr>
          <w:jc w:val="center"/>
        </w:trPr>
        <w:tc>
          <w:tcPr>
            <w:tcW w:w="855" w:type="dxa"/>
            <w:vAlign w:val="center"/>
          </w:tcPr>
          <w:p w:rsidR="00AB4451" w:rsidRDefault="0099730B">
            <w:pPr>
              <w:jc w:val="center"/>
            </w:pPr>
            <w:r>
              <w:rPr>
                <w:color w:val="000000"/>
                <w:sz w:val="24"/>
                <w:szCs w:val="24"/>
              </w:rPr>
              <w:t>5</w:t>
            </w:r>
          </w:p>
        </w:tc>
        <w:tc>
          <w:tcPr>
            <w:tcW w:w="1334" w:type="dxa"/>
            <w:vAlign w:val="center"/>
          </w:tcPr>
          <w:p w:rsidR="00AB4451" w:rsidRDefault="0099730B">
            <w:pPr>
              <w:jc w:val="center"/>
            </w:pPr>
            <w:r>
              <w:rPr>
                <w:color w:val="000000"/>
                <w:sz w:val="24"/>
                <w:szCs w:val="24"/>
              </w:rPr>
              <w:t>600867</w:t>
            </w:r>
          </w:p>
        </w:tc>
        <w:tc>
          <w:tcPr>
            <w:tcW w:w="1777" w:type="dxa"/>
            <w:vAlign w:val="center"/>
          </w:tcPr>
          <w:p w:rsidR="00AB4451" w:rsidRDefault="0099730B">
            <w:pPr>
              <w:jc w:val="center"/>
            </w:pPr>
            <w:r>
              <w:rPr>
                <w:color w:val="000000"/>
                <w:sz w:val="24"/>
                <w:szCs w:val="24"/>
              </w:rPr>
              <w:t>通化东宝</w:t>
            </w:r>
          </w:p>
        </w:tc>
        <w:tc>
          <w:tcPr>
            <w:tcW w:w="1334" w:type="dxa"/>
            <w:vAlign w:val="center"/>
          </w:tcPr>
          <w:p w:rsidR="00AB4451" w:rsidRDefault="0099730B">
            <w:pPr>
              <w:jc w:val="right"/>
            </w:pPr>
            <w:r>
              <w:rPr>
                <w:color w:val="000000"/>
                <w:sz w:val="24"/>
                <w:szCs w:val="24"/>
              </w:rPr>
              <w:t>6,244,230</w:t>
            </w:r>
          </w:p>
        </w:tc>
        <w:tc>
          <w:tcPr>
            <w:tcW w:w="1924" w:type="dxa"/>
            <w:vAlign w:val="center"/>
          </w:tcPr>
          <w:p w:rsidR="00AB4451" w:rsidRDefault="0099730B">
            <w:pPr>
              <w:jc w:val="right"/>
            </w:pPr>
            <w:r>
              <w:rPr>
                <w:color w:val="000000"/>
                <w:sz w:val="24"/>
                <w:szCs w:val="24"/>
              </w:rPr>
              <w:t>113,894,755.20</w:t>
            </w:r>
          </w:p>
        </w:tc>
        <w:tc>
          <w:tcPr>
            <w:tcW w:w="1644" w:type="dxa"/>
            <w:vAlign w:val="center"/>
          </w:tcPr>
          <w:p w:rsidR="00AB4451" w:rsidRDefault="0099730B">
            <w:pPr>
              <w:jc w:val="right"/>
            </w:pPr>
            <w:r>
              <w:rPr>
                <w:color w:val="000000"/>
                <w:sz w:val="24"/>
                <w:szCs w:val="24"/>
              </w:rPr>
              <w:t>4.67</w:t>
            </w:r>
          </w:p>
        </w:tc>
      </w:tr>
      <w:tr w:rsidR="00AB4451">
        <w:trPr>
          <w:jc w:val="center"/>
        </w:trPr>
        <w:tc>
          <w:tcPr>
            <w:tcW w:w="855" w:type="dxa"/>
            <w:vAlign w:val="center"/>
          </w:tcPr>
          <w:p w:rsidR="00AB4451" w:rsidRDefault="0099730B">
            <w:pPr>
              <w:jc w:val="center"/>
            </w:pPr>
            <w:r>
              <w:rPr>
                <w:color w:val="000000"/>
                <w:sz w:val="24"/>
                <w:szCs w:val="24"/>
              </w:rPr>
              <w:t>6</w:t>
            </w:r>
          </w:p>
        </w:tc>
        <w:tc>
          <w:tcPr>
            <w:tcW w:w="1334" w:type="dxa"/>
            <w:vAlign w:val="center"/>
          </w:tcPr>
          <w:p w:rsidR="00AB4451" w:rsidRDefault="0099730B">
            <w:pPr>
              <w:jc w:val="center"/>
            </w:pPr>
            <w:r>
              <w:rPr>
                <w:color w:val="000000"/>
                <w:sz w:val="24"/>
                <w:szCs w:val="24"/>
              </w:rPr>
              <w:t>002202</w:t>
            </w:r>
          </w:p>
        </w:tc>
        <w:tc>
          <w:tcPr>
            <w:tcW w:w="1777" w:type="dxa"/>
            <w:vAlign w:val="center"/>
          </w:tcPr>
          <w:p w:rsidR="00AB4451" w:rsidRDefault="0099730B">
            <w:pPr>
              <w:jc w:val="center"/>
            </w:pPr>
            <w:r>
              <w:rPr>
                <w:color w:val="000000"/>
                <w:sz w:val="24"/>
                <w:szCs w:val="24"/>
              </w:rPr>
              <w:t>金风科技</w:t>
            </w:r>
          </w:p>
        </w:tc>
        <w:tc>
          <w:tcPr>
            <w:tcW w:w="1334" w:type="dxa"/>
            <w:vAlign w:val="center"/>
          </w:tcPr>
          <w:p w:rsidR="00AB4451" w:rsidRDefault="0099730B">
            <w:pPr>
              <w:jc w:val="right"/>
            </w:pPr>
            <w:r>
              <w:rPr>
                <w:color w:val="000000"/>
                <w:sz w:val="24"/>
                <w:szCs w:val="24"/>
              </w:rPr>
              <w:t>7,034,202</w:t>
            </w:r>
          </w:p>
        </w:tc>
        <w:tc>
          <w:tcPr>
            <w:tcW w:w="1924" w:type="dxa"/>
            <w:vAlign w:val="center"/>
          </w:tcPr>
          <w:p w:rsidR="00AB4451" w:rsidRDefault="0099730B">
            <w:pPr>
              <w:jc w:val="right"/>
            </w:pPr>
            <w:r>
              <w:rPr>
                <w:color w:val="000000"/>
                <w:sz w:val="24"/>
                <w:szCs w:val="24"/>
              </w:rPr>
              <w:t>108,819,104.94</w:t>
            </w:r>
          </w:p>
        </w:tc>
        <w:tc>
          <w:tcPr>
            <w:tcW w:w="1644" w:type="dxa"/>
            <w:vAlign w:val="center"/>
          </w:tcPr>
          <w:p w:rsidR="00AB4451" w:rsidRDefault="0099730B">
            <w:pPr>
              <w:jc w:val="right"/>
            </w:pPr>
            <w:r>
              <w:rPr>
                <w:color w:val="000000"/>
                <w:sz w:val="24"/>
                <w:szCs w:val="24"/>
              </w:rPr>
              <w:t>4.46</w:t>
            </w:r>
          </w:p>
        </w:tc>
      </w:tr>
      <w:tr w:rsidR="00AB4451">
        <w:trPr>
          <w:jc w:val="center"/>
        </w:trPr>
        <w:tc>
          <w:tcPr>
            <w:tcW w:w="855" w:type="dxa"/>
            <w:vAlign w:val="center"/>
          </w:tcPr>
          <w:p w:rsidR="00AB4451" w:rsidRDefault="0099730B">
            <w:pPr>
              <w:jc w:val="center"/>
            </w:pPr>
            <w:r>
              <w:rPr>
                <w:color w:val="000000"/>
                <w:sz w:val="24"/>
                <w:szCs w:val="24"/>
              </w:rPr>
              <w:t>7</w:t>
            </w:r>
          </w:p>
        </w:tc>
        <w:tc>
          <w:tcPr>
            <w:tcW w:w="1334" w:type="dxa"/>
            <w:vAlign w:val="center"/>
          </w:tcPr>
          <w:p w:rsidR="00AB4451" w:rsidRDefault="0099730B">
            <w:pPr>
              <w:jc w:val="center"/>
            </w:pPr>
            <w:r>
              <w:rPr>
                <w:color w:val="000000"/>
                <w:sz w:val="24"/>
                <w:szCs w:val="24"/>
              </w:rPr>
              <w:t>002460</w:t>
            </w:r>
          </w:p>
        </w:tc>
        <w:tc>
          <w:tcPr>
            <w:tcW w:w="1777" w:type="dxa"/>
            <w:vAlign w:val="center"/>
          </w:tcPr>
          <w:p w:rsidR="00AB4451" w:rsidRDefault="0099730B">
            <w:pPr>
              <w:jc w:val="center"/>
            </w:pPr>
            <w:r>
              <w:rPr>
                <w:color w:val="000000"/>
                <w:sz w:val="24"/>
                <w:szCs w:val="24"/>
              </w:rPr>
              <w:t>赣锋锂业</w:t>
            </w:r>
          </w:p>
        </w:tc>
        <w:tc>
          <w:tcPr>
            <w:tcW w:w="1334" w:type="dxa"/>
            <w:vAlign w:val="center"/>
          </w:tcPr>
          <w:p w:rsidR="00AB4451" w:rsidRDefault="0099730B">
            <w:pPr>
              <w:jc w:val="right"/>
            </w:pPr>
            <w:r>
              <w:rPr>
                <w:color w:val="000000"/>
                <w:sz w:val="24"/>
                <w:szCs w:val="24"/>
              </w:rPr>
              <w:t>2,100,000</w:t>
            </w:r>
          </w:p>
        </w:tc>
        <w:tc>
          <w:tcPr>
            <w:tcW w:w="1924" w:type="dxa"/>
            <w:vAlign w:val="center"/>
          </w:tcPr>
          <w:p w:rsidR="00AB4451" w:rsidRDefault="0099730B">
            <w:pPr>
              <w:jc w:val="right"/>
            </w:pPr>
            <w:r>
              <w:rPr>
                <w:color w:val="000000"/>
                <w:sz w:val="24"/>
                <w:szCs w:val="24"/>
              </w:rPr>
              <w:t>97,125,000.00</w:t>
            </w:r>
          </w:p>
        </w:tc>
        <w:tc>
          <w:tcPr>
            <w:tcW w:w="1644" w:type="dxa"/>
            <w:vAlign w:val="center"/>
          </w:tcPr>
          <w:p w:rsidR="00AB4451" w:rsidRDefault="0099730B">
            <w:pPr>
              <w:jc w:val="right"/>
            </w:pPr>
            <w:r>
              <w:rPr>
                <w:color w:val="000000"/>
                <w:sz w:val="24"/>
                <w:szCs w:val="24"/>
              </w:rPr>
              <w:t>3.98</w:t>
            </w:r>
          </w:p>
        </w:tc>
      </w:tr>
      <w:tr w:rsidR="00AB4451">
        <w:trPr>
          <w:jc w:val="center"/>
        </w:trPr>
        <w:tc>
          <w:tcPr>
            <w:tcW w:w="855" w:type="dxa"/>
            <w:vAlign w:val="center"/>
          </w:tcPr>
          <w:p w:rsidR="00AB4451" w:rsidRDefault="0099730B">
            <w:pPr>
              <w:jc w:val="center"/>
            </w:pPr>
            <w:r>
              <w:rPr>
                <w:color w:val="000000"/>
                <w:sz w:val="24"/>
                <w:szCs w:val="24"/>
              </w:rPr>
              <w:t>8</w:t>
            </w:r>
          </w:p>
        </w:tc>
        <w:tc>
          <w:tcPr>
            <w:tcW w:w="1334" w:type="dxa"/>
            <w:vAlign w:val="center"/>
          </w:tcPr>
          <w:p w:rsidR="00AB4451" w:rsidRDefault="0099730B">
            <w:pPr>
              <w:jc w:val="center"/>
            </w:pPr>
            <w:r>
              <w:rPr>
                <w:color w:val="000000"/>
                <w:sz w:val="24"/>
                <w:szCs w:val="24"/>
              </w:rPr>
              <w:t>600036</w:t>
            </w:r>
          </w:p>
        </w:tc>
        <w:tc>
          <w:tcPr>
            <w:tcW w:w="1777" w:type="dxa"/>
            <w:vAlign w:val="center"/>
          </w:tcPr>
          <w:p w:rsidR="00AB4451" w:rsidRDefault="0099730B">
            <w:pPr>
              <w:jc w:val="center"/>
            </w:pPr>
            <w:r>
              <w:rPr>
                <w:color w:val="000000"/>
                <w:sz w:val="24"/>
                <w:szCs w:val="24"/>
              </w:rPr>
              <w:t>招商银行</w:t>
            </w:r>
          </w:p>
        </w:tc>
        <w:tc>
          <w:tcPr>
            <w:tcW w:w="1334" w:type="dxa"/>
            <w:vAlign w:val="center"/>
          </w:tcPr>
          <w:p w:rsidR="00AB4451" w:rsidRDefault="0099730B">
            <w:pPr>
              <w:jc w:val="right"/>
            </w:pPr>
            <w:r>
              <w:rPr>
                <w:color w:val="000000"/>
                <w:sz w:val="24"/>
                <w:szCs w:val="24"/>
              </w:rPr>
              <w:t>3,799,886</w:t>
            </w:r>
          </w:p>
        </w:tc>
        <w:tc>
          <w:tcPr>
            <w:tcW w:w="1924" w:type="dxa"/>
            <w:vAlign w:val="center"/>
          </w:tcPr>
          <w:p w:rsidR="00AB4451" w:rsidRDefault="0099730B">
            <w:pPr>
              <w:jc w:val="right"/>
            </w:pPr>
            <w:r>
              <w:rPr>
                <w:color w:val="000000"/>
                <w:sz w:val="24"/>
                <w:szCs w:val="24"/>
              </w:rPr>
              <w:t>90,855,274.26</w:t>
            </w:r>
          </w:p>
        </w:tc>
        <w:tc>
          <w:tcPr>
            <w:tcW w:w="1644" w:type="dxa"/>
            <w:vAlign w:val="center"/>
          </w:tcPr>
          <w:p w:rsidR="00AB4451" w:rsidRDefault="0099730B">
            <w:pPr>
              <w:jc w:val="right"/>
            </w:pPr>
            <w:r>
              <w:rPr>
                <w:color w:val="000000"/>
                <w:sz w:val="24"/>
                <w:szCs w:val="24"/>
              </w:rPr>
              <w:t>3.72</w:t>
            </w:r>
          </w:p>
        </w:tc>
      </w:tr>
      <w:tr w:rsidR="00AB4451">
        <w:trPr>
          <w:jc w:val="center"/>
        </w:trPr>
        <w:tc>
          <w:tcPr>
            <w:tcW w:w="855" w:type="dxa"/>
            <w:vAlign w:val="center"/>
          </w:tcPr>
          <w:p w:rsidR="00AB4451" w:rsidRDefault="0099730B">
            <w:pPr>
              <w:jc w:val="center"/>
            </w:pPr>
            <w:r>
              <w:rPr>
                <w:color w:val="000000"/>
                <w:sz w:val="24"/>
                <w:szCs w:val="24"/>
              </w:rPr>
              <w:t>9</w:t>
            </w:r>
          </w:p>
        </w:tc>
        <w:tc>
          <w:tcPr>
            <w:tcW w:w="1334" w:type="dxa"/>
            <w:vAlign w:val="center"/>
          </w:tcPr>
          <w:p w:rsidR="00AB4451" w:rsidRDefault="0099730B">
            <w:pPr>
              <w:jc w:val="center"/>
            </w:pPr>
            <w:r>
              <w:rPr>
                <w:color w:val="000000"/>
                <w:sz w:val="24"/>
                <w:szCs w:val="24"/>
              </w:rPr>
              <w:t>000661</w:t>
            </w:r>
          </w:p>
        </w:tc>
        <w:tc>
          <w:tcPr>
            <w:tcW w:w="1777" w:type="dxa"/>
            <w:vAlign w:val="center"/>
          </w:tcPr>
          <w:p w:rsidR="00AB4451" w:rsidRDefault="0099730B">
            <w:pPr>
              <w:jc w:val="center"/>
            </w:pPr>
            <w:r>
              <w:rPr>
                <w:color w:val="000000"/>
                <w:sz w:val="24"/>
                <w:szCs w:val="24"/>
              </w:rPr>
              <w:t>长春高新</w:t>
            </w:r>
          </w:p>
        </w:tc>
        <w:tc>
          <w:tcPr>
            <w:tcW w:w="1334" w:type="dxa"/>
            <w:vAlign w:val="center"/>
          </w:tcPr>
          <w:p w:rsidR="00AB4451" w:rsidRDefault="0099730B">
            <w:pPr>
              <w:jc w:val="right"/>
            </w:pPr>
            <w:r>
              <w:rPr>
                <w:color w:val="000000"/>
                <w:sz w:val="24"/>
                <w:szCs w:val="24"/>
              </w:rPr>
              <w:t>676,970</w:t>
            </w:r>
          </w:p>
        </w:tc>
        <w:tc>
          <w:tcPr>
            <w:tcW w:w="1924" w:type="dxa"/>
            <w:vAlign w:val="center"/>
          </w:tcPr>
          <w:p w:rsidR="00AB4451" w:rsidRDefault="0099730B">
            <w:pPr>
              <w:jc w:val="right"/>
            </w:pPr>
            <w:r>
              <w:rPr>
                <w:color w:val="000000"/>
                <w:sz w:val="24"/>
                <w:szCs w:val="24"/>
              </w:rPr>
              <w:t>87,403,596.70</w:t>
            </w:r>
          </w:p>
        </w:tc>
        <w:tc>
          <w:tcPr>
            <w:tcW w:w="1644" w:type="dxa"/>
            <w:vAlign w:val="center"/>
          </w:tcPr>
          <w:p w:rsidR="00AB4451" w:rsidRDefault="0099730B">
            <w:pPr>
              <w:jc w:val="right"/>
            </w:pPr>
            <w:r>
              <w:rPr>
                <w:color w:val="000000"/>
                <w:sz w:val="24"/>
                <w:szCs w:val="24"/>
              </w:rPr>
              <w:t>3.58</w:t>
            </w:r>
          </w:p>
        </w:tc>
      </w:tr>
      <w:tr w:rsidR="00AB4451">
        <w:trPr>
          <w:jc w:val="center"/>
        </w:trPr>
        <w:tc>
          <w:tcPr>
            <w:tcW w:w="855" w:type="dxa"/>
            <w:vAlign w:val="center"/>
          </w:tcPr>
          <w:p w:rsidR="00AB4451" w:rsidRDefault="0099730B">
            <w:pPr>
              <w:jc w:val="center"/>
            </w:pPr>
            <w:r>
              <w:rPr>
                <w:color w:val="000000"/>
                <w:sz w:val="24"/>
                <w:szCs w:val="24"/>
              </w:rPr>
              <w:t>10</w:t>
            </w:r>
          </w:p>
        </w:tc>
        <w:tc>
          <w:tcPr>
            <w:tcW w:w="1334" w:type="dxa"/>
            <w:vAlign w:val="center"/>
          </w:tcPr>
          <w:p w:rsidR="00AB4451" w:rsidRDefault="0099730B">
            <w:pPr>
              <w:jc w:val="center"/>
            </w:pPr>
            <w:r>
              <w:rPr>
                <w:color w:val="000000"/>
                <w:sz w:val="24"/>
                <w:szCs w:val="24"/>
              </w:rPr>
              <w:t>000423</w:t>
            </w:r>
          </w:p>
        </w:tc>
        <w:tc>
          <w:tcPr>
            <w:tcW w:w="1777" w:type="dxa"/>
            <w:vAlign w:val="center"/>
          </w:tcPr>
          <w:p w:rsidR="00AB4451" w:rsidRDefault="0099730B">
            <w:pPr>
              <w:jc w:val="center"/>
            </w:pPr>
            <w:r>
              <w:rPr>
                <w:color w:val="000000"/>
                <w:sz w:val="24"/>
                <w:szCs w:val="24"/>
              </w:rPr>
              <w:t>东阿阿胶</w:t>
            </w:r>
          </w:p>
        </w:tc>
        <w:tc>
          <w:tcPr>
            <w:tcW w:w="1334" w:type="dxa"/>
            <w:vAlign w:val="center"/>
          </w:tcPr>
          <w:p w:rsidR="00AB4451" w:rsidRDefault="0099730B">
            <w:pPr>
              <w:jc w:val="right"/>
            </w:pPr>
            <w:r>
              <w:rPr>
                <w:color w:val="000000"/>
                <w:sz w:val="24"/>
                <w:szCs w:val="24"/>
              </w:rPr>
              <w:t>1,150,000</w:t>
            </w:r>
          </w:p>
        </w:tc>
        <w:tc>
          <w:tcPr>
            <w:tcW w:w="1924" w:type="dxa"/>
            <w:vAlign w:val="center"/>
          </w:tcPr>
          <w:p w:rsidR="00AB4451" w:rsidRDefault="0099730B">
            <w:pPr>
              <w:jc w:val="right"/>
            </w:pPr>
            <w:r>
              <w:rPr>
                <w:color w:val="000000"/>
                <w:sz w:val="24"/>
                <w:szCs w:val="24"/>
              </w:rPr>
              <w:t>82,673,500.00</w:t>
            </w:r>
          </w:p>
        </w:tc>
        <w:tc>
          <w:tcPr>
            <w:tcW w:w="1644" w:type="dxa"/>
            <w:vAlign w:val="center"/>
          </w:tcPr>
          <w:p w:rsidR="00AB4451" w:rsidRDefault="0099730B">
            <w:pPr>
              <w:jc w:val="right"/>
            </w:pPr>
            <w:r>
              <w:rPr>
                <w:color w:val="000000"/>
                <w:sz w:val="24"/>
                <w:szCs w:val="24"/>
              </w:rPr>
              <w:t>3.39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80,040,000.00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80,040,000.00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21,014,000.00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0.86</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lastRenderedPageBreak/>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101,054,000.00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B4451">
        <w:trPr>
          <w:jc w:val="center"/>
        </w:trPr>
        <w:tc>
          <w:tcPr>
            <w:tcW w:w="850" w:type="dxa"/>
            <w:vAlign w:val="center"/>
          </w:tcPr>
          <w:p w:rsidR="00AB4451" w:rsidRDefault="0099730B">
            <w:pPr>
              <w:jc w:val="center"/>
            </w:pPr>
            <w:r>
              <w:rPr>
                <w:color w:val="000000"/>
                <w:sz w:val="24"/>
                <w:szCs w:val="24"/>
              </w:rPr>
              <w:t>1</w:t>
            </w:r>
          </w:p>
        </w:tc>
        <w:tc>
          <w:tcPr>
            <w:tcW w:w="1475" w:type="dxa"/>
            <w:vAlign w:val="center"/>
          </w:tcPr>
          <w:p w:rsidR="00AB4451" w:rsidRDefault="0099730B">
            <w:pPr>
              <w:jc w:val="center"/>
            </w:pPr>
            <w:r>
              <w:rPr>
                <w:color w:val="000000"/>
                <w:sz w:val="24"/>
                <w:szCs w:val="24"/>
              </w:rPr>
              <w:t>120233</w:t>
            </w:r>
          </w:p>
        </w:tc>
        <w:tc>
          <w:tcPr>
            <w:tcW w:w="1769" w:type="dxa"/>
            <w:vAlign w:val="center"/>
          </w:tcPr>
          <w:p w:rsidR="00AB4451" w:rsidRDefault="0099730B">
            <w:pPr>
              <w:jc w:val="center"/>
            </w:pPr>
            <w:r>
              <w:rPr>
                <w:color w:val="000000"/>
                <w:sz w:val="24"/>
                <w:szCs w:val="24"/>
              </w:rPr>
              <w:t>12</w:t>
            </w:r>
            <w:r>
              <w:rPr>
                <w:color w:val="000000"/>
                <w:sz w:val="24"/>
                <w:szCs w:val="24"/>
              </w:rPr>
              <w:t>国开</w:t>
            </w:r>
            <w:r>
              <w:rPr>
                <w:color w:val="000000"/>
                <w:sz w:val="24"/>
                <w:szCs w:val="24"/>
              </w:rPr>
              <w:t>33</w:t>
            </w:r>
          </w:p>
        </w:tc>
        <w:tc>
          <w:tcPr>
            <w:tcW w:w="1387" w:type="dxa"/>
            <w:vAlign w:val="center"/>
          </w:tcPr>
          <w:p w:rsidR="00AB4451" w:rsidRDefault="0099730B">
            <w:pPr>
              <w:jc w:val="right"/>
            </w:pPr>
            <w:r>
              <w:rPr>
                <w:color w:val="000000"/>
                <w:sz w:val="24"/>
                <w:szCs w:val="24"/>
              </w:rPr>
              <w:t>800,000</w:t>
            </w:r>
          </w:p>
        </w:tc>
        <w:tc>
          <w:tcPr>
            <w:tcW w:w="2150" w:type="dxa"/>
            <w:vAlign w:val="center"/>
          </w:tcPr>
          <w:p w:rsidR="00AB4451" w:rsidRDefault="0099730B">
            <w:pPr>
              <w:jc w:val="right"/>
            </w:pPr>
            <w:r>
              <w:rPr>
                <w:color w:val="000000"/>
                <w:sz w:val="24"/>
                <w:szCs w:val="24"/>
              </w:rPr>
              <w:t>80,040,000.00</w:t>
            </w:r>
          </w:p>
        </w:tc>
        <w:tc>
          <w:tcPr>
            <w:tcW w:w="1237" w:type="dxa"/>
            <w:vAlign w:val="center"/>
          </w:tcPr>
          <w:p w:rsidR="00AB4451" w:rsidRDefault="0099730B">
            <w:pPr>
              <w:jc w:val="right"/>
            </w:pPr>
            <w:r>
              <w:rPr>
                <w:color w:val="000000"/>
                <w:sz w:val="24"/>
                <w:szCs w:val="24"/>
              </w:rPr>
              <w:t>3.28</w:t>
            </w:r>
          </w:p>
        </w:tc>
      </w:tr>
      <w:tr w:rsidR="00AB4451">
        <w:trPr>
          <w:jc w:val="center"/>
        </w:trPr>
        <w:tc>
          <w:tcPr>
            <w:tcW w:w="850" w:type="dxa"/>
            <w:vAlign w:val="center"/>
          </w:tcPr>
          <w:p w:rsidR="00AB4451" w:rsidRDefault="0099730B">
            <w:pPr>
              <w:jc w:val="center"/>
            </w:pPr>
            <w:r>
              <w:rPr>
                <w:color w:val="000000"/>
                <w:sz w:val="24"/>
                <w:szCs w:val="24"/>
              </w:rPr>
              <w:t>2</w:t>
            </w:r>
          </w:p>
        </w:tc>
        <w:tc>
          <w:tcPr>
            <w:tcW w:w="1475" w:type="dxa"/>
            <w:vAlign w:val="center"/>
          </w:tcPr>
          <w:p w:rsidR="00AB4451" w:rsidRDefault="0099730B">
            <w:pPr>
              <w:jc w:val="center"/>
            </w:pPr>
            <w:r>
              <w:rPr>
                <w:color w:val="000000"/>
                <w:sz w:val="24"/>
                <w:szCs w:val="24"/>
              </w:rPr>
              <w:t>113011</w:t>
            </w:r>
          </w:p>
        </w:tc>
        <w:tc>
          <w:tcPr>
            <w:tcW w:w="1769" w:type="dxa"/>
            <w:vAlign w:val="center"/>
          </w:tcPr>
          <w:p w:rsidR="00AB4451" w:rsidRDefault="0099730B">
            <w:pPr>
              <w:jc w:val="center"/>
            </w:pPr>
            <w:r>
              <w:rPr>
                <w:color w:val="000000"/>
                <w:sz w:val="24"/>
                <w:szCs w:val="24"/>
              </w:rPr>
              <w:t>光大转债</w:t>
            </w:r>
          </w:p>
        </w:tc>
        <w:tc>
          <w:tcPr>
            <w:tcW w:w="1387" w:type="dxa"/>
            <w:vAlign w:val="center"/>
          </w:tcPr>
          <w:p w:rsidR="00AB4451" w:rsidRDefault="0099730B">
            <w:pPr>
              <w:jc w:val="right"/>
            </w:pPr>
            <w:r>
              <w:rPr>
                <w:color w:val="000000"/>
                <w:sz w:val="24"/>
                <w:szCs w:val="24"/>
              </w:rPr>
              <w:t>200,000</w:t>
            </w:r>
          </w:p>
        </w:tc>
        <w:tc>
          <w:tcPr>
            <w:tcW w:w="2150" w:type="dxa"/>
            <w:vAlign w:val="center"/>
          </w:tcPr>
          <w:p w:rsidR="00AB4451" w:rsidRDefault="0099730B">
            <w:pPr>
              <w:jc w:val="right"/>
            </w:pPr>
            <w:r>
              <w:rPr>
                <w:color w:val="000000"/>
                <w:sz w:val="24"/>
                <w:szCs w:val="24"/>
              </w:rPr>
              <w:t>21,014,000.00</w:t>
            </w:r>
          </w:p>
        </w:tc>
        <w:tc>
          <w:tcPr>
            <w:tcW w:w="1237" w:type="dxa"/>
            <w:vAlign w:val="center"/>
          </w:tcPr>
          <w:p w:rsidR="00AB4451" w:rsidRDefault="0099730B">
            <w:pPr>
              <w:jc w:val="right"/>
            </w:pPr>
            <w:r>
              <w:rPr>
                <w:color w:val="000000"/>
                <w:sz w:val="24"/>
                <w:szCs w:val="24"/>
              </w:rPr>
              <w:t>0.86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r w:rsidRPr="00414345">
        <w:rPr>
          <w:color w:val="000000"/>
          <w:sz w:val="24"/>
          <w:szCs w:val="24"/>
        </w:rPr>
        <w:t xml:space="preserve"> </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1,370,871.39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9,104,658.49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862,119.97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395,903.02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11,733,882.87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5,353,186,033.54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57,992,424.79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1,213,111,347.85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4,198,067,110.48</w:t>
            </w:r>
          </w:p>
        </w:tc>
      </w:tr>
    </w:tbl>
    <w:p w:rsidR="00AB4451" w:rsidRDefault="0099730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r w:rsidRPr="00414345">
        <w:rPr>
          <w:color w:val="000000"/>
          <w:sz w:val="24"/>
          <w:szCs w:val="24"/>
        </w:rPr>
        <w:t xml:space="preserve"> </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lastRenderedPageBreak/>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3A30E3" w:rsidTr="00424D30">
        <w:tc>
          <w:tcPr>
            <w:tcW w:w="993" w:type="dxa"/>
            <w:vMerge w:val="restart"/>
            <w:vAlign w:val="center"/>
          </w:tcPr>
          <w:p w:rsidR="003C50AD" w:rsidRPr="00673E87" w:rsidRDefault="003C50AD" w:rsidP="00424D30">
            <w:pPr>
              <w:autoSpaceDE w:val="0"/>
              <w:autoSpaceDN w:val="0"/>
              <w:adjustRightInd w:val="0"/>
              <w:jc w:val="center"/>
              <w:rPr>
                <w:rFonts w:ascii="宋体" w:hAnsi="宋体"/>
                <w:b/>
                <w:bCs/>
                <w:color w:val="000000"/>
                <w:kern w:val="0"/>
                <w:sz w:val="24"/>
                <w:szCs w:val="24"/>
              </w:rPr>
            </w:pPr>
            <w:r w:rsidRPr="00673E87">
              <w:rPr>
                <w:rFonts w:ascii="宋体" w:hAnsi="宋体" w:hint="eastAsia"/>
                <w:color w:val="000000"/>
                <w:kern w:val="0"/>
                <w:sz w:val="24"/>
                <w:szCs w:val="24"/>
              </w:rPr>
              <w:t>投资者类别</w:t>
            </w:r>
            <w:r w:rsidRPr="00673E87">
              <w:rPr>
                <w:rFonts w:ascii="宋体" w:hAnsi="宋体"/>
                <w:color w:val="000000"/>
                <w:kern w:val="0"/>
                <w:sz w:val="24"/>
                <w:szCs w:val="24"/>
              </w:rPr>
              <w:t xml:space="preserve">  </w:t>
            </w:r>
          </w:p>
        </w:tc>
        <w:tc>
          <w:tcPr>
            <w:tcW w:w="5670" w:type="dxa"/>
            <w:gridSpan w:val="5"/>
            <w:vAlign w:val="center"/>
          </w:tcPr>
          <w:p w:rsidR="003C50AD" w:rsidRPr="00673E87" w:rsidRDefault="003C50AD" w:rsidP="00424D30">
            <w:pPr>
              <w:autoSpaceDE w:val="0"/>
              <w:autoSpaceDN w:val="0"/>
              <w:adjustRightInd w:val="0"/>
              <w:jc w:val="center"/>
              <w:rPr>
                <w:rFonts w:ascii="宋体" w:hAnsi="宋体"/>
                <w:b/>
                <w:bCs/>
                <w:color w:val="000000"/>
                <w:kern w:val="0"/>
                <w:sz w:val="24"/>
                <w:szCs w:val="24"/>
              </w:rPr>
            </w:pPr>
            <w:r w:rsidRPr="00673E87">
              <w:rPr>
                <w:rFonts w:ascii="宋体" w:hAnsi="宋体" w:hint="eastAsia"/>
                <w:color w:val="000000"/>
                <w:kern w:val="0"/>
                <w:sz w:val="24"/>
                <w:szCs w:val="24"/>
              </w:rPr>
              <w:t>报告期内持有基金份额变化情况</w:t>
            </w:r>
          </w:p>
        </w:tc>
        <w:tc>
          <w:tcPr>
            <w:tcW w:w="2549" w:type="dxa"/>
            <w:gridSpan w:val="2"/>
            <w:vAlign w:val="center"/>
          </w:tcPr>
          <w:p w:rsidR="003C50AD" w:rsidRPr="00673E87" w:rsidRDefault="003C50AD" w:rsidP="00424D30">
            <w:pPr>
              <w:autoSpaceDE w:val="0"/>
              <w:autoSpaceDN w:val="0"/>
              <w:adjustRightInd w:val="0"/>
              <w:jc w:val="center"/>
              <w:rPr>
                <w:rFonts w:ascii="宋体" w:hAnsi="宋体"/>
                <w:b/>
                <w:bCs/>
                <w:color w:val="000000"/>
                <w:kern w:val="0"/>
                <w:sz w:val="24"/>
                <w:szCs w:val="24"/>
              </w:rPr>
            </w:pPr>
            <w:r w:rsidRPr="00673E87">
              <w:rPr>
                <w:rFonts w:ascii="宋体" w:hAnsi="宋体" w:hint="eastAsia"/>
                <w:color w:val="000000"/>
                <w:kern w:val="0"/>
                <w:sz w:val="24"/>
                <w:szCs w:val="24"/>
              </w:rPr>
              <w:t>报告期末持有基金情况</w:t>
            </w:r>
          </w:p>
        </w:tc>
      </w:tr>
      <w:tr w:rsidR="003C50AD" w:rsidRPr="003A30E3" w:rsidTr="00424D30">
        <w:tc>
          <w:tcPr>
            <w:tcW w:w="993" w:type="dxa"/>
            <w:vMerge/>
            <w:vAlign w:val="center"/>
          </w:tcPr>
          <w:p w:rsidR="003C50AD" w:rsidRPr="00673E87" w:rsidRDefault="003C50AD" w:rsidP="00424D30">
            <w:pPr>
              <w:autoSpaceDE w:val="0"/>
              <w:autoSpaceDN w:val="0"/>
              <w:adjustRightInd w:val="0"/>
              <w:jc w:val="center"/>
              <w:rPr>
                <w:rFonts w:ascii="宋体" w:hAnsi="宋体"/>
                <w:b/>
                <w:bCs/>
                <w:color w:val="000000"/>
                <w:kern w:val="0"/>
                <w:sz w:val="24"/>
                <w:szCs w:val="24"/>
              </w:rPr>
            </w:pPr>
          </w:p>
        </w:tc>
        <w:tc>
          <w:tcPr>
            <w:tcW w:w="992" w:type="dxa"/>
            <w:vAlign w:val="center"/>
          </w:tcPr>
          <w:p w:rsidR="003C50AD" w:rsidRPr="00673E87" w:rsidRDefault="003C50AD" w:rsidP="00424D30">
            <w:pPr>
              <w:autoSpaceDE w:val="0"/>
              <w:autoSpaceDN w:val="0"/>
              <w:adjustRightInd w:val="0"/>
              <w:jc w:val="center"/>
              <w:rPr>
                <w:rFonts w:ascii="宋体" w:hAnsi="宋体"/>
                <w:b/>
                <w:bCs/>
                <w:color w:val="000000"/>
                <w:kern w:val="0"/>
                <w:sz w:val="24"/>
                <w:szCs w:val="24"/>
              </w:rPr>
            </w:pPr>
            <w:r w:rsidRPr="00673E87">
              <w:rPr>
                <w:rFonts w:ascii="宋体" w:hAnsi="宋体" w:hint="eastAsia"/>
                <w:color w:val="000000"/>
                <w:kern w:val="0"/>
                <w:sz w:val="24"/>
                <w:szCs w:val="24"/>
              </w:rPr>
              <w:t>序号</w:t>
            </w:r>
          </w:p>
        </w:tc>
        <w:tc>
          <w:tcPr>
            <w:tcW w:w="1843" w:type="dxa"/>
            <w:vAlign w:val="center"/>
          </w:tcPr>
          <w:p w:rsidR="003C50AD" w:rsidRPr="00673E87" w:rsidRDefault="003C50AD" w:rsidP="00424D30">
            <w:pPr>
              <w:autoSpaceDE w:val="0"/>
              <w:autoSpaceDN w:val="0"/>
              <w:adjustRightInd w:val="0"/>
              <w:jc w:val="center"/>
              <w:rPr>
                <w:rFonts w:ascii="宋体" w:hAnsi="宋体"/>
                <w:b/>
                <w:bCs/>
                <w:color w:val="000000"/>
                <w:kern w:val="0"/>
                <w:sz w:val="24"/>
                <w:szCs w:val="24"/>
              </w:rPr>
            </w:pPr>
            <w:r w:rsidRPr="00673E87">
              <w:rPr>
                <w:rFonts w:ascii="宋体" w:hAnsi="宋体" w:hint="eastAsia"/>
                <w:color w:val="000000"/>
                <w:kern w:val="0"/>
                <w:sz w:val="24"/>
                <w:szCs w:val="24"/>
              </w:rPr>
              <w:t>持有基金份额比例达到或者超过</w:t>
            </w:r>
            <w:r w:rsidRPr="00673E87">
              <w:rPr>
                <w:rFonts w:ascii="宋体" w:hAnsi="宋体"/>
                <w:color w:val="000000"/>
                <w:kern w:val="0"/>
                <w:sz w:val="24"/>
                <w:szCs w:val="24"/>
              </w:rPr>
              <w:t>20%的时间区间</w:t>
            </w:r>
          </w:p>
        </w:tc>
        <w:tc>
          <w:tcPr>
            <w:tcW w:w="851" w:type="dxa"/>
            <w:vAlign w:val="center"/>
          </w:tcPr>
          <w:p w:rsidR="003C50AD" w:rsidRPr="00673E87" w:rsidRDefault="003C50AD" w:rsidP="00424D30">
            <w:pPr>
              <w:widowControl/>
              <w:jc w:val="center"/>
              <w:rPr>
                <w:rFonts w:ascii="宋体" w:hAnsi="宋体"/>
                <w:b/>
                <w:bCs/>
                <w:color w:val="000000"/>
                <w:kern w:val="0"/>
                <w:sz w:val="24"/>
                <w:szCs w:val="24"/>
              </w:rPr>
            </w:pPr>
            <w:r w:rsidRPr="00673E87">
              <w:rPr>
                <w:rFonts w:ascii="宋体" w:hAnsi="宋体" w:hint="eastAsia"/>
                <w:color w:val="000000"/>
                <w:kern w:val="0"/>
                <w:sz w:val="24"/>
                <w:szCs w:val="24"/>
              </w:rPr>
              <w:t>期初份额</w:t>
            </w:r>
          </w:p>
        </w:tc>
        <w:tc>
          <w:tcPr>
            <w:tcW w:w="850" w:type="dxa"/>
            <w:vAlign w:val="center"/>
          </w:tcPr>
          <w:p w:rsidR="003C50AD" w:rsidRPr="00673E87" w:rsidRDefault="003C50AD" w:rsidP="00424D30">
            <w:pPr>
              <w:widowControl/>
              <w:jc w:val="center"/>
              <w:rPr>
                <w:rFonts w:ascii="宋体" w:hAnsi="宋体"/>
                <w:b/>
                <w:bCs/>
                <w:color w:val="000000"/>
                <w:kern w:val="0"/>
                <w:sz w:val="24"/>
                <w:szCs w:val="24"/>
              </w:rPr>
            </w:pPr>
            <w:r w:rsidRPr="00673E87">
              <w:rPr>
                <w:rFonts w:ascii="宋体" w:hAnsi="宋体" w:hint="eastAsia"/>
                <w:color w:val="000000"/>
                <w:kern w:val="0"/>
                <w:sz w:val="24"/>
                <w:szCs w:val="24"/>
              </w:rPr>
              <w:t>申购份额</w:t>
            </w:r>
          </w:p>
        </w:tc>
        <w:tc>
          <w:tcPr>
            <w:tcW w:w="1134" w:type="dxa"/>
            <w:vAlign w:val="center"/>
          </w:tcPr>
          <w:p w:rsidR="003C50AD" w:rsidRPr="00673E87" w:rsidRDefault="003C50AD" w:rsidP="00424D30">
            <w:pPr>
              <w:widowControl/>
              <w:jc w:val="center"/>
              <w:rPr>
                <w:rFonts w:ascii="宋体" w:hAnsi="宋体"/>
                <w:b/>
                <w:bCs/>
                <w:color w:val="000000"/>
                <w:kern w:val="0"/>
                <w:sz w:val="24"/>
                <w:szCs w:val="24"/>
              </w:rPr>
            </w:pPr>
            <w:r w:rsidRPr="00673E87">
              <w:rPr>
                <w:rFonts w:ascii="宋体" w:hAnsi="宋体" w:hint="eastAsia"/>
                <w:color w:val="000000"/>
                <w:kern w:val="0"/>
                <w:sz w:val="24"/>
                <w:szCs w:val="24"/>
              </w:rPr>
              <w:t>赎回份额</w:t>
            </w:r>
          </w:p>
        </w:tc>
        <w:tc>
          <w:tcPr>
            <w:tcW w:w="1419" w:type="dxa"/>
            <w:vAlign w:val="center"/>
          </w:tcPr>
          <w:p w:rsidR="003C50AD" w:rsidRPr="00673E87" w:rsidRDefault="003C50AD" w:rsidP="00424D30">
            <w:pPr>
              <w:autoSpaceDE w:val="0"/>
              <w:autoSpaceDN w:val="0"/>
              <w:adjustRightInd w:val="0"/>
              <w:jc w:val="center"/>
              <w:rPr>
                <w:rFonts w:ascii="宋体" w:hAnsi="宋体"/>
                <w:b/>
                <w:bCs/>
                <w:color w:val="000000"/>
                <w:kern w:val="0"/>
                <w:sz w:val="24"/>
                <w:szCs w:val="24"/>
              </w:rPr>
            </w:pPr>
            <w:r w:rsidRPr="00673E87">
              <w:rPr>
                <w:rFonts w:ascii="宋体" w:hAnsi="宋体" w:hint="eastAsia"/>
                <w:color w:val="000000"/>
                <w:kern w:val="0"/>
                <w:sz w:val="24"/>
                <w:szCs w:val="24"/>
              </w:rPr>
              <w:t>持有份额</w:t>
            </w:r>
          </w:p>
        </w:tc>
        <w:tc>
          <w:tcPr>
            <w:tcW w:w="1130" w:type="dxa"/>
            <w:vAlign w:val="center"/>
          </w:tcPr>
          <w:p w:rsidR="003C50AD" w:rsidRPr="00673E87" w:rsidRDefault="003C50AD" w:rsidP="00424D30">
            <w:pPr>
              <w:autoSpaceDE w:val="0"/>
              <w:autoSpaceDN w:val="0"/>
              <w:adjustRightInd w:val="0"/>
              <w:jc w:val="center"/>
              <w:rPr>
                <w:rFonts w:ascii="宋体" w:hAnsi="宋体"/>
                <w:b/>
                <w:bCs/>
                <w:color w:val="000000"/>
                <w:kern w:val="0"/>
                <w:sz w:val="24"/>
                <w:szCs w:val="24"/>
              </w:rPr>
            </w:pPr>
            <w:r w:rsidRPr="00673E87">
              <w:rPr>
                <w:rFonts w:ascii="宋体" w:hAnsi="宋体" w:hint="eastAsia"/>
                <w:color w:val="000000"/>
                <w:kern w:val="0"/>
                <w:sz w:val="24"/>
                <w:szCs w:val="24"/>
              </w:rPr>
              <w:t>份额占比</w:t>
            </w:r>
          </w:p>
        </w:tc>
      </w:tr>
      <w:tr w:rsidR="00AB4451" w:rsidRPr="003A30E3">
        <w:tc>
          <w:tcPr>
            <w:tcW w:w="993" w:type="dxa"/>
          </w:tcPr>
          <w:p w:rsidR="00AB4451" w:rsidRPr="00673E87" w:rsidRDefault="00AB4451">
            <w:pPr>
              <w:rPr>
                <w:sz w:val="24"/>
                <w:szCs w:val="24"/>
              </w:rPr>
            </w:pPr>
          </w:p>
          <w:p w:rsidR="00AB4451" w:rsidRPr="00673E87" w:rsidRDefault="0099730B">
            <w:pPr>
              <w:rPr>
                <w:sz w:val="24"/>
                <w:szCs w:val="24"/>
              </w:rPr>
            </w:pPr>
            <w:r w:rsidRPr="00673E87">
              <w:rPr>
                <w:rFonts w:ascii="宋体" w:hAnsi="宋体" w:hint="eastAsia"/>
                <w:bCs/>
                <w:color w:val="000000"/>
                <w:kern w:val="0"/>
                <w:sz w:val="24"/>
                <w:szCs w:val="24"/>
              </w:rPr>
              <w:t>机构</w:t>
            </w:r>
          </w:p>
        </w:tc>
        <w:tc>
          <w:tcPr>
            <w:tcW w:w="992" w:type="dxa"/>
            <w:vAlign w:val="center"/>
          </w:tcPr>
          <w:p w:rsidR="00AB4451" w:rsidRPr="00673E87" w:rsidRDefault="0099730B">
            <w:pPr>
              <w:jc w:val="center"/>
              <w:rPr>
                <w:sz w:val="24"/>
                <w:szCs w:val="24"/>
              </w:rPr>
            </w:pPr>
            <w:r w:rsidRPr="00673E87">
              <w:rPr>
                <w:rFonts w:ascii="宋体" w:hAnsi="宋体"/>
                <w:color w:val="000000"/>
                <w:kern w:val="0"/>
                <w:sz w:val="24"/>
                <w:szCs w:val="24"/>
              </w:rPr>
              <w:t>1</w:t>
            </w:r>
          </w:p>
        </w:tc>
        <w:tc>
          <w:tcPr>
            <w:tcW w:w="1843" w:type="dxa"/>
            <w:vAlign w:val="center"/>
          </w:tcPr>
          <w:p w:rsidR="00AB4451" w:rsidRPr="00673E87" w:rsidRDefault="0099730B">
            <w:pPr>
              <w:jc w:val="center"/>
              <w:rPr>
                <w:sz w:val="24"/>
                <w:szCs w:val="24"/>
              </w:rPr>
            </w:pPr>
            <w:r w:rsidRPr="00673E87">
              <w:rPr>
                <w:rFonts w:ascii="宋体" w:hAnsi="宋体"/>
                <w:color w:val="000000"/>
                <w:kern w:val="0"/>
                <w:sz w:val="24"/>
                <w:szCs w:val="24"/>
              </w:rPr>
              <w:t>2017/4/1-2017/6/30</w:t>
            </w:r>
          </w:p>
        </w:tc>
        <w:tc>
          <w:tcPr>
            <w:tcW w:w="851" w:type="dxa"/>
            <w:vAlign w:val="center"/>
          </w:tcPr>
          <w:p w:rsidR="00AB4451" w:rsidRPr="00673E87" w:rsidRDefault="0099730B">
            <w:pPr>
              <w:jc w:val="center"/>
              <w:rPr>
                <w:sz w:val="24"/>
                <w:szCs w:val="24"/>
              </w:rPr>
            </w:pPr>
            <w:r w:rsidRPr="00673E87">
              <w:rPr>
                <w:rFonts w:ascii="宋体" w:hAnsi="宋体"/>
                <w:color w:val="000000"/>
                <w:kern w:val="0"/>
                <w:sz w:val="24"/>
                <w:szCs w:val="24"/>
              </w:rPr>
              <w:t>1,194,655,265.74</w:t>
            </w:r>
          </w:p>
        </w:tc>
        <w:tc>
          <w:tcPr>
            <w:tcW w:w="850" w:type="dxa"/>
            <w:vAlign w:val="center"/>
          </w:tcPr>
          <w:p w:rsidR="00AB4451" w:rsidRPr="00673E87" w:rsidRDefault="0099730B">
            <w:pPr>
              <w:jc w:val="center"/>
              <w:rPr>
                <w:sz w:val="24"/>
                <w:szCs w:val="24"/>
              </w:rPr>
            </w:pPr>
            <w:r w:rsidRPr="00673E87">
              <w:rPr>
                <w:rFonts w:ascii="宋体" w:hAnsi="宋体"/>
                <w:color w:val="000000"/>
                <w:kern w:val="0"/>
                <w:sz w:val="24"/>
                <w:szCs w:val="24"/>
              </w:rPr>
              <w:t>-</w:t>
            </w:r>
          </w:p>
        </w:tc>
        <w:tc>
          <w:tcPr>
            <w:tcW w:w="1134" w:type="dxa"/>
            <w:vAlign w:val="center"/>
          </w:tcPr>
          <w:p w:rsidR="00AB4451" w:rsidRPr="00673E87" w:rsidRDefault="0099730B">
            <w:pPr>
              <w:jc w:val="center"/>
              <w:rPr>
                <w:sz w:val="24"/>
                <w:szCs w:val="24"/>
              </w:rPr>
            </w:pPr>
            <w:r w:rsidRPr="00673E87">
              <w:rPr>
                <w:rFonts w:ascii="宋体" w:hAnsi="宋体"/>
                <w:color w:val="000000"/>
                <w:kern w:val="0"/>
                <w:sz w:val="24"/>
                <w:szCs w:val="24"/>
              </w:rPr>
              <w:t>1,081,469,613.70</w:t>
            </w:r>
          </w:p>
        </w:tc>
        <w:tc>
          <w:tcPr>
            <w:tcW w:w="1419" w:type="dxa"/>
            <w:vAlign w:val="center"/>
          </w:tcPr>
          <w:p w:rsidR="00AB4451" w:rsidRPr="00673E87" w:rsidRDefault="0099730B">
            <w:pPr>
              <w:jc w:val="center"/>
              <w:rPr>
                <w:sz w:val="24"/>
                <w:szCs w:val="24"/>
              </w:rPr>
            </w:pPr>
            <w:r w:rsidRPr="00673E87">
              <w:rPr>
                <w:rFonts w:ascii="宋体" w:hAnsi="宋体"/>
                <w:color w:val="000000"/>
                <w:kern w:val="0"/>
                <w:sz w:val="24"/>
                <w:szCs w:val="24"/>
              </w:rPr>
              <w:t>113,185,652.04</w:t>
            </w:r>
          </w:p>
        </w:tc>
        <w:tc>
          <w:tcPr>
            <w:tcW w:w="1130" w:type="dxa"/>
            <w:vAlign w:val="center"/>
          </w:tcPr>
          <w:p w:rsidR="00AB4451" w:rsidRPr="00673E87" w:rsidRDefault="0099730B">
            <w:pPr>
              <w:jc w:val="center"/>
              <w:rPr>
                <w:sz w:val="24"/>
                <w:szCs w:val="24"/>
              </w:rPr>
            </w:pPr>
            <w:r w:rsidRPr="00673E87">
              <w:rPr>
                <w:rFonts w:ascii="宋体" w:hAnsi="宋体"/>
                <w:color w:val="000000"/>
                <w:kern w:val="0"/>
                <w:sz w:val="24"/>
                <w:szCs w:val="24"/>
              </w:rPr>
              <w:t>2.70%</w:t>
            </w:r>
          </w:p>
        </w:tc>
      </w:tr>
    </w:tbl>
    <w:p w:rsidR="003C50AD" w:rsidRPr="00673E87" w:rsidRDefault="003C50AD" w:rsidP="003C50AD">
      <w:pPr>
        <w:autoSpaceDE w:val="0"/>
        <w:autoSpaceDN w:val="0"/>
        <w:adjustRightInd w:val="0"/>
        <w:spacing w:line="360" w:lineRule="auto"/>
        <w:jc w:val="left"/>
        <w:rPr>
          <w:rFonts w:ascii="宋体" w:hAnsi="宋体"/>
          <w:bCs/>
          <w:color w:val="000000"/>
          <w:kern w:val="0"/>
          <w:sz w:val="24"/>
          <w:szCs w:val="24"/>
        </w:rPr>
      </w:pPr>
      <w:r w:rsidRPr="00673E87">
        <w:rPr>
          <w:rFonts w:ascii="宋体" w:hAnsi="宋体" w:hint="eastAsia"/>
          <w:bCs/>
          <w:color w:val="000000"/>
          <w:kern w:val="0"/>
          <w:sz w:val="24"/>
          <w:szCs w:val="24"/>
        </w:rPr>
        <w:t>注：本基金本报告期内出现单一投资者持有基金份额比例超过基金总份额</w:t>
      </w:r>
      <w:r w:rsidRPr="00673E87">
        <w:rPr>
          <w:rFonts w:ascii="宋体" w:hAnsi="宋体"/>
          <w:bCs/>
          <w:color w:val="000000"/>
          <w:kern w:val="0"/>
          <w:sz w:val="24"/>
          <w:szCs w:val="24"/>
        </w:rPr>
        <w:t>20%的情况。如该类投资者集中赎回，可能会对本基金带来流动性冲击，从而影响基金的投资运作和收益水平。基金管理人将加强流动性管理，防范相关风险，保护持有人利益。</w:t>
      </w:r>
    </w:p>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AB4451" w:rsidRDefault="0099730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、中国证监会批准交银施罗德精选股票证券投资基金募集的文件；</w:t>
      </w:r>
      <w:r>
        <w:rPr>
          <w:color w:val="000000"/>
          <w:sz w:val="24"/>
          <w:szCs w:val="24"/>
        </w:rPr>
        <w:t xml:space="preserve"> </w:t>
      </w:r>
    </w:p>
    <w:p w:rsidR="00AB4451" w:rsidRDefault="0099730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、《交银施罗德精选混合型证券投资基金基金合同》；</w:t>
      </w:r>
      <w:r>
        <w:rPr>
          <w:color w:val="000000"/>
          <w:sz w:val="24"/>
          <w:szCs w:val="24"/>
        </w:rPr>
        <w:t xml:space="preserve"> </w:t>
      </w:r>
    </w:p>
    <w:p w:rsidR="00AB4451" w:rsidRDefault="0099730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、《交银施罗德精选混合型证券投资基金招募说明书》；</w:t>
      </w:r>
      <w:r>
        <w:rPr>
          <w:color w:val="000000"/>
          <w:sz w:val="24"/>
          <w:szCs w:val="24"/>
        </w:rPr>
        <w:t xml:space="preserve"> </w:t>
      </w:r>
    </w:p>
    <w:p w:rsidR="00AB4451" w:rsidRDefault="0099730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、《交银施罗德精选混合型证券投资基金托管协议》；</w:t>
      </w:r>
      <w:r>
        <w:rPr>
          <w:color w:val="000000"/>
          <w:sz w:val="24"/>
          <w:szCs w:val="24"/>
        </w:rPr>
        <w:t xml:space="preserve"> </w:t>
      </w:r>
    </w:p>
    <w:p w:rsidR="00AB4451" w:rsidRDefault="0099730B">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、关于募集交银施罗德精选股票证券投资基金之法律意见书；</w:t>
      </w:r>
      <w:r>
        <w:rPr>
          <w:color w:val="000000"/>
          <w:sz w:val="24"/>
          <w:szCs w:val="24"/>
        </w:rPr>
        <w:t xml:space="preserve"> </w:t>
      </w:r>
    </w:p>
    <w:p w:rsidR="00AB4451" w:rsidRDefault="0099730B">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AB4451" w:rsidRDefault="0099730B">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、报告期内交银施罗德精选混合型证券投资基金在指定报刊上各项公告的原稿。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AB4451" w:rsidRDefault="0099730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EBE" w:rsidRDefault="00C96EBE" w:rsidP="00876D65">
      <w:r>
        <w:separator/>
      </w:r>
    </w:p>
  </w:endnote>
  <w:endnote w:type="continuationSeparator" w:id="0">
    <w:p w:rsidR="00C96EBE" w:rsidRDefault="00C96EBE"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673E87">
      <w:rPr>
        <w:noProof/>
        <w:kern w:val="0"/>
        <w:szCs w:val="21"/>
      </w:rPr>
      <w:t>1</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673E87">
      <w:rPr>
        <w:noProof/>
        <w:kern w:val="0"/>
        <w:szCs w:val="21"/>
      </w:rPr>
      <w:t>12</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EBE" w:rsidRDefault="00C96EBE" w:rsidP="00876D65">
      <w:r>
        <w:separator/>
      </w:r>
    </w:p>
  </w:footnote>
  <w:footnote w:type="continuationSeparator" w:id="0">
    <w:p w:rsidR="00C96EBE" w:rsidRDefault="00C96EBE"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0263"/>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30E3"/>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3E87"/>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9730B"/>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451"/>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96EBE"/>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37A3A"/>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3CD4BF-6A51-415F-A349-8628401F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B7781-CC7F-47EA-BF52-329B8221A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1792</TotalTime>
  <Pages>1</Pages>
  <Words>1085</Words>
  <Characters>6189</Characters>
  <Application>Microsoft Office Word</Application>
  <DocSecurity>0</DocSecurity>
  <Lines>51</Lines>
  <Paragraphs>14</Paragraphs>
  <ScaleCrop>false</ScaleCrop>
  <Company/>
  <LinksUpToDate>false</LinksUpToDate>
  <CharactersWithSpaces>7260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荣华</cp:lastModifiedBy>
  <cp:revision>571</cp:revision>
  <dcterms:created xsi:type="dcterms:W3CDTF">2012-10-16T06:07:00Z</dcterms:created>
  <dcterms:modified xsi:type="dcterms:W3CDTF">2017-07-18T07:15:00Z</dcterms:modified>
</cp:coreProperties>
</file>