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二〇一七年七月二十日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471DDC" w:rsidRDefault="00B6574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31,806,651.57</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67EA3" w:rsidRPr="008640AE" w:rsidTr="00867EA3">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867EA3" w:rsidRPr="008640AE" w:rsidTr="00867EA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817,076.33</w:t>
            </w:r>
          </w:p>
        </w:tc>
      </w:tr>
      <w:tr w:rsidR="00867EA3" w:rsidRPr="008640AE" w:rsidTr="00867EA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705,390.26</w:t>
            </w:r>
          </w:p>
        </w:tc>
      </w:tr>
      <w:tr w:rsidR="00867EA3" w:rsidRPr="008640AE" w:rsidTr="00867EA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0.0184</w:t>
            </w:r>
          </w:p>
        </w:tc>
      </w:tr>
      <w:tr w:rsidR="00867EA3" w:rsidRPr="008640AE" w:rsidTr="00867EA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44,062,130.15</w:t>
            </w:r>
          </w:p>
        </w:tc>
      </w:tr>
      <w:tr w:rsidR="00867EA3" w:rsidRPr="008640AE" w:rsidTr="00867EA3">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1.385</w:t>
            </w:r>
          </w:p>
        </w:tc>
      </w:tr>
    </w:tbl>
    <w:p w:rsidR="00471DDC" w:rsidRDefault="00B6574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471DDC">
        <w:trPr>
          <w:jc w:val="center"/>
        </w:trPr>
        <w:tc>
          <w:tcPr>
            <w:tcW w:w="1701" w:type="dxa"/>
            <w:vAlign w:val="center"/>
          </w:tcPr>
          <w:p w:rsidR="00471DDC" w:rsidRDefault="00B6574A">
            <w:pPr>
              <w:jc w:val="left"/>
            </w:pPr>
            <w:r>
              <w:rPr>
                <w:color w:val="000000"/>
                <w:sz w:val="24"/>
              </w:rPr>
              <w:t>过去三个月</w:t>
            </w:r>
          </w:p>
        </w:tc>
        <w:tc>
          <w:tcPr>
            <w:tcW w:w="1194" w:type="dxa"/>
            <w:vAlign w:val="center"/>
          </w:tcPr>
          <w:p w:rsidR="00471DDC" w:rsidRDefault="00B6574A">
            <w:pPr>
              <w:jc w:val="right"/>
            </w:pPr>
            <w:r>
              <w:rPr>
                <w:color w:val="000000"/>
                <w:sz w:val="24"/>
              </w:rPr>
              <w:t>1.76%</w:t>
            </w:r>
          </w:p>
        </w:tc>
        <w:tc>
          <w:tcPr>
            <w:tcW w:w="1194" w:type="dxa"/>
            <w:vAlign w:val="center"/>
          </w:tcPr>
          <w:p w:rsidR="00471DDC" w:rsidRDefault="00B6574A">
            <w:pPr>
              <w:jc w:val="right"/>
            </w:pPr>
            <w:r>
              <w:rPr>
                <w:color w:val="000000"/>
                <w:sz w:val="24"/>
              </w:rPr>
              <w:t>0.65%</w:t>
            </w:r>
          </w:p>
        </w:tc>
        <w:tc>
          <w:tcPr>
            <w:tcW w:w="1194" w:type="dxa"/>
            <w:vAlign w:val="center"/>
          </w:tcPr>
          <w:p w:rsidR="00471DDC" w:rsidRDefault="00B6574A">
            <w:pPr>
              <w:jc w:val="right"/>
            </w:pPr>
            <w:r>
              <w:rPr>
                <w:color w:val="000000"/>
                <w:sz w:val="24"/>
              </w:rPr>
              <w:t>-0.68%</w:t>
            </w:r>
          </w:p>
        </w:tc>
        <w:tc>
          <w:tcPr>
            <w:tcW w:w="1343" w:type="dxa"/>
            <w:vAlign w:val="center"/>
          </w:tcPr>
          <w:p w:rsidR="00471DDC" w:rsidRDefault="00B6574A">
            <w:pPr>
              <w:jc w:val="right"/>
            </w:pPr>
            <w:r>
              <w:rPr>
                <w:color w:val="000000"/>
                <w:sz w:val="24"/>
              </w:rPr>
              <w:t>0.65%</w:t>
            </w:r>
          </w:p>
        </w:tc>
        <w:tc>
          <w:tcPr>
            <w:tcW w:w="1194" w:type="dxa"/>
            <w:vAlign w:val="center"/>
          </w:tcPr>
          <w:p w:rsidR="00471DDC" w:rsidRDefault="00B6574A">
            <w:pPr>
              <w:jc w:val="right"/>
            </w:pPr>
            <w:r>
              <w:rPr>
                <w:color w:val="000000"/>
                <w:sz w:val="24"/>
              </w:rPr>
              <w:t>2.44%</w:t>
            </w:r>
          </w:p>
        </w:tc>
        <w:tc>
          <w:tcPr>
            <w:tcW w:w="1048" w:type="dxa"/>
            <w:vAlign w:val="center"/>
          </w:tcPr>
          <w:p w:rsidR="00471DDC" w:rsidRDefault="00B6574A">
            <w:pPr>
              <w:jc w:val="right"/>
            </w:pPr>
            <w:r>
              <w:rPr>
                <w:color w:val="000000"/>
                <w:sz w:val="24"/>
              </w:rPr>
              <w:t>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471DDC">
        <w:trPr>
          <w:jc w:val="center"/>
        </w:trPr>
        <w:tc>
          <w:tcPr>
            <w:tcW w:w="846" w:type="dxa"/>
            <w:vAlign w:val="center"/>
          </w:tcPr>
          <w:p w:rsidR="00471DDC" w:rsidRDefault="00B6574A">
            <w:pPr>
              <w:jc w:val="center"/>
            </w:pPr>
            <w:r>
              <w:rPr>
                <w:color w:val="000000"/>
                <w:sz w:val="24"/>
              </w:rPr>
              <w:t>陈俊华</w:t>
            </w:r>
          </w:p>
        </w:tc>
        <w:tc>
          <w:tcPr>
            <w:tcW w:w="845" w:type="dxa"/>
            <w:vAlign w:val="center"/>
          </w:tcPr>
          <w:p w:rsidR="00471DDC" w:rsidRDefault="00B6574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471DDC" w:rsidRDefault="00B6574A">
            <w:pPr>
              <w:jc w:val="center"/>
            </w:pPr>
            <w:r>
              <w:rPr>
                <w:color w:val="000000"/>
                <w:sz w:val="24"/>
              </w:rPr>
              <w:t>2015-11-21</w:t>
            </w:r>
          </w:p>
        </w:tc>
        <w:tc>
          <w:tcPr>
            <w:tcW w:w="1548" w:type="dxa"/>
            <w:vAlign w:val="center"/>
          </w:tcPr>
          <w:p w:rsidR="00471DDC" w:rsidRDefault="00B6574A">
            <w:pPr>
              <w:jc w:val="center"/>
            </w:pPr>
            <w:r>
              <w:rPr>
                <w:color w:val="000000"/>
                <w:sz w:val="24"/>
              </w:rPr>
              <w:t>-</w:t>
            </w:r>
          </w:p>
        </w:tc>
        <w:tc>
          <w:tcPr>
            <w:tcW w:w="1407" w:type="dxa"/>
            <w:vAlign w:val="center"/>
          </w:tcPr>
          <w:p w:rsidR="00471DDC" w:rsidRDefault="00B6574A">
            <w:pPr>
              <w:jc w:val="center"/>
            </w:pPr>
            <w:r>
              <w:rPr>
                <w:color w:val="000000"/>
                <w:sz w:val="24"/>
              </w:rPr>
              <w:t>12</w:t>
            </w:r>
            <w:r>
              <w:rPr>
                <w:color w:val="000000"/>
                <w:sz w:val="24"/>
              </w:rPr>
              <w:t>年</w:t>
            </w:r>
          </w:p>
        </w:tc>
        <w:tc>
          <w:tcPr>
            <w:tcW w:w="2673" w:type="dxa"/>
            <w:vAlign w:val="center"/>
          </w:tcPr>
          <w:p w:rsidR="00471DDC" w:rsidRDefault="00B6574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471DDC">
        <w:trPr>
          <w:jc w:val="center"/>
        </w:trPr>
        <w:tc>
          <w:tcPr>
            <w:tcW w:w="846" w:type="dxa"/>
            <w:vAlign w:val="center"/>
          </w:tcPr>
          <w:p w:rsidR="00471DDC" w:rsidRDefault="00B6574A">
            <w:pPr>
              <w:jc w:val="center"/>
            </w:pPr>
            <w:r>
              <w:rPr>
                <w:color w:val="000000"/>
                <w:sz w:val="24"/>
              </w:rPr>
              <w:t>周中</w:t>
            </w:r>
          </w:p>
        </w:tc>
        <w:tc>
          <w:tcPr>
            <w:tcW w:w="845" w:type="dxa"/>
            <w:vAlign w:val="center"/>
          </w:tcPr>
          <w:p w:rsidR="00471DDC" w:rsidRDefault="00B6574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471DDC" w:rsidRDefault="00B6574A">
            <w:pPr>
              <w:jc w:val="center"/>
            </w:pPr>
            <w:r>
              <w:rPr>
                <w:color w:val="000000"/>
                <w:sz w:val="24"/>
              </w:rPr>
              <w:t>2015-12-12</w:t>
            </w:r>
          </w:p>
        </w:tc>
        <w:tc>
          <w:tcPr>
            <w:tcW w:w="1548" w:type="dxa"/>
            <w:vAlign w:val="center"/>
          </w:tcPr>
          <w:p w:rsidR="00471DDC" w:rsidRDefault="00B6574A">
            <w:pPr>
              <w:jc w:val="center"/>
            </w:pPr>
            <w:r>
              <w:rPr>
                <w:color w:val="000000"/>
                <w:sz w:val="24"/>
              </w:rPr>
              <w:t>-</w:t>
            </w:r>
          </w:p>
        </w:tc>
        <w:tc>
          <w:tcPr>
            <w:tcW w:w="1407" w:type="dxa"/>
            <w:vAlign w:val="center"/>
          </w:tcPr>
          <w:p w:rsidR="00471DDC" w:rsidRDefault="00B6574A">
            <w:pPr>
              <w:jc w:val="center"/>
            </w:pPr>
            <w:r>
              <w:rPr>
                <w:color w:val="000000"/>
                <w:sz w:val="24"/>
              </w:rPr>
              <w:t>8</w:t>
            </w:r>
            <w:r>
              <w:rPr>
                <w:color w:val="000000"/>
                <w:sz w:val="24"/>
              </w:rPr>
              <w:t>年</w:t>
            </w:r>
          </w:p>
        </w:tc>
        <w:tc>
          <w:tcPr>
            <w:tcW w:w="2673" w:type="dxa"/>
            <w:vAlign w:val="center"/>
          </w:tcPr>
          <w:p w:rsidR="00471DDC" w:rsidRDefault="00B6574A">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471DDC">
        <w:trPr>
          <w:jc w:val="center"/>
        </w:trPr>
        <w:tc>
          <w:tcPr>
            <w:tcW w:w="2070" w:type="dxa"/>
            <w:vAlign w:val="center"/>
          </w:tcPr>
          <w:p w:rsidR="00471DDC" w:rsidRDefault="00B6574A">
            <w:pPr>
              <w:jc w:val="center"/>
            </w:pPr>
            <w:r>
              <w:rPr>
                <w:color w:val="000000"/>
                <w:sz w:val="24"/>
              </w:rPr>
              <w:t>Simon Webber</w:t>
            </w:r>
          </w:p>
        </w:tc>
        <w:tc>
          <w:tcPr>
            <w:tcW w:w="2465" w:type="dxa"/>
            <w:vAlign w:val="center"/>
          </w:tcPr>
          <w:p w:rsidR="00471DDC" w:rsidRDefault="00B6574A">
            <w:pPr>
              <w:jc w:val="center"/>
            </w:pPr>
            <w:r>
              <w:rPr>
                <w:color w:val="000000"/>
                <w:sz w:val="24"/>
              </w:rPr>
              <w:t>施罗德集团多区域（全球及国际）股票投资主管、全球和国际股票基金经理、全球气候变化股票基金经理</w:t>
            </w:r>
          </w:p>
        </w:tc>
        <w:tc>
          <w:tcPr>
            <w:tcW w:w="2116" w:type="dxa"/>
            <w:vAlign w:val="center"/>
          </w:tcPr>
          <w:p w:rsidR="00471DDC" w:rsidRDefault="00B6574A">
            <w:pPr>
              <w:jc w:val="center"/>
            </w:pPr>
            <w:r>
              <w:rPr>
                <w:color w:val="000000"/>
                <w:sz w:val="24"/>
              </w:rPr>
              <w:t>18</w:t>
            </w:r>
            <w:r>
              <w:rPr>
                <w:color w:val="000000"/>
                <w:sz w:val="24"/>
              </w:rPr>
              <w:t>年</w:t>
            </w:r>
          </w:p>
        </w:tc>
        <w:tc>
          <w:tcPr>
            <w:tcW w:w="2217" w:type="dxa"/>
            <w:vAlign w:val="center"/>
          </w:tcPr>
          <w:p w:rsidR="00471DDC" w:rsidRDefault="00B6574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471DDC" w:rsidRDefault="00B657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1DDC" w:rsidRDefault="00B6574A">
      <w:pPr>
        <w:spacing w:before="29" w:line="288" w:lineRule="auto"/>
        <w:ind w:firstLineChars="200" w:firstLine="480"/>
        <w:rPr>
          <w:color w:val="000000"/>
          <w:sz w:val="24"/>
        </w:rPr>
      </w:pPr>
      <w:r>
        <w:rPr>
          <w:color w:val="000000"/>
          <w:sz w:val="24"/>
        </w:rPr>
        <w:t>公司建立资源共享的投资研究信息平台，确保各投资组合在获得投</w:t>
      </w:r>
      <w:r>
        <w:rPr>
          <w:color w:val="000000"/>
          <w:sz w:val="24"/>
        </w:rPr>
        <w:t>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1DDC" w:rsidRDefault="00B657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w:t>
      </w:r>
      <w:r>
        <w:rPr>
          <w:color w:val="000000"/>
          <w:sz w:val="24"/>
        </w:rPr>
        <w:t>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w:t>
      </w:r>
      <w:r w:rsidRPr="008640AE">
        <w:rPr>
          <w:color w:val="000000"/>
          <w:sz w:val="24"/>
        </w:rPr>
        <w:lastRenderedPageBreak/>
        <w:t>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471DDC" w:rsidRDefault="00B6574A">
      <w:pPr>
        <w:spacing w:before="29" w:line="288" w:lineRule="auto"/>
        <w:ind w:firstLineChars="200" w:firstLine="480"/>
        <w:rPr>
          <w:color w:val="000000"/>
          <w:sz w:val="24"/>
        </w:rPr>
      </w:pPr>
      <w:r>
        <w:rPr>
          <w:color w:val="000000"/>
          <w:sz w:val="24"/>
        </w:rPr>
        <w:t>2017</w:t>
      </w:r>
      <w:r>
        <w:rPr>
          <w:color w:val="000000"/>
          <w:sz w:val="24"/>
        </w:rPr>
        <w:t>年二季度，海外股市表现较好，交易偏好继续向大盘蓝筹集中，</w:t>
      </w:r>
      <w:r>
        <w:rPr>
          <w:color w:val="000000"/>
          <w:sz w:val="24"/>
        </w:rPr>
        <w:t>“</w:t>
      </w:r>
      <w:r>
        <w:rPr>
          <w:color w:val="000000"/>
          <w:sz w:val="24"/>
        </w:rPr>
        <w:t>漂亮</w:t>
      </w:r>
      <w:r>
        <w:rPr>
          <w:color w:val="000000"/>
          <w:sz w:val="24"/>
        </w:rPr>
        <w:t>50”</w:t>
      </w:r>
      <w:r>
        <w:rPr>
          <w:color w:val="000000"/>
          <w:sz w:val="24"/>
        </w:rPr>
        <w:t>股票表现较好。欧美方面，在美国加息、缩表等预期指引下，市场涨幅低于一季度，但是依然表现较强。香港市场，南下资金继续推动恒生指数获得超过</w:t>
      </w:r>
      <w:r>
        <w:rPr>
          <w:color w:val="000000"/>
          <w:sz w:val="24"/>
        </w:rPr>
        <w:t>5%</w:t>
      </w:r>
      <w:r>
        <w:rPr>
          <w:color w:val="000000"/>
          <w:sz w:val="24"/>
        </w:rPr>
        <w:t>的涨幅，值得注意的是，腾讯、汇丰、友邦和平安等较大权重公司贡献了恒指超过七成的上涨。交易拥挤以及获利较多，使得部分投资者对香港市场开始转向谨慎，市场震荡加剧。本基金主要投资的自然资源相关股票方面，由于受到石油价格下跌的拖累，大宗商品类股票二季度表现较一季度有所</w:t>
      </w:r>
      <w:r>
        <w:rPr>
          <w:color w:val="000000"/>
          <w:sz w:val="24"/>
        </w:rPr>
        <w:t>回落。面对不确定性加大的市场，本基金操作较为谨慎稳健，注意风险的规避。</w:t>
      </w:r>
    </w:p>
    <w:p w:rsidR="00471DDC" w:rsidRDefault="00B6574A">
      <w:pPr>
        <w:spacing w:before="29" w:line="288" w:lineRule="auto"/>
        <w:ind w:firstLineChars="200" w:firstLine="480"/>
        <w:rPr>
          <w:color w:val="000000"/>
          <w:sz w:val="24"/>
        </w:rPr>
      </w:pPr>
      <w:r>
        <w:rPr>
          <w:color w:val="000000"/>
          <w:sz w:val="24"/>
        </w:rPr>
        <w:t>本基金在二季度总体呈低仓位运作。重点配置于需求比较稳定、受益于供给侧改革的相关自然资源类公司。</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三季度及下半年，我们对海外经济总体持谨慎乐观的态度。一方面，美联储加息缩表对流动性有负面影响，但是另一方面，海外经济尤其是美国仍然处于复苏阶段，企业盈利依然强劲，从而有望推动公司股价上涨。欧洲也逐步走出了政治不确定性的阴影，经济重新回到了复苏的轨道上来，欧洲央行虽然近期表态较为强硬，但是我们认为持续偏紧的概率不大，但复苏的进程也不会一蹴而就，中间难免会有一些波动。中国经济依然是影响香港市场的最主要因素，港股尽管上半年涨幅较大，但香港市场整体的估值水平较低，加上中国大陆资金持续流入香港市场，我们认为下半年结构性机会仍在，我们将继续关注供给侧改革、科技和一带一路领域的相关标的。我们仍坚持精选个股的投资策略，寻找业绩确定性高、可持续发展的公司，力争为投资者获取较为长期且可持续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1.385</w:t>
      </w:r>
      <w:r w:rsidRPr="008640AE">
        <w:rPr>
          <w:color w:val="000000"/>
          <w:sz w:val="24"/>
        </w:rPr>
        <w:t>元，本报告期份额净值增长率为</w:t>
      </w:r>
      <w:r w:rsidRPr="008640AE">
        <w:rPr>
          <w:color w:val="000000"/>
          <w:sz w:val="24"/>
        </w:rPr>
        <w:t>1.76%</w:t>
      </w:r>
      <w:r w:rsidRPr="008640AE">
        <w:rPr>
          <w:color w:val="000000"/>
          <w:sz w:val="24"/>
        </w:rPr>
        <w:t>，同期业绩比较基准增长率为</w:t>
      </w:r>
      <w:r w:rsidRPr="008640AE">
        <w:rPr>
          <w:color w:val="000000"/>
          <w:sz w:val="24"/>
        </w:rPr>
        <w:t>-0.68%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EA3F21" w:rsidRPr="008640AE" w:rsidRDefault="00EA3F21"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w:t>
            </w:r>
            <w:r w:rsidRPr="008640AE">
              <w:rPr>
                <w:color w:val="000000"/>
                <w:sz w:val="24"/>
              </w:rPr>
              <w:lastRenderedPageBreak/>
              <w:t>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lastRenderedPageBreak/>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39,122,362.02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84.25</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39,122,362.02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84.25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6,078,984.66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13.09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1,236,265.20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2.66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46,437,611.88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71DDC">
        <w:trPr>
          <w:jc w:val="center"/>
        </w:trPr>
        <w:tc>
          <w:tcPr>
            <w:tcW w:w="2484" w:type="dxa"/>
            <w:vAlign w:val="center"/>
          </w:tcPr>
          <w:p w:rsidR="00471DDC" w:rsidRDefault="00B6574A">
            <w:pPr>
              <w:jc w:val="left"/>
            </w:pPr>
            <w:r>
              <w:rPr>
                <w:color w:val="000000"/>
                <w:sz w:val="24"/>
              </w:rPr>
              <w:t>香港</w:t>
            </w:r>
          </w:p>
        </w:tc>
        <w:tc>
          <w:tcPr>
            <w:tcW w:w="3214" w:type="dxa"/>
            <w:vAlign w:val="center"/>
          </w:tcPr>
          <w:p w:rsidR="00471DDC" w:rsidRDefault="00B6574A">
            <w:pPr>
              <w:jc w:val="right"/>
            </w:pPr>
            <w:r>
              <w:rPr>
                <w:color w:val="000000"/>
                <w:sz w:val="24"/>
              </w:rPr>
              <w:t>39,122,362.02</w:t>
            </w:r>
          </w:p>
        </w:tc>
        <w:tc>
          <w:tcPr>
            <w:tcW w:w="3170" w:type="dxa"/>
            <w:vAlign w:val="center"/>
          </w:tcPr>
          <w:p w:rsidR="00471DDC" w:rsidRDefault="00B6574A">
            <w:pPr>
              <w:jc w:val="right"/>
            </w:pPr>
            <w:r>
              <w:rPr>
                <w:color w:val="000000"/>
                <w:sz w:val="24"/>
              </w:rPr>
              <w:t>88.79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39,122,362.02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88.79</w:t>
            </w:r>
          </w:p>
        </w:tc>
      </w:tr>
    </w:tbl>
    <w:p w:rsidR="00471DDC" w:rsidRDefault="00B6574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471DDC">
        <w:trPr>
          <w:jc w:val="center"/>
        </w:trPr>
        <w:tc>
          <w:tcPr>
            <w:tcW w:w="2904" w:type="dxa"/>
            <w:vAlign w:val="center"/>
          </w:tcPr>
          <w:p w:rsidR="00471DDC" w:rsidRDefault="00B6574A">
            <w:pPr>
              <w:jc w:val="left"/>
            </w:pPr>
            <w:r>
              <w:rPr>
                <w:color w:val="000000"/>
                <w:sz w:val="24"/>
              </w:rPr>
              <w:t>能源</w:t>
            </w:r>
          </w:p>
        </w:tc>
        <w:tc>
          <w:tcPr>
            <w:tcW w:w="2657" w:type="dxa"/>
            <w:vAlign w:val="center"/>
          </w:tcPr>
          <w:p w:rsidR="00471DDC" w:rsidRDefault="00B6574A">
            <w:pPr>
              <w:jc w:val="right"/>
            </w:pPr>
            <w:r>
              <w:rPr>
                <w:color w:val="000000"/>
                <w:sz w:val="24"/>
              </w:rPr>
              <w:t>6,199,567.77</w:t>
            </w:r>
          </w:p>
        </w:tc>
        <w:tc>
          <w:tcPr>
            <w:tcW w:w="3307" w:type="dxa"/>
            <w:vAlign w:val="center"/>
          </w:tcPr>
          <w:p w:rsidR="00471DDC" w:rsidRDefault="00B6574A">
            <w:pPr>
              <w:jc w:val="right"/>
            </w:pPr>
            <w:r>
              <w:rPr>
                <w:color w:val="000000"/>
                <w:sz w:val="24"/>
              </w:rPr>
              <w:t>14.07</w:t>
            </w:r>
          </w:p>
        </w:tc>
      </w:tr>
      <w:tr w:rsidR="00471DDC">
        <w:trPr>
          <w:jc w:val="center"/>
        </w:trPr>
        <w:tc>
          <w:tcPr>
            <w:tcW w:w="2904" w:type="dxa"/>
            <w:vAlign w:val="center"/>
          </w:tcPr>
          <w:p w:rsidR="00471DDC" w:rsidRDefault="00B6574A">
            <w:pPr>
              <w:jc w:val="left"/>
            </w:pPr>
            <w:r>
              <w:rPr>
                <w:color w:val="000000"/>
                <w:sz w:val="24"/>
              </w:rPr>
              <w:t>工业</w:t>
            </w:r>
          </w:p>
        </w:tc>
        <w:tc>
          <w:tcPr>
            <w:tcW w:w="2657" w:type="dxa"/>
            <w:vAlign w:val="center"/>
          </w:tcPr>
          <w:p w:rsidR="00471DDC" w:rsidRDefault="00B6574A">
            <w:pPr>
              <w:jc w:val="right"/>
            </w:pPr>
            <w:r>
              <w:rPr>
                <w:color w:val="000000"/>
                <w:sz w:val="24"/>
              </w:rPr>
              <w:t>6,094,129.99</w:t>
            </w:r>
          </w:p>
        </w:tc>
        <w:tc>
          <w:tcPr>
            <w:tcW w:w="3307" w:type="dxa"/>
            <w:vAlign w:val="center"/>
          </w:tcPr>
          <w:p w:rsidR="00471DDC" w:rsidRDefault="00B6574A">
            <w:pPr>
              <w:jc w:val="right"/>
            </w:pPr>
            <w:r>
              <w:rPr>
                <w:color w:val="000000"/>
                <w:sz w:val="24"/>
              </w:rPr>
              <w:t>13.83</w:t>
            </w:r>
          </w:p>
        </w:tc>
      </w:tr>
      <w:tr w:rsidR="00471DDC">
        <w:trPr>
          <w:jc w:val="center"/>
        </w:trPr>
        <w:tc>
          <w:tcPr>
            <w:tcW w:w="2904" w:type="dxa"/>
            <w:vAlign w:val="center"/>
          </w:tcPr>
          <w:p w:rsidR="00471DDC" w:rsidRDefault="00B6574A">
            <w:pPr>
              <w:jc w:val="left"/>
            </w:pPr>
            <w:r>
              <w:rPr>
                <w:color w:val="000000"/>
                <w:sz w:val="24"/>
              </w:rPr>
              <w:t>材料</w:t>
            </w:r>
          </w:p>
        </w:tc>
        <w:tc>
          <w:tcPr>
            <w:tcW w:w="2657" w:type="dxa"/>
            <w:vAlign w:val="center"/>
          </w:tcPr>
          <w:p w:rsidR="00471DDC" w:rsidRDefault="00B6574A">
            <w:pPr>
              <w:jc w:val="right"/>
            </w:pPr>
            <w:r>
              <w:rPr>
                <w:color w:val="000000"/>
                <w:sz w:val="24"/>
              </w:rPr>
              <w:t>5,347,387.55</w:t>
            </w:r>
          </w:p>
        </w:tc>
        <w:tc>
          <w:tcPr>
            <w:tcW w:w="3307" w:type="dxa"/>
            <w:vAlign w:val="center"/>
          </w:tcPr>
          <w:p w:rsidR="00471DDC" w:rsidRDefault="00B6574A">
            <w:pPr>
              <w:jc w:val="right"/>
            </w:pPr>
            <w:r>
              <w:rPr>
                <w:color w:val="000000"/>
                <w:sz w:val="24"/>
              </w:rPr>
              <w:t>12.14</w:t>
            </w:r>
          </w:p>
        </w:tc>
      </w:tr>
      <w:tr w:rsidR="00471DDC">
        <w:trPr>
          <w:jc w:val="center"/>
        </w:trPr>
        <w:tc>
          <w:tcPr>
            <w:tcW w:w="2904" w:type="dxa"/>
            <w:vAlign w:val="center"/>
          </w:tcPr>
          <w:p w:rsidR="00471DDC" w:rsidRDefault="00B6574A">
            <w:pPr>
              <w:jc w:val="left"/>
            </w:pPr>
            <w:r>
              <w:rPr>
                <w:color w:val="000000"/>
                <w:sz w:val="24"/>
              </w:rPr>
              <w:t>非必需消费品</w:t>
            </w:r>
          </w:p>
        </w:tc>
        <w:tc>
          <w:tcPr>
            <w:tcW w:w="2657" w:type="dxa"/>
            <w:vAlign w:val="center"/>
          </w:tcPr>
          <w:p w:rsidR="00471DDC" w:rsidRDefault="00B6574A">
            <w:pPr>
              <w:jc w:val="right"/>
            </w:pPr>
            <w:r>
              <w:rPr>
                <w:color w:val="000000"/>
                <w:sz w:val="24"/>
              </w:rPr>
              <w:t>5,005,474.10</w:t>
            </w:r>
          </w:p>
        </w:tc>
        <w:tc>
          <w:tcPr>
            <w:tcW w:w="3307" w:type="dxa"/>
            <w:vAlign w:val="center"/>
          </w:tcPr>
          <w:p w:rsidR="00471DDC" w:rsidRDefault="00B6574A">
            <w:pPr>
              <w:jc w:val="right"/>
            </w:pPr>
            <w:r>
              <w:rPr>
                <w:color w:val="000000"/>
                <w:sz w:val="24"/>
              </w:rPr>
              <w:t>11.36</w:t>
            </w:r>
          </w:p>
        </w:tc>
      </w:tr>
      <w:tr w:rsidR="00471DDC">
        <w:trPr>
          <w:jc w:val="center"/>
        </w:trPr>
        <w:tc>
          <w:tcPr>
            <w:tcW w:w="2904" w:type="dxa"/>
            <w:vAlign w:val="center"/>
          </w:tcPr>
          <w:p w:rsidR="00471DDC" w:rsidRDefault="00B6574A">
            <w:pPr>
              <w:jc w:val="left"/>
            </w:pPr>
            <w:r>
              <w:rPr>
                <w:color w:val="000000"/>
                <w:sz w:val="24"/>
              </w:rPr>
              <w:t>公共事业</w:t>
            </w:r>
          </w:p>
        </w:tc>
        <w:tc>
          <w:tcPr>
            <w:tcW w:w="2657" w:type="dxa"/>
            <w:vAlign w:val="center"/>
          </w:tcPr>
          <w:p w:rsidR="00471DDC" w:rsidRDefault="00B6574A">
            <w:pPr>
              <w:jc w:val="right"/>
            </w:pPr>
            <w:r>
              <w:rPr>
                <w:color w:val="000000"/>
                <w:sz w:val="24"/>
              </w:rPr>
              <w:t>4,815,425.75</w:t>
            </w:r>
          </w:p>
        </w:tc>
        <w:tc>
          <w:tcPr>
            <w:tcW w:w="3307" w:type="dxa"/>
            <w:vAlign w:val="center"/>
          </w:tcPr>
          <w:p w:rsidR="00471DDC" w:rsidRDefault="00B6574A">
            <w:pPr>
              <w:jc w:val="right"/>
            </w:pPr>
            <w:r>
              <w:rPr>
                <w:color w:val="000000"/>
                <w:sz w:val="24"/>
              </w:rPr>
              <w:t>10.93</w:t>
            </w:r>
          </w:p>
        </w:tc>
      </w:tr>
      <w:tr w:rsidR="00471DDC">
        <w:trPr>
          <w:jc w:val="center"/>
        </w:trPr>
        <w:tc>
          <w:tcPr>
            <w:tcW w:w="2904" w:type="dxa"/>
            <w:vAlign w:val="center"/>
          </w:tcPr>
          <w:p w:rsidR="00471DDC" w:rsidRDefault="00B6574A">
            <w:pPr>
              <w:jc w:val="left"/>
            </w:pPr>
            <w:r>
              <w:rPr>
                <w:color w:val="000000"/>
                <w:sz w:val="24"/>
              </w:rPr>
              <w:t>信息技术</w:t>
            </w:r>
          </w:p>
        </w:tc>
        <w:tc>
          <w:tcPr>
            <w:tcW w:w="2657" w:type="dxa"/>
            <w:vAlign w:val="center"/>
          </w:tcPr>
          <w:p w:rsidR="00471DDC" w:rsidRDefault="00B6574A">
            <w:pPr>
              <w:jc w:val="right"/>
            </w:pPr>
            <w:r>
              <w:rPr>
                <w:color w:val="000000"/>
                <w:sz w:val="24"/>
              </w:rPr>
              <w:t>4,156,765.07</w:t>
            </w:r>
          </w:p>
        </w:tc>
        <w:tc>
          <w:tcPr>
            <w:tcW w:w="3307" w:type="dxa"/>
            <w:vAlign w:val="center"/>
          </w:tcPr>
          <w:p w:rsidR="00471DDC" w:rsidRDefault="00B6574A">
            <w:pPr>
              <w:jc w:val="right"/>
            </w:pPr>
            <w:r>
              <w:rPr>
                <w:color w:val="000000"/>
                <w:sz w:val="24"/>
              </w:rPr>
              <w:t>9.43</w:t>
            </w:r>
          </w:p>
        </w:tc>
      </w:tr>
      <w:tr w:rsidR="00471DDC">
        <w:trPr>
          <w:jc w:val="center"/>
        </w:trPr>
        <w:tc>
          <w:tcPr>
            <w:tcW w:w="2904" w:type="dxa"/>
            <w:vAlign w:val="center"/>
          </w:tcPr>
          <w:p w:rsidR="00471DDC" w:rsidRDefault="00B6574A">
            <w:pPr>
              <w:jc w:val="left"/>
            </w:pPr>
            <w:r>
              <w:rPr>
                <w:color w:val="000000"/>
                <w:sz w:val="24"/>
              </w:rPr>
              <w:t>保健</w:t>
            </w:r>
          </w:p>
        </w:tc>
        <w:tc>
          <w:tcPr>
            <w:tcW w:w="2657" w:type="dxa"/>
            <w:vAlign w:val="center"/>
          </w:tcPr>
          <w:p w:rsidR="00471DDC" w:rsidRDefault="00B6574A">
            <w:pPr>
              <w:jc w:val="right"/>
            </w:pPr>
            <w:r>
              <w:rPr>
                <w:color w:val="000000"/>
                <w:sz w:val="24"/>
              </w:rPr>
              <w:t>2,967,878.19</w:t>
            </w:r>
          </w:p>
        </w:tc>
        <w:tc>
          <w:tcPr>
            <w:tcW w:w="3307" w:type="dxa"/>
            <w:vAlign w:val="center"/>
          </w:tcPr>
          <w:p w:rsidR="00471DDC" w:rsidRDefault="00B6574A">
            <w:pPr>
              <w:jc w:val="right"/>
            </w:pPr>
            <w:r>
              <w:rPr>
                <w:color w:val="000000"/>
                <w:sz w:val="24"/>
              </w:rPr>
              <w:t>6.74</w:t>
            </w:r>
          </w:p>
        </w:tc>
      </w:tr>
      <w:tr w:rsidR="00471DDC">
        <w:trPr>
          <w:jc w:val="center"/>
        </w:trPr>
        <w:tc>
          <w:tcPr>
            <w:tcW w:w="2904" w:type="dxa"/>
            <w:vAlign w:val="center"/>
          </w:tcPr>
          <w:p w:rsidR="00471DDC" w:rsidRDefault="00B6574A">
            <w:pPr>
              <w:jc w:val="left"/>
            </w:pPr>
            <w:r>
              <w:rPr>
                <w:color w:val="000000"/>
                <w:sz w:val="24"/>
              </w:rPr>
              <w:t>必需消费品</w:t>
            </w:r>
          </w:p>
        </w:tc>
        <w:tc>
          <w:tcPr>
            <w:tcW w:w="2657" w:type="dxa"/>
            <w:vAlign w:val="center"/>
          </w:tcPr>
          <w:p w:rsidR="00471DDC" w:rsidRDefault="00B6574A">
            <w:pPr>
              <w:jc w:val="right"/>
            </w:pPr>
            <w:r>
              <w:rPr>
                <w:color w:val="000000"/>
                <w:sz w:val="24"/>
              </w:rPr>
              <w:t>2,513,150.65</w:t>
            </w:r>
          </w:p>
        </w:tc>
        <w:tc>
          <w:tcPr>
            <w:tcW w:w="3307" w:type="dxa"/>
            <w:vAlign w:val="center"/>
          </w:tcPr>
          <w:p w:rsidR="00471DDC" w:rsidRDefault="00B6574A">
            <w:pPr>
              <w:jc w:val="right"/>
            </w:pPr>
            <w:r>
              <w:rPr>
                <w:color w:val="000000"/>
                <w:sz w:val="24"/>
              </w:rPr>
              <w:t>5.70</w:t>
            </w:r>
          </w:p>
        </w:tc>
      </w:tr>
      <w:tr w:rsidR="00471DDC">
        <w:trPr>
          <w:jc w:val="center"/>
        </w:trPr>
        <w:tc>
          <w:tcPr>
            <w:tcW w:w="2904" w:type="dxa"/>
            <w:vAlign w:val="center"/>
          </w:tcPr>
          <w:p w:rsidR="00471DDC" w:rsidRDefault="00B6574A">
            <w:pPr>
              <w:jc w:val="left"/>
            </w:pPr>
            <w:r>
              <w:rPr>
                <w:color w:val="000000"/>
                <w:sz w:val="24"/>
              </w:rPr>
              <w:t>金融</w:t>
            </w:r>
          </w:p>
        </w:tc>
        <w:tc>
          <w:tcPr>
            <w:tcW w:w="2657" w:type="dxa"/>
            <w:vAlign w:val="center"/>
          </w:tcPr>
          <w:p w:rsidR="00471DDC" w:rsidRDefault="00B6574A">
            <w:pPr>
              <w:jc w:val="right"/>
            </w:pPr>
            <w:r>
              <w:rPr>
                <w:color w:val="000000"/>
                <w:sz w:val="24"/>
              </w:rPr>
              <w:t>2,022,582.95</w:t>
            </w:r>
          </w:p>
        </w:tc>
        <w:tc>
          <w:tcPr>
            <w:tcW w:w="3307" w:type="dxa"/>
            <w:vAlign w:val="center"/>
          </w:tcPr>
          <w:p w:rsidR="00471DDC" w:rsidRDefault="00B6574A">
            <w:pPr>
              <w:jc w:val="right"/>
            </w:pPr>
            <w:r>
              <w:rPr>
                <w:color w:val="000000"/>
                <w:sz w:val="24"/>
              </w:rPr>
              <w:t>4.59</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39,122,362.02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88.79</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471DDC">
        <w:trPr>
          <w:jc w:val="center"/>
        </w:trPr>
        <w:tc>
          <w:tcPr>
            <w:tcW w:w="1243" w:type="dxa"/>
            <w:vAlign w:val="center"/>
          </w:tcPr>
          <w:p w:rsidR="00471DDC" w:rsidRDefault="00B6574A">
            <w:pPr>
              <w:jc w:val="center"/>
            </w:pPr>
            <w:r>
              <w:rPr>
                <w:color w:val="000000"/>
                <w:sz w:val="24"/>
              </w:rPr>
              <w:t>1</w:t>
            </w:r>
          </w:p>
        </w:tc>
        <w:tc>
          <w:tcPr>
            <w:tcW w:w="971" w:type="dxa"/>
            <w:vAlign w:val="center"/>
          </w:tcPr>
          <w:p w:rsidR="00471DDC" w:rsidRDefault="00B6574A">
            <w:pPr>
              <w:jc w:val="center"/>
            </w:pPr>
            <w:r>
              <w:rPr>
                <w:color w:val="000000"/>
                <w:sz w:val="24"/>
              </w:rPr>
              <w:t>Tencent Holdings Limited</w:t>
            </w:r>
          </w:p>
        </w:tc>
        <w:tc>
          <w:tcPr>
            <w:tcW w:w="993" w:type="dxa"/>
            <w:vAlign w:val="center"/>
          </w:tcPr>
          <w:p w:rsidR="00471DDC" w:rsidRDefault="00B6574A">
            <w:pPr>
              <w:jc w:val="center"/>
            </w:pPr>
            <w:r>
              <w:rPr>
                <w:color w:val="000000"/>
                <w:sz w:val="24"/>
              </w:rPr>
              <w:t>腾讯控股有限公司</w:t>
            </w:r>
          </w:p>
        </w:tc>
        <w:tc>
          <w:tcPr>
            <w:tcW w:w="725" w:type="dxa"/>
            <w:vAlign w:val="center"/>
          </w:tcPr>
          <w:p w:rsidR="00471DDC" w:rsidRDefault="00B6574A">
            <w:pPr>
              <w:jc w:val="center"/>
            </w:pPr>
            <w:r>
              <w:rPr>
                <w:color w:val="000000"/>
                <w:sz w:val="24"/>
              </w:rPr>
              <w:t>700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15,000</w:t>
            </w:r>
          </w:p>
        </w:tc>
        <w:tc>
          <w:tcPr>
            <w:tcW w:w="975" w:type="dxa"/>
            <w:vAlign w:val="center"/>
          </w:tcPr>
          <w:p w:rsidR="00471DDC" w:rsidRDefault="00B6574A">
            <w:pPr>
              <w:jc w:val="right"/>
            </w:pPr>
            <w:r>
              <w:rPr>
                <w:color w:val="000000"/>
                <w:sz w:val="24"/>
              </w:rPr>
              <w:t>3,634,349.08</w:t>
            </w:r>
          </w:p>
        </w:tc>
        <w:tc>
          <w:tcPr>
            <w:tcW w:w="1175" w:type="dxa"/>
            <w:vAlign w:val="center"/>
          </w:tcPr>
          <w:p w:rsidR="00471DDC" w:rsidRDefault="00B6574A">
            <w:pPr>
              <w:jc w:val="right"/>
            </w:pPr>
            <w:r>
              <w:rPr>
                <w:color w:val="000000"/>
                <w:sz w:val="24"/>
              </w:rPr>
              <w:t>8.25</w:t>
            </w:r>
          </w:p>
        </w:tc>
      </w:tr>
      <w:tr w:rsidR="00471DDC">
        <w:trPr>
          <w:jc w:val="center"/>
        </w:trPr>
        <w:tc>
          <w:tcPr>
            <w:tcW w:w="1243" w:type="dxa"/>
            <w:vAlign w:val="center"/>
          </w:tcPr>
          <w:p w:rsidR="00471DDC" w:rsidRDefault="00B6574A">
            <w:pPr>
              <w:jc w:val="center"/>
            </w:pPr>
            <w:r>
              <w:rPr>
                <w:color w:val="000000"/>
                <w:sz w:val="24"/>
              </w:rPr>
              <w:t>2</w:t>
            </w:r>
          </w:p>
        </w:tc>
        <w:tc>
          <w:tcPr>
            <w:tcW w:w="971" w:type="dxa"/>
            <w:vAlign w:val="center"/>
          </w:tcPr>
          <w:p w:rsidR="00471DDC" w:rsidRDefault="00B6574A">
            <w:pPr>
              <w:jc w:val="center"/>
            </w:pPr>
            <w:r>
              <w:rPr>
                <w:color w:val="000000"/>
                <w:sz w:val="24"/>
              </w:rPr>
              <w:t>CSPC Pharmaceutical Group Limited</w:t>
            </w:r>
          </w:p>
        </w:tc>
        <w:tc>
          <w:tcPr>
            <w:tcW w:w="993" w:type="dxa"/>
            <w:vAlign w:val="center"/>
          </w:tcPr>
          <w:p w:rsidR="00471DDC" w:rsidRDefault="00B6574A">
            <w:pPr>
              <w:jc w:val="center"/>
            </w:pPr>
            <w:r>
              <w:rPr>
                <w:color w:val="000000"/>
                <w:sz w:val="24"/>
              </w:rPr>
              <w:t>石药集团有限公司</w:t>
            </w:r>
          </w:p>
        </w:tc>
        <w:tc>
          <w:tcPr>
            <w:tcW w:w="725" w:type="dxa"/>
            <w:vAlign w:val="center"/>
          </w:tcPr>
          <w:p w:rsidR="00471DDC" w:rsidRDefault="00B6574A">
            <w:pPr>
              <w:jc w:val="center"/>
            </w:pPr>
            <w:r>
              <w:rPr>
                <w:color w:val="000000"/>
                <w:sz w:val="24"/>
              </w:rPr>
              <w:t>1093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300,000</w:t>
            </w:r>
          </w:p>
        </w:tc>
        <w:tc>
          <w:tcPr>
            <w:tcW w:w="975" w:type="dxa"/>
            <w:vAlign w:val="center"/>
          </w:tcPr>
          <w:p w:rsidR="00471DDC" w:rsidRDefault="00B6574A">
            <w:pPr>
              <w:jc w:val="right"/>
            </w:pPr>
            <w:r>
              <w:rPr>
                <w:color w:val="000000"/>
                <w:sz w:val="24"/>
              </w:rPr>
              <w:t>2,967,878.19</w:t>
            </w:r>
          </w:p>
        </w:tc>
        <w:tc>
          <w:tcPr>
            <w:tcW w:w="1175" w:type="dxa"/>
            <w:vAlign w:val="center"/>
          </w:tcPr>
          <w:p w:rsidR="00471DDC" w:rsidRDefault="00B6574A">
            <w:pPr>
              <w:jc w:val="right"/>
            </w:pPr>
            <w:r>
              <w:rPr>
                <w:color w:val="000000"/>
                <w:sz w:val="24"/>
              </w:rPr>
              <w:t>6.74</w:t>
            </w:r>
          </w:p>
        </w:tc>
      </w:tr>
      <w:tr w:rsidR="00471DDC">
        <w:trPr>
          <w:jc w:val="center"/>
        </w:trPr>
        <w:tc>
          <w:tcPr>
            <w:tcW w:w="1243" w:type="dxa"/>
            <w:vAlign w:val="center"/>
          </w:tcPr>
          <w:p w:rsidR="00471DDC" w:rsidRDefault="00B6574A">
            <w:pPr>
              <w:jc w:val="center"/>
            </w:pPr>
            <w:r>
              <w:rPr>
                <w:color w:val="000000"/>
                <w:sz w:val="24"/>
              </w:rPr>
              <w:t>3</w:t>
            </w:r>
          </w:p>
        </w:tc>
        <w:tc>
          <w:tcPr>
            <w:tcW w:w="971" w:type="dxa"/>
            <w:vAlign w:val="center"/>
          </w:tcPr>
          <w:p w:rsidR="00471DDC" w:rsidRDefault="00B6574A">
            <w:pPr>
              <w:jc w:val="center"/>
            </w:pPr>
            <w:r>
              <w:rPr>
                <w:color w:val="000000"/>
                <w:sz w:val="24"/>
              </w:rPr>
              <w:t>Zijin Mining Group Co.,Ltd.</w:t>
            </w:r>
          </w:p>
        </w:tc>
        <w:tc>
          <w:tcPr>
            <w:tcW w:w="993" w:type="dxa"/>
            <w:vAlign w:val="center"/>
          </w:tcPr>
          <w:p w:rsidR="00471DDC" w:rsidRDefault="00B6574A">
            <w:pPr>
              <w:jc w:val="center"/>
            </w:pPr>
            <w:r>
              <w:rPr>
                <w:color w:val="000000"/>
                <w:sz w:val="24"/>
              </w:rPr>
              <w:t>紫金矿业集团股份有限公司</w:t>
            </w:r>
          </w:p>
        </w:tc>
        <w:tc>
          <w:tcPr>
            <w:tcW w:w="725" w:type="dxa"/>
            <w:vAlign w:val="center"/>
          </w:tcPr>
          <w:p w:rsidR="00471DDC" w:rsidRDefault="00B6574A">
            <w:pPr>
              <w:jc w:val="center"/>
            </w:pPr>
            <w:r>
              <w:rPr>
                <w:color w:val="000000"/>
                <w:sz w:val="24"/>
              </w:rPr>
              <w:t>2899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1,200,000</w:t>
            </w:r>
          </w:p>
        </w:tc>
        <w:tc>
          <w:tcPr>
            <w:tcW w:w="975" w:type="dxa"/>
            <w:vAlign w:val="center"/>
          </w:tcPr>
          <w:p w:rsidR="00471DDC" w:rsidRDefault="00B6574A">
            <w:pPr>
              <w:jc w:val="right"/>
            </w:pPr>
            <w:r>
              <w:rPr>
                <w:color w:val="000000"/>
                <w:sz w:val="24"/>
              </w:rPr>
              <w:t>2,686,710.78</w:t>
            </w:r>
          </w:p>
        </w:tc>
        <w:tc>
          <w:tcPr>
            <w:tcW w:w="1175" w:type="dxa"/>
            <w:vAlign w:val="center"/>
          </w:tcPr>
          <w:p w:rsidR="00471DDC" w:rsidRDefault="00B6574A">
            <w:pPr>
              <w:jc w:val="right"/>
            </w:pPr>
            <w:r>
              <w:rPr>
                <w:color w:val="000000"/>
                <w:sz w:val="24"/>
              </w:rPr>
              <w:t>6.10</w:t>
            </w:r>
          </w:p>
        </w:tc>
      </w:tr>
      <w:tr w:rsidR="00471DDC">
        <w:trPr>
          <w:jc w:val="center"/>
        </w:trPr>
        <w:tc>
          <w:tcPr>
            <w:tcW w:w="1243" w:type="dxa"/>
            <w:vAlign w:val="center"/>
          </w:tcPr>
          <w:p w:rsidR="00471DDC" w:rsidRDefault="00B6574A">
            <w:pPr>
              <w:jc w:val="center"/>
            </w:pPr>
            <w:r>
              <w:rPr>
                <w:color w:val="000000"/>
                <w:sz w:val="24"/>
              </w:rPr>
              <w:lastRenderedPageBreak/>
              <w:t>4</w:t>
            </w:r>
          </w:p>
        </w:tc>
        <w:tc>
          <w:tcPr>
            <w:tcW w:w="971" w:type="dxa"/>
            <w:vAlign w:val="center"/>
          </w:tcPr>
          <w:p w:rsidR="00471DDC" w:rsidRDefault="00B6574A">
            <w:pPr>
              <w:jc w:val="center"/>
            </w:pPr>
            <w:r>
              <w:rPr>
                <w:color w:val="000000"/>
                <w:sz w:val="24"/>
              </w:rPr>
              <w:t>Yanzhou Coal Mining Company Limited</w:t>
            </w:r>
          </w:p>
        </w:tc>
        <w:tc>
          <w:tcPr>
            <w:tcW w:w="993" w:type="dxa"/>
            <w:vAlign w:val="center"/>
          </w:tcPr>
          <w:p w:rsidR="00471DDC" w:rsidRDefault="00B6574A">
            <w:pPr>
              <w:jc w:val="center"/>
            </w:pPr>
            <w:r>
              <w:rPr>
                <w:color w:val="000000"/>
                <w:sz w:val="24"/>
              </w:rPr>
              <w:t>兖州煤业股份有限公司</w:t>
            </w:r>
          </w:p>
        </w:tc>
        <w:tc>
          <w:tcPr>
            <w:tcW w:w="725" w:type="dxa"/>
            <w:vAlign w:val="center"/>
          </w:tcPr>
          <w:p w:rsidR="00471DDC" w:rsidRDefault="00B6574A">
            <w:pPr>
              <w:jc w:val="center"/>
            </w:pPr>
            <w:r>
              <w:rPr>
                <w:color w:val="000000"/>
                <w:sz w:val="24"/>
              </w:rPr>
              <w:t>1171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400,000</w:t>
            </w:r>
          </w:p>
        </w:tc>
        <w:tc>
          <w:tcPr>
            <w:tcW w:w="975" w:type="dxa"/>
            <w:vAlign w:val="center"/>
          </w:tcPr>
          <w:p w:rsidR="00471DDC" w:rsidRDefault="00B6574A">
            <w:pPr>
              <w:jc w:val="right"/>
            </w:pPr>
            <w:r>
              <w:rPr>
                <w:color w:val="000000"/>
                <w:sz w:val="24"/>
              </w:rPr>
              <w:t>2,429,841.79</w:t>
            </w:r>
          </w:p>
        </w:tc>
        <w:tc>
          <w:tcPr>
            <w:tcW w:w="1175" w:type="dxa"/>
            <w:vAlign w:val="center"/>
          </w:tcPr>
          <w:p w:rsidR="00471DDC" w:rsidRDefault="00B6574A">
            <w:pPr>
              <w:jc w:val="right"/>
            </w:pPr>
            <w:r>
              <w:rPr>
                <w:color w:val="000000"/>
                <w:sz w:val="24"/>
              </w:rPr>
              <w:t>5.51</w:t>
            </w:r>
          </w:p>
        </w:tc>
      </w:tr>
      <w:tr w:rsidR="00471DDC">
        <w:trPr>
          <w:jc w:val="center"/>
        </w:trPr>
        <w:tc>
          <w:tcPr>
            <w:tcW w:w="1243" w:type="dxa"/>
            <w:vAlign w:val="center"/>
          </w:tcPr>
          <w:p w:rsidR="00471DDC" w:rsidRDefault="00B6574A">
            <w:pPr>
              <w:jc w:val="center"/>
            </w:pPr>
            <w:r>
              <w:rPr>
                <w:color w:val="000000"/>
                <w:sz w:val="24"/>
              </w:rPr>
              <w:t>5</w:t>
            </w:r>
          </w:p>
        </w:tc>
        <w:tc>
          <w:tcPr>
            <w:tcW w:w="971" w:type="dxa"/>
            <w:vAlign w:val="center"/>
          </w:tcPr>
          <w:p w:rsidR="00471DDC" w:rsidRDefault="00B6574A">
            <w:pPr>
              <w:jc w:val="center"/>
            </w:pPr>
            <w:r>
              <w:rPr>
                <w:color w:val="000000"/>
                <w:sz w:val="24"/>
              </w:rPr>
              <w:t>China State Construction International Holdings Limited</w:t>
            </w:r>
          </w:p>
        </w:tc>
        <w:tc>
          <w:tcPr>
            <w:tcW w:w="993" w:type="dxa"/>
            <w:vAlign w:val="center"/>
          </w:tcPr>
          <w:p w:rsidR="00471DDC" w:rsidRDefault="00B6574A">
            <w:pPr>
              <w:jc w:val="center"/>
            </w:pPr>
            <w:r>
              <w:rPr>
                <w:color w:val="000000"/>
                <w:sz w:val="24"/>
              </w:rPr>
              <w:t>中国建筑国际集团有限公司</w:t>
            </w:r>
          </w:p>
        </w:tc>
        <w:tc>
          <w:tcPr>
            <w:tcW w:w="725" w:type="dxa"/>
            <w:vAlign w:val="center"/>
          </w:tcPr>
          <w:p w:rsidR="00471DDC" w:rsidRDefault="00B6574A">
            <w:pPr>
              <w:jc w:val="center"/>
            </w:pPr>
            <w:r>
              <w:rPr>
                <w:color w:val="000000"/>
                <w:sz w:val="24"/>
              </w:rPr>
              <w:t>3311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200,000</w:t>
            </w:r>
          </w:p>
        </w:tc>
        <w:tc>
          <w:tcPr>
            <w:tcW w:w="975" w:type="dxa"/>
            <w:vAlign w:val="center"/>
          </w:tcPr>
          <w:p w:rsidR="00471DDC" w:rsidRDefault="00B6574A">
            <w:pPr>
              <w:jc w:val="right"/>
            </w:pPr>
            <w:r>
              <w:rPr>
                <w:color w:val="000000"/>
                <w:sz w:val="24"/>
              </w:rPr>
              <w:t>2,318,763.31</w:t>
            </w:r>
          </w:p>
        </w:tc>
        <w:tc>
          <w:tcPr>
            <w:tcW w:w="1175" w:type="dxa"/>
            <w:vAlign w:val="center"/>
          </w:tcPr>
          <w:p w:rsidR="00471DDC" w:rsidRDefault="00B6574A">
            <w:pPr>
              <w:jc w:val="right"/>
            </w:pPr>
            <w:r>
              <w:rPr>
                <w:color w:val="000000"/>
                <w:sz w:val="24"/>
              </w:rPr>
              <w:t>5.26</w:t>
            </w:r>
          </w:p>
        </w:tc>
      </w:tr>
      <w:tr w:rsidR="00471DDC">
        <w:trPr>
          <w:jc w:val="center"/>
        </w:trPr>
        <w:tc>
          <w:tcPr>
            <w:tcW w:w="1243" w:type="dxa"/>
            <w:vAlign w:val="center"/>
          </w:tcPr>
          <w:p w:rsidR="00471DDC" w:rsidRDefault="00B6574A">
            <w:pPr>
              <w:jc w:val="center"/>
            </w:pPr>
            <w:r>
              <w:rPr>
                <w:color w:val="000000"/>
                <w:sz w:val="24"/>
              </w:rPr>
              <w:t>6</w:t>
            </w:r>
          </w:p>
        </w:tc>
        <w:tc>
          <w:tcPr>
            <w:tcW w:w="971" w:type="dxa"/>
            <w:vAlign w:val="center"/>
          </w:tcPr>
          <w:p w:rsidR="00471DDC" w:rsidRDefault="00B6574A">
            <w:pPr>
              <w:jc w:val="center"/>
            </w:pPr>
            <w:r>
              <w:rPr>
                <w:color w:val="000000"/>
                <w:sz w:val="24"/>
              </w:rPr>
              <w:t xml:space="preserve">China Shenhua Energy </w:t>
            </w:r>
            <w:r>
              <w:rPr>
                <w:color w:val="000000"/>
                <w:sz w:val="24"/>
              </w:rPr>
              <w:t>Company Limited</w:t>
            </w:r>
          </w:p>
        </w:tc>
        <w:tc>
          <w:tcPr>
            <w:tcW w:w="993" w:type="dxa"/>
            <w:vAlign w:val="center"/>
          </w:tcPr>
          <w:p w:rsidR="00471DDC" w:rsidRDefault="00B6574A">
            <w:pPr>
              <w:jc w:val="center"/>
            </w:pPr>
            <w:r>
              <w:rPr>
                <w:color w:val="000000"/>
                <w:sz w:val="24"/>
              </w:rPr>
              <w:t>中国神华能源股份有限公司</w:t>
            </w:r>
          </w:p>
        </w:tc>
        <w:tc>
          <w:tcPr>
            <w:tcW w:w="725" w:type="dxa"/>
            <w:vAlign w:val="center"/>
          </w:tcPr>
          <w:p w:rsidR="00471DDC" w:rsidRDefault="00B6574A">
            <w:pPr>
              <w:jc w:val="center"/>
            </w:pPr>
            <w:r>
              <w:rPr>
                <w:color w:val="000000"/>
                <w:sz w:val="24"/>
              </w:rPr>
              <w:t>1088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150,000</w:t>
            </w:r>
          </w:p>
        </w:tc>
        <w:tc>
          <w:tcPr>
            <w:tcW w:w="975" w:type="dxa"/>
            <w:vAlign w:val="center"/>
          </w:tcPr>
          <w:p w:rsidR="00471DDC" w:rsidRDefault="00B6574A">
            <w:pPr>
              <w:jc w:val="right"/>
            </w:pPr>
            <w:r>
              <w:rPr>
                <w:color w:val="000000"/>
                <w:sz w:val="24"/>
              </w:rPr>
              <w:t>2,262,356.27</w:t>
            </w:r>
          </w:p>
        </w:tc>
        <w:tc>
          <w:tcPr>
            <w:tcW w:w="1175" w:type="dxa"/>
            <w:vAlign w:val="center"/>
          </w:tcPr>
          <w:p w:rsidR="00471DDC" w:rsidRDefault="00B6574A">
            <w:pPr>
              <w:jc w:val="right"/>
            </w:pPr>
            <w:r>
              <w:rPr>
                <w:color w:val="000000"/>
                <w:sz w:val="24"/>
              </w:rPr>
              <w:t>5.13</w:t>
            </w:r>
          </w:p>
        </w:tc>
      </w:tr>
      <w:tr w:rsidR="00471DDC">
        <w:trPr>
          <w:jc w:val="center"/>
        </w:trPr>
        <w:tc>
          <w:tcPr>
            <w:tcW w:w="1243" w:type="dxa"/>
            <w:vAlign w:val="center"/>
          </w:tcPr>
          <w:p w:rsidR="00471DDC" w:rsidRDefault="00B6574A">
            <w:pPr>
              <w:jc w:val="center"/>
            </w:pPr>
            <w:r>
              <w:rPr>
                <w:color w:val="000000"/>
                <w:sz w:val="24"/>
              </w:rPr>
              <w:t>7</w:t>
            </w:r>
          </w:p>
        </w:tc>
        <w:tc>
          <w:tcPr>
            <w:tcW w:w="971" w:type="dxa"/>
            <w:vAlign w:val="center"/>
          </w:tcPr>
          <w:p w:rsidR="00471DDC" w:rsidRDefault="00B6574A">
            <w:pPr>
              <w:jc w:val="center"/>
            </w:pPr>
            <w:r>
              <w:rPr>
                <w:color w:val="000000"/>
                <w:sz w:val="24"/>
              </w:rPr>
              <w:t>SITC International Holdings Company Limited</w:t>
            </w:r>
          </w:p>
        </w:tc>
        <w:tc>
          <w:tcPr>
            <w:tcW w:w="993" w:type="dxa"/>
            <w:vAlign w:val="center"/>
          </w:tcPr>
          <w:p w:rsidR="00471DDC" w:rsidRDefault="00B6574A">
            <w:pPr>
              <w:jc w:val="center"/>
            </w:pPr>
            <w:r>
              <w:rPr>
                <w:color w:val="000000"/>
                <w:sz w:val="24"/>
              </w:rPr>
              <w:t>海丰国际控股有限公司</w:t>
            </w:r>
          </w:p>
        </w:tc>
        <w:tc>
          <w:tcPr>
            <w:tcW w:w="725" w:type="dxa"/>
            <w:vAlign w:val="center"/>
          </w:tcPr>
          <w:p w:rsidR="00471DDC" w:rsidRDefault="00B6574A">
            <w:pPr>
              <w:jc w:val="center"/>
            </w:pPr>
            <w:r>
              <w:rPr>
                <w:color w:val="000000"/>
                <w:sz w:val="24"/>
              </w:rPr>
              <w:t>1308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400,000</w:t>
            </w:r>
          </w:p>
        </w:tc>
        <w:tc>
          <w:tcPr>
            <w:tcW w:w="975" w:type="dxa"/>
            <w:vAlign w:val="center"/>
          </w:tcPr>
          <w:p w:rsidR="00471DDC" w:rsidRDefault="00B6574A">
            <w:pPr>
              <w:jc w:val="right"/>
            </w:pPr>
            <w:r>
              <w:rPr>
                <w:color w:val="000000"/>
                <w:sz w:val="24"/>
              </w:rPr>
              <w:t>2,131,318.37</w:t>
            </w:r>
          </w:p>
        </w:tc>
        <w:tc>
          <w:tcPr>
            <w:tcW w:w="1175" w:type="dxa"/>
            <w:vAlign w:val="center"/>
          </w:tcPr>
          <w:p w:rsidR="00471DDC" w:rsidRDefault="00B6574A">
            <w:pPr>
              <w:jc w:val="right"/>
            </w:pPr>
            <w:r>
              <w:rPr>
                <w:color w:val="000000"/>
                <w:sz w:val="24"/>
              </w:rPr>
              <w:t>4.84</w:t>
            </w:r>
          </w:p>
        </w:tc>
      </w:tr>
      <w:tr w:rsidR="00471DDC">
        <w:trPr>
          <w:jc w:val="center"/>
        </w:trPr>
        <w:tc>
          <w:tcPr>
            <w:tcW w:w="1243" w:type="dxa"/>
            <w:vAlign w:val="center"/>
          </w:tcPr>
          <w:p w:rsidR="00471DDC" w:rsidRDefault="00B6574A">
            <w:pPr>
              <w:jc w:val="center"/>
            </w:pPr>
            <w:r>
              <w:rPr>
                <w:color w:val="000000"/>
                <w:sz w:val="24"/>
              </w:rPr>
              <w:t>8</w:t>
            </w:r>
          </w:p>
        </w:tc>
        <w:tc>
          <w:tcPr>
            <w:tcW w:w="971" w:type="dxa"/>
            <w:vAlign w:val="center"/>
          </w:tcPr>
          <w:p w:rsidR="00471DDC" w:rsidRDefault="00B6574A">
            <w:pPr>
              <w:jc w:val="center"/>
            </w:pPr>
            <w:r>
              <w:rPr>
                <w:color w:val="000000"/>
                <w:sz w:val="24"/>
              </w:rPr>
              <w:t>Fuyao Glass Industry Group Co.,Ltd.</w:t>
            </w:r>
          </w:p>
        </w:tc>
        <w:tc>
          <w:tcPr>
            <w:tcW w:w="993" w:type="dxa"/>
            <w:vAlign w:val="center"/>
          </w:tcPr>
          <w:p w:rsidR="00471DDC" w:rsidRDefault="00B6574A">
            <w:pPr>
              <w:jc w:val="center"/>
            </w:pPr>
            <w:r>
              <w:rPr>
                <w:color w:val="000000"/>
                <w:sz w:val="24"/>
              </w:rPr>
              <w:t>福耀玻璃工业集团股份有限公司</w:t>
            </w:r>
          </w:p>
        </w:tc>
        <w:tc>
          <w:tcPr>
            <w:tcW w:w="725" w:type="dxa"/>
            <w:vAlign w:val="center"/>
          </w:tcPr>
          <w:p w:rsidR="00471DDC" w:rsidRDefault="00B6574A">
            <w:pPr>
              <w:jc w:val="center"/>
            </w:pPr>
            <w:r>
              <w:rPr>
                <w:color w:val="000000"/>
                <w:sz w:val="24"/>
              </w:rPr>
              <w:t>3606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80,000</w:t>
            </w:r>
          </w:p>
        </w:tc>
        <w:tc>
          <w:tcPr>
            <w:tcW w:w="975" w:type="dxa"/>
            <w:vAlign w:val="center"/>
          </w:tcPr>
          <w:p w:rsidR="00471DDC" w:rsidRDefault="00B6574A">
            <w:pPr>
              <w:jc w:val="right"/>
            </w:pPr>
            <w:r>
              <w:rPr>
                <w:color w:val="000000"/>
                <w:sz w:val="24"/>
              </w:rPr>
              <w:t>2,075,779.13</w:t>
            </w:r>
          </w:p>
        </w:tc>
        <w:tc>
          <w:tcPr>
            <w:tcW w:w="1175" w:type="dxa"/>
            <w:vAlign w:val="center"/>
          </w:tcPr>
          <w:p w:rsidR="00471DDC" w:rsidRDefault="00B6574A">
            <w:pPr>
              <w:jc w:val="right"/>
            </w:pPr>
            <w:r>
              <w:rPr>
                <w:color w:val="000000"/>
                <w:sz w:val="24"/>
              </w:rPr>
              <w:t>4.71</w:t>
            </w:r>
          </w:p>
        </w:tc>
      </w:tr>
      <w:tr w:rsidR="00471DDC">
        <w:trPr>
          <w:jc w:val="center"/>
        </w:trPr>
        <w:tc>
          <w:tcPr>
            <w:tcW w:w="1243" w:type="dxa"/>
            <w:vAlign w:val="center"/>
          </w:tcPr>
          <w:p w:rsidR="00471DDC" w:rsidRDefault="00B6574A">
            <w:pPr>
              <w:jc w:val="center"/>
            </w:pPr>
            <w:r>
              <w:rPr>
                <w:color w:val="000000"/>
                <w:sz w:val="24"/>
              </w:rPr>
              <w:t>9</w:t>
            </w:r>
          </w:p>
        </w:tc>
        <w:tc>
          <w:tcPr>
            <w:tcW w:w="971" w:type="dxa"/>
            <w:vAlign w:val="center"/>
          </w:tcPr>
          <w:p w:rsidR="00471DDC" w:rsidRDefault="00B6574A">
            <w:pPr>
              <w:jc w:val="center"/>
            </w:pPr>
            <w:r>
              <w:rPr>
                <w:color w:val="000000"/>
                <w:sz w:val="24"/>
              </w:rPr>
              <w:t>Guangz</w:t>
            </w:r>
            <w:r>
              <w:rPr>
                <w:color w:val="000000"/>
                <w:sz w:val="24"/>
              </w:rPr>
              <w:lastRenderedPageBreak/>
              <w:t>hou Automobile Group Co.,Ltd.</w:t>
            </w:r>
          </w:p>
        </w:tc>
        <w:tc>
          <w:tcPr>
            <w:tcW w:w="993" w:type="dxa"/>
            <w:vAlign w:val="center"/>
          </w:tcPr>
          <w:p w:rsidR="00471DDC" w:rsidRDefault="00B6574A">
            <w:pPr>
              <w:jc w:val="center"/>
            </w:pPr>
            <w:r>
              <w:rPr>
                <w:color w:val="000000"/>
                <w:sz w:val="24"/>
              </w:rPr>
              <w:lastRenderedPageBreak/>
              <w:t>广州汽</w:t>
            </w:r>
            <w:r>
              <w:rPr>
                <w:color w:val="000000"/>
                <w:sz w:val="24"/>
              </w:rPr>
              <w:lastRenderedPageBreak/>
              <w:t>车集团股份有限公司</w:t>
            </w:r>
          </w:p>
        </w:tc>
        <w:tc>
          <w:tcPr>
            <w:tcW w:w="725" w:type="dxa"/>
            <w:vAlign w:val="center"/>
          </w:tcPr>
          <w:p w:rsidR="00471DDC" w:rsidRDefault="00B6574A">
            <w:pPr>
              <w:jc w:val="center"/>
            </w:pPr>
            <w:r>
              <w:rPr>
                <w:color w:val="000000"/>
                <w:sz w:val="24"/>
              </w:rPr>
              <w:lastRenderedPageBreak/>
              <w:t xml:space="preserve">2238 </w:t>
            </w:r>
            <w:r>
              <w:rPr>
                <w:color w:val="000000"/>
                <w:sz w:val="24"/>
              </w:rPr>
              <w:lastRenderedPageBreak/>
              <w:t>HK</w:t>
            </w:r>
          </w:p>
        </w:tc>
        <w:tc>
          <w:tcPr>
            <w:tcW w:w="747" w:type="dxa"/>
            <w:vAlign w:val="center"/>
          </w:tcPr>
          <w:p w:rsidR="00471DDC" w:rsidRDefault="00B6574A">
            <w:pPr>
              <w:jc w:val="center"/>
            </w:pPr>
            <w:r>
              <w:rPr>
                <w:color w:val="000000"/>
                <w:sz w:val="24"/>
              </w:rPr>
              <w:lastRenderedPageBreak/>
              <w:t>香港</w:t>
            </w:r>
            <w:r>
              <w:rPr>
                <w:color w:val="000000"/>
                <w:sz w:val="24"/>
              </w:rPr>
              <w:lastRenderedPageBreak/>
              <w:t>证券交易所</w:t>
            </w:r>
          </w:p>
        </w:tc>
        <w:tc>
          <w:tcPr>
            <w:tcW w:w="975" w:type="dxa"/>
            <w:vAlign w:val="center"/>
          </w:tcPr>
          <w:p w:rsidR="00471DDC" w:rsidRDefault="00B6574A">
            <w:pPr>
              <w:jc w:val="center"/>
            </w:pPr>
            <w:r>
              <w:rPr>
                <w:color w:val="000000"/>
                <w:sz w:val="24"/>
              </w:rPr>
              <w:lastRenderedPageBreak/>
              <w:t>香港</w:t>
            </w:r>
          </w:p>
        </w:tc>
        <w:tc>
          <w:tcPr>
            <w:tcW w:w="1175" w:type="dxa"/>
            <w:vAlign w:val="center"/>
          </w:tcPr>
          <w:p w:rsidR="00471DDC" w:rsidRDefault="00B6574A">
            <w:pPr>
              <w:jc w:val="right"/>
            </w:pPr>
            <w:r>
              <w:rPr>
                <w:color w:val="000000"/>
                <w:sz w:val="24"/>
              </w:rPr>
              <w:t>150,000</w:t>
            </w:r>
          </w:p>
        </w:tc>
        <w:tc>
          <w:tcPr>
            <w:tcW w:w="975" w:type="dxa"/>
            <w:vAlign w:val="center"/>
          </w:tcPr>
          <w:p w:rsidR="00471DDC" w:rsidRDefault="00B6574A">
            <w:pPr>
              <w:jc w:val="right"/>
            </w:pPr>
            <w:r>
              <w:rPr>
                <w:color w:val="000000"/>
                <w:sz w:val="24"/>
              </w:rPr>
              <w:t>1,783,3</w:t>
            </w:r>
            <w:r>
              <w:rPr>
                <w:color w:val="000000"/>
                <w:sz w:val="24"/>
              </w:rPr>
              <w:lastRenderedPageBreak/>
              <w:t>30.32</w:t>
            </w:r>
          </w:p>
        </w:tc>
        <w:tc>
          <w:tcPr>
            <w:tcW w:w="1175" w:type="dxa"/>
            <w:vAlign w:val="center"/>
          </w:tcPr>
          <w:p w:rsidR="00471DDC" w:rsidRDefault="00B6574A">
            <w:pPr>
              <w:jc w:val="right"/>
            </w:pPr>
            <w:r>
              <w:rPr>
                <w:color w:val="000000"/>
                <w:sz w:val="24"/>
              </w:rPr>
              <w:lastRenderedPageBreak/>
              <w:t>4.05</w:t>
            </w:r>
          </w:p>
        </w:tc>
      </w:tr>
      <w:tr w:rsidR="00471DDC">
        <w:trPr>
          <w:jc w:val="center"/>
        </w:trPr>
        <w:tc>
          <w:tcPr>
            <w:tcW w:w="1243" w:type="dxa"/>
            <w:vAlign w:val="center"/>
          </w:tcPr>
          <w:p w:rsidR="00471DDC" w:rsidRDefault="00B6574A">
            <w:pPr>
              <w:jc w:val="center"/>
            </w:pPr>
            <w:r>
              <w:rPr>
                <w:color w:val="000000"/>
                <w:sz w:val="24"/>
              </w:rPr>
              <w:t>10</w:t>
            </w:r>
          </w:p>
        </w:tc>
        <w:tc>
          <w:tcPr>
            <w:tcW w:w="971" w:type="dxa"/>
            <w:vAlign w:val="center"/>
          </w:tcPr>
          <w:p w:rsidR="00471DDC" w:rsidRDefault="00B6574A">
            <w:pPr>
              <w:jc w:val="center"/>
            </w:pPr>
            <w:r>
              <w:rPr>
                <w:color w:val="000000"/>
                <w:sz w:val="24"/>
              </w:rPr>
              <w:t>Yihai International Holding Ltd.</w:t>
            </w:r>
          </w:p>
        </w:tc>
        <w:tc>
          <w:tcPr>
            <w:tcW w:w="993" w:type="dxa"/>
            <w:vAlign w:val="center"/>
          </w:tcPr>
          <w:p w:rsidR="00471DDC" w:rsidRDefault="00B6574A">
            <w:pPr>
              <w:jc w:val="center"/>
            </w:pPr>
            <w:r>
              <w:rPr>
                <w:color w:val="000000"/>
                <w:sz w:val="24"/>
              </w:rPr>
              <w:t>颐海国际控股有限公司</w:t>
            </w:r>
          </w:p>
        </w:tc>
        <w:tc>
          <w:tcPr>
            <w:tcW w:w="725" w:type="dxa"/>
            <w:vAlign w:val="center"/>
          </w:tcPr>
          <w:p w:rsidR="00471DDC" w:rsidRDefault="00B6574A">
            <w:pPr>
              <w:jc w:val="center"/>
            </w:pPr>
            <w:r>
              <w:rPr>
                <w:color w:val="000000"/>
                <w:sz w:val="24"/>
              </w:rPr>
              <w:t>1579 HK</w:t>
            </w:r>
          </w:p>
        </w:tc>
        <w:tc>
          <w:tcPr>
            <w:tcW w:w="747" w:type="dxa"/>
            <w:vAlign w:val="center"/>
          </w:tcPr>
          <w:p w:rsidR="00471DDC" w:rsidRDefault="00B6574A">
            <w:pPr>
              <w:jc w:val="center"/>
            </w:pPr>
            <w:r>
              <w:rPr>
                <w:color w:val="000000"/>
                <w:sz w:val="24"/>
              </w:rPr>
              <w:t>香港证券交易所</w:t>
            </w:r>
          </w:p>
        </w:tc>
        <w:tc>
          <w:tcPr>
            <w:tcW w:w="975" w:type="dxa"/>
            <w:vAlign w:val="center"/>
          </w:tcPr>
          <w:p w:rsidR="00471DDC" w:rsidRDefault="00B6574A">
            <w:pPr>
              <w:jc w:val="center"/>
            </w:pPr>
            <w:r>
              <w:rPr>
                <w:color w:val="000000"/>
                <w:sz w:val="24"/>
              </w:rPr>
              <w:t>香港</w:t>
            </w:r>
          </w:p>
        </w:tc>
        <w:tc>
          <w:tcPr>
            <w:tcW w:w="1175" w:type="dxa"/>
            <w:vAlign w:val="center"/>
          </w:tcPr>
          <w:p w:rsidR="00471DDC" w:rsidRDefault="00B6574A">
            <w:pPr>
              <w:jc w:val="right"/>
            </w:pPr>
            <w:r>
              <w:rPr>
                <w:color w:val="000000"/>
                <w:sz w:val="24"/>
              </w:rPr>
              <w:t>400,000</w:t>
            </w:r>
          </w:p>
        </w:tc>
        <w:tc>
          <w:tcPr>
            <w:tcW w:w="975" w:type="dxa"/>
            <w:vAlign w:val="center"/>
          </w:tcPr>
          <w:p w:rsidR="00471DDC" w:rsidRDefault="00B6574A">
            <w:pPr>
              <w:jc w:val="right"/>
            </w:pPr>
            <w:r>
              <w:rPr>
                <w:color w:val="000000"/>
                <w:sz w:val="24"/>
              </w:rPr>
              <w:t>1,700,889.25</w:t>
            </w:r>
          </w:p>
        </w:tc>
        <w:tc>
          <w:tcPr>
            <w:tcW w:w="1175" w:type="dxa"/>
            <w:vAlign w:val="center"/>
          </w:tcPr>
          <w:p w:rsidR="00471DDC" w:rsidRDefault="00B6574A">
            <w:pPr>
              <w:jc w:val="right"/>
            </w:pPr>
            <w:r>
              <w:rPr>
                <w:color w:val="000000"/>
                <w:sz w:val="24"/>
              </w:rPr>
              <w:t>3.86</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529,863.12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642,429.80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448.20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63,524.08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1,236,265.20</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50,421,464.92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2,695,979.30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21,310,792.65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31,806,651.57</w:t>
            </w:r>
          </w:p>
        </w:tc>
      </w:tr>
    </w:tbl>
    <w:p w:rsidR="00471DDC" w:rsidRDefault="00B6574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471DDC" w:rsidRDefault="00B6574A">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471DDC" w:rsidRDefault="00B6574A">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471DDC" w:rsidRDefault="00B6574A">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471DDC" w:rsidRDefault="00B6574A">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471DDC" w:rsidRDefault="00B6574A">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471DDC" w:rsidRDefault="00B657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4A" w:rsidRDefault="00B6574A">
      <w:r>
        <w:separator/>
      </w:r>
    </w:p>
  </w:endnote>
  <w:endnote w:type="continuationSeparator" w:id="0">
    <w:p w:rsidR="00B6574A" w:rsidRDefault="00B6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867EA3">
      <w:rPr>
        <w:noProof/>
        <w:kern w:val="0"/>
        <w:szCs w:val="21"/>
      </w:rPr>
      <w:t>1</w:t>
    </w:r>
    <w:r w:rsidR="000C31D4">
      <w:rPr>
        <w:kern w:val="0"/>
        <w:szCs w:val="21"/>
      </w:rPr>
      <w:fldChar w:fldCharType="end"/>
    </w:r>
    <w:r>
      <w:rPr>
        <w:rFonts w:hint="eastAsia"/>
        <w:kern w:val="0"/>
        <w:szCs w:val="21"/>
      </w:rPr>
      <w:t>页共</w:t>
    </w:r>
    <w:r w:rsidR="000C31D4">
      <w:rPr>
        <w:kern w:val="0"/>
        <w:szCs w:val="21"/>
      </w:rPr>
      <w:fldChar w:fldCharType="begin"/>
    </w:r>
    <w:r>
      <w:rPr>
        <w:kern w:val="0"/>
        <w:szCs w:val="21"/>
      </w:rPr>
      <w:instrText xml:space="preserve"> NUMPAGES </w:instrText>
    </w:r>
    <w:r w:rsidR="000C31D4">
      <w:rPr>
        <w:kern w:val="0"/>
        <w:szCs w:val="21"/>
      </w:rPr>
      <w:fldChar w:fldCharType="separate"/>
    </w:r>
    <w:r w:rsidR="00867EA3">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4A" w:rsidRDefault="00B6574A">
      <w:r>
        <w:separator/>
      </w:r>
    </w:p>
  </w:footnote>
  <w:footnote w:type="continuationSeparator" w:id="0">
    <w:p w:rsidR="00B6574A" w:rsidRDefault="00B6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1DDC"/>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67EA3"/>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74A"/>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3AC1168-F58B-41CC-B4CE-90506F0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102</TotalTime>
  <Pages>13</Pages>
  <Words>1150</Words>
  <Characters>6557</Characters>
  <Application>Microsoft Office Word</Application>
  <DocSecurity>0</DocSecurity>
  <Lines>54</Lines>
  <Paragraphs>15</Paragraphs>
  <ScaleCrop>false</ScaleCrop>
  <Company>TRT. Ltd. Co.</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239</cp:revision>
  <cp:lastPrinted>2007-07-19T00:46:00Z</cp:lastPrinted>
  <dcterms:created xsi:type="dcterms:W3CDTF">2013-08-01T05:26:00Z</dcterms:created>
  <dcterms:modified xsi:type="dcterms:W3CDTF">2017-07-18T07:17:00Z</dcterms:modified>
</cp:coreProperties>
</file>