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二〇一七年七月二十日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87A59" w:rsidRDefault="001962C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69,554,155.24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 xml:space="preserve">(S&amp;P Global </w:t>
            </w:r>
            <w:proofErr w:type="spellStart"/>
            <w:r w:rsidRPr="008640AE">
              <w:rPr>
                <w:color w:val="000000"/>
                <w:kern w:val="0"/>
                <w:sz w:val="24"/>
              </w:rPr>
              <w:t>LargeMidCap</w:t>
            </w:r>
            <w:proofErr w:type="spellEnd"/>
            <w:r w:rsidRPr="008640AE">
              <w:rPr>
                <w:color w:val="000000"/>
                <w:kern w:val="0"/>
                <w:sz w:val="24"/>
              </w:rPr>
              <w:t xml:space="preserve">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F6A2A" w:rsidRPr="008640AE" w:rsidTr="00FF6A2A">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FF6A2A" w:rsidRPr="008640AE" w:rsidTr="00FF6A2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1,046,344.31</w:t>
            </w:r>
          </w:p>
        </w:tc>
      </w:tr>
      <w:tr w:rsidR="00FF6A2A" w:rsidRPr="008640AE" w:rsidTr="00FF6A2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2,638,577.26</w:t>
            </w:r>
          </w:p>
        </w:tc>
      </w:tr>
      <w:tr w:rsidR="00FF6A2A" w:rsidRPr="008640AE" w:rsidTr="00FF6A2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0.0360</w:t>
            </w:r>
          </w:p>
        </w:tc>
      </w:tr>
      <w:tr w:rsidR="00FF6A2A" w:rsidRPr="008640AE" w:rsidTr="00FF6A2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118,498,214.49</w:t>
            </w:r>
          </w:p>
        </w:tc>
      </w:tr>
      <w:tr w:rsidR="00FF6A2A" w:rsidRPr="008640AE" w:rsidTr="00FF6A2A">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1.704</w:t>
            </w:r>
          </w:p>
        </w:tc>
      </w:tr>
    </w:tbl>
    <w:p w:rsidR="00087A59" w:rsidRDefault="001962C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87A59">
        <w:trPr>
          <w:jc w:val="center"/>
        </w:trPr>
        <w:tc>
          <w:tcPr>
            <w:tcW w:w="1701" w:type="dxa"/>
            <w:vAlign w:val="center"/>
          </w:tcPr>
          <w:p w:rsidR="00087A59" w:rsidRDefault="001962CB">
            <w:pPr>
              <w:jc w:val="left"/>
            </w:pPr>
            <w:r>
              <w:rPr>
                <w:color w:val="000000"/>
                <w:sz w:val="24"/>
              </w:rPr>
              <w:t>过去三个月</w:t>
            </w:r>
          </w:p>
        </w:tc>
        <w:tc>
          <w:tcPr>
            <w:tcW w:w="1194" w:type="dxa"/>
            <w:vAlign w:val="center"/>
          </w:tcPr>
          <w:p w:rsidR="00087A59" w:rsidRDefault="001962CB">
            <w:pPr>
              <w:jc w:val="right"/>
            </w:pPr>
            <w:r>
              <w:rPr>
                <w:color w:val="000000"/>
                <w:sz w:val="24"/>
              </w:rPr>
              <w:t>2.10%</w:t>
            </w:r>
          </w:p>
        </w:tc>
        <w:tc>
          <w:tcPr>
            <w:tcW w:w="1194" w:type="dxa"/>
            <w:vAlign w:val="center"/>
          </w:tcPr>
          <w:p w:rsidR="00087A59" w:rsidRDefault="001962CB">
            <w:pPr>
              <w:jc w:val="right"/>
            </w:pPr>
            <w:r>
              <w:rPr>
                <w:color w:val="000000"/>
                <w:sz w:val="24"/>
              </w:rPr>
              <w:t>0.45%</w:t>
            </w:r>
          </w:p>
        </w:tc>
        <w:tc>
          <w:tcPr>
            <w:tcW w:w="1194" w:type="dxa"/>
            <w:vAlign w:val="center"/>
          </w:tcPr>
          <w:p w:rsidR="00087A59" w:rsidRDefault="001962CB">
            <w:pPr>
              <w:jc w:val="right"/>
            </w:pPr>
            <w:r>
              <w:rPr>
                <w:color w:val="000000"/>
                <w:sz w:val="24"/>
              </w:rPr>
              <w:t>4.52%</w:t>
            </w:r>
          </w:p>
        </w:tc>
        <w:tc>
          <w:tcPr>
            <w:tcW w:w="1343" w:type="dxa"/>
            <w:vAlign w:val="center"/>
          </w:tcPr>
          <w:p w:rsidR="00087A59" w:rsidRDefault="001962CB">
            <w:pPr>
              <w:jc w:val="right"/>
            </w:pPr>
            <w:r>
              <w:rPr>
                <w:color w:val="000000"/>
                <w:sz w:val="24"/>
              </w:rPr>
              <w:t>0.41%</w:t>
            </w:r>
          </w:p>
        </w:tc>
        <w:tc>
          <w:tcPr>
            <w:tcW w:w="1194" w:type="dxa"/>
            <w:vAlign w:val="center"/>
          </w:tcPr>
          <w:p w:rsidR="00087A59" w:rsidRDefault="001962CB">
            <w:pPr>
              <w:jc w:val="right"/>
            </w:pPr>
            <w:r>
              <w:rPr>
                <w:color w:val="000000"/>
                <w:sz w:val="24"/>
              </w:rPr>
              <w:t>-2.42%</w:t>
            </w:r>
          </w:p>
        </w:tc>
        <w:tc>
          <w:tcPr>
            <w:tcW w:w="1048" w:type="dxa"/>
            <w:vAlign w:val="center"/>
          </w:tcPr>
          <w:p w:rsidR="00087A59" w:rsidRDefault="001962CB">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87A59">
        <w:trPr>
          <w:jc w:val="center"/>
        </w:trPr>
        <w:tc>
          <w:tcPr>
            <w:tcW w:w="846" w:type="dxa"/>
            <w:vAlign w:val="center"/>
          </w:tcPr>
          <w:p w:rsidR="00087A59" w:rsidRDefault="001962CB">
            <w:pPr>
              <w:jc w:val="center"/>
            </w:pPr>
            <w:r>
              <w:rPr>
                <w:color w:val="000000"/>
                <w:sz w:val="24"/>
              </w:rPr>
              <w:t>陈俊华</w:t>
            </w:r>
          </w:p>
        </w:tc>
        <w:tc>
          <w:tcPr>
            <w:tcW w:w="845" w:type="dxa"/>
            <w:vAlign w:val="center"/>
          </w:tcPr>
          <w:p w:rsidR="00087A59" w:rsidRDefault="001962CB">
            <w:pPr>
              <w:jc w:val="center"/>
            </w:pPr>
            <w:r>
              <w:rPr>
                <w:color w:val="000000"/>
                <w:sz w:val="24"/>
              </w:rPr>
              <w:t>交银环球精选混合</w:t>
            </w:r>
            <w:r>
              <w:rPr>
                <w:color w:val="000000"/>
                <w:sz w:val="24"/>
              </w:rPr>
              <w:t>(QDII)</w:t>
            </w:r>
            <w:r>
              <w:rPr>
                <w:color w:val="000000"/>
                <w:sz w:val="24"/>
              </w:rPr>
              <w:t>、交银全球资</w:t>
            </w:r>
            <w:r>
              <w:rPr>
                <w:color w:val="000000"/>
                <w:sz w:val="24"/>
              </w:rPr>
              <w:lastRenderedPageBreak/>
              <w:t>源混合</w:t>
            </w:r>
            <w:r>
              <w:rPr>
                <w:color w:val="000000"/>
                <w:sz w:val="24"/>
              </w:rPr>
              <w:t>(QDII)</w:t>
            </w:r>
            <w:r>
              <w:rPr>
                <w:color w:val="000000"/>
                <w:sz w:val="24"/>
              </w:rPr>
              <w:t>、交银沪港深价值精选混合的基金经理</w:t>
            </w:r>
          </w:p>
        </w:tc>
        <w:tc>
          <w:tcPr>
            <w:tcW w:w="1549" w:type="dxa"/>
            <w:vAlign w:val="center"/>
          </w:tcPr>
          <w:p w:rsidR="00087A59" w:rsidRDefault="001962CB">
            <w:pPr>
              <w:jc w:val="center"/>
            </w:pPr>
            <w:r>
              <w:rPr>
                <w:color w:val="000000"/>
                <w:sz w:val="24"/>
              </w:rPr>
              <w:lastRenderedPageBreak/>
              <w:t>2015-11-21</w:t>
            </w:r>
          </w:p>
        </w:tc>
        <w:tc>
          <w:tcPr>
            <w:tcW w:w="1548" w:type="dxa"/>
            <w:vAlign w:val="center"/>
          </w:tcPr>
          <w:p w:rsidR="00087A59" w:rsidRDefault="001962CB">
            <w:pPr>
              <w:jc w:val="center"/>
            </w:pPr>
            <w:r>
              <w:rPr>
                <w:color w:val="000000"/>
                <w:sz w:val="24"/>
              </w:rPr>
              <w:t>-</w:t>
            </w:r>
          </w:p>
        </w:tc>
        <w:tc>
          <w:tcPr>
            <w:tcW w:w="1407" w:type="dxa"/>
            <w:vAlign w:val="center"/>
          </w:tcPr>
          <w:p w:rsidR="00087A59" w:rsidRDefault="001962CB">
            <w:pPr>
              <w:jc w:val="center"/>
            </w:pPr>
            <w:r>
              <w:rPr>
                <w:color w:val="000000"/>
                <w:sz w:val="24"/>
              </w:rPr>
              <w:t>12</w:t>
            </w:r>
            <w:r>
              <w:rPr>
                <w:color w:val="000000"/>
                <w:sz w:val="24"/>
              </w:rPr>
              <w:t>年</w:t>
            </w:r>
          </w:p>
        </w:tc>
        <w:tc>
          <w:tcPr>
            <w:tcW w:w="2673" w:type="dxa"/>
            <w:vAlign w:val="center"/>
          </w:tcPr>
          <w:p w:rsidR="00087A59" w:rsidRDefault="001962CB">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087A59">
        <w:trPr>
          <w:jc w:val="center"/>
        </w:trPr>
        <w:tc>
          <w:tcPr>
            <w:tcW w:w="846" w:type="dxa"/>
            <w:vAlign w:val="center"/>
          </w:tcPr>
          <w:p w:rsidR="00087A59" w:rsidRDefault="001962CB">
            <w:pPr>
              <w:jc w:val="center"/>
            </w:pPr>
            <w:r>
              <w:rPr>
                <w:color w:val="000000"/>
                <w:sz w:val="24"/>
              </w:rPr>
              <w:t>周中</w:t>
            </w:r>
          </w:p>
        </w:tc>
        <w:tc>
          <w:tcPr>
            <w:tcW w:w="845" w:type="dxa"/>
            <w:vAlign w:val="center"/>
          </w:tcPr>
          <w:p w:rsidR="00087A59" w:rsidRDefault="001962CB">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087A59" w:rsidRDefault="001962CB">
            <w:pPr>
              <w:jc w:val="center"/>
            </w:pPr>
            <w:r>
              <w:rPr>
                <w:color w:val="000000"/>
                <w:sz w:val="24"/>
              </w:rPr>
              <w:t>2015-12-12</w:t>
            </w:r>
          </w:p>
        </w:tc>
        <w:tc>
          <w:tcPr>
            <w:tcW w:w="1548" w:type="dxa"/>
            <w:vAlign w:val="center"/>
          </w:tcPr>
          <w:p w:rsidR="00087A59" w:rsidRDefault="001962CB">
            <w:pPr>
              <w:jc w:val="center"/>
            </w:pPr>
            <w:r>
              <w:rPr>
                <w:color w:val="000000"/>
                <w:sz w:val="24"/>
              </w:rPr>
              <w:t>-</w:t>
            </w:r>
          </w:p>
        </w:tc>
        <w:tc>
          <w:tcPr>
            <w:tcW w:w="1407" w:type="dxa"/>
            <w:vAlign w:val="center"/>
          </w:tcPr>
          <w:p w:rsidR="00087A59" w:rsidRDefault="001962CB">
            <w:pPr>
              <w:jc w:val="center"/>
            </w:pPr>
            <w:r>
              <w:rPr>
                <w:color w:val="000000"/>
                <w:sz w:val="24"/>
              </w:rPr>
              <w:t>8</w:t>
            </w:r>
            <w:r>
              <w:rPr>
                <w:color w:val="000000"/>
                <w:sz w:val="24"/>
              </w:rPr>
              <w:t>年</w:t>
            </w:r>
          </w:p>
        </w:tc>
        <w:tc>
          <w:tcPr>
            <w:tcW w:w="2673" w:type="dxa"/>
            <w:vAlign w:val="center"/>
          </w:tcPr>
          <w:p w:rsidR="00087A59" w:rsidRDefault="001962CB">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087A59">
        <w:trPr>
          <w:jc w:val="center"/>
        </w:trPr>
        <w:tc>
          <w:tcPr>
            <w:tcW w:w="2070" w:type="dxa"/>
            <w:vAlign w:val="center"/>
          </w:tcPr>
          <w:p w:rsidR="00087A59" w:rsidRDefault="001962CB">
            <w:pPr>
              <w:jc w:val="center"/>
            </w:pPr>
            <w:r>
              <w:rPr>
                <w:color w:val="000000"/>
                <w:sz w:val="24"/>
              </w:rPr>
              <w:t>Simon Webber</w:t>
            </w:r>
          </w:p>
        </w:tc>
        <w:tc>
          <w:tcPr>
            <w:tcW w:w="2465" w:type="dxa"/>
            <w:vAlign w:val="center"/>
          </w:tcPr>
          <w:p w:rsidR="00087A59" w:rsidRDefault="001962CB">
            <w:pPr>
              <w:jc w:val="center"/>
            </w:pPr>
            <w:r>
              <w:rPr>
                <w:color w:val="000000"/>
                <w:sz w:val="24"/>
              </w:rPr>
              <w:t>施罗德集团多区域（全球及国际）股票投资主管、全球和国际股票基金经理、全球气候变化股票基金经理</w:t>
            </w:r>
          </w:p>
        </w:tc>
        <w:tc>
          <w:tcPr>
            <w:tcW w:w="2116" w:type="dxa"/>
            <w:vAlign w:val="center"/>
          </w:tcPr>
          <w:p w:rsidR="00087A59" w:rsidRDefault="001962CB">
            <w:pPr>
              <w:jc w:val="center"/>
            </w:pPr>
            <w:r>
              <w:rPr>
                <w:color w:val="000000"/>
                <w:sz w:val="24"/>
              </w:rPr>
              <w:t>18</w:t>
            </w:r>
            <w:r>
              <w:rPr>
                <w:color w:val="000000"/>
                <w:sz w:val="24"/>
              </w:rPr>
              <w:t>年</w:t>
            </w:r>
          </w:p>
        </w:tc>
        <w:tc>
          <w:tcPr>
            <w:tcW w:w="2217" w:type="dxa"/>
            <w:vAlign w:val="center"/>
          </w:tcPr>
          <w:p w:rsidR="00087A59" w:rsidRDefault="001962CB">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087A59" w:rsidRDefault="001962C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7A59" w:rsidRDefault="001962C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7A59" w:rsidRDefault="001962C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087A59" w:rsidRDefault="001962CB">
      <w:pPr>
        <w:spacing w:before="29" w:line="288" w:lineRule="auto"/>
        <w:ind w:firstLineChars="200" w:firstLine="480"/>
        <w:rPr>
          <w:color w:val="000000"/>
          <w:sz w:val="24"/>
        </w:rPr>
      </w:pPr>
      <w:r>
        <w:rPr>
          <w:color w:val="000000"/>
          <w:sz w:val="24"/>
        </w:rPr>
        <w:t>2017</w:t>
      </w:r>
      <w:r>
        <w:rPr>
          <w:color w:val="000000"/>
          <w:sz w:val="24"/>
        </w:rPr>
        <w:t>年二季度，全球主要资本市场都出现一定上扬，交易偏好继续向大盘蓝筹集中，共同体现出权重股</w:t>
      </w:r>
      <w:r>
        <w:rPr>
          <w:color w:val="000000"/>
          <w:sz w:val="24"/>
        </w:rPr>
        <w:t>“</w:t>
      </w:r>
      <w:r>
        <w:rPr>
          <w:color w:val="000000"/>
          <w:sz w:val="24"/>
        </w:rPr>
        <w:t>估值修复</w:t>
      </w:r>
      <w:r>
        <w:rPr>
          <w:color w:val="000000"/>
          <w:sz w:val="24"/>
        </w:rPr>
        <w:t>”</w:t>
      </w:r>
      <w:r>
        <w:rPr>
          <w:color w:val="000000"/>
          <w:sz w:val="24"/>
        </w:rPr>
        <w:t>带动指数上扬的特征。欧美方面，在美国加息、缩表等预期指引下，市场涨幅低于一季度。香港市场，获益于国内资金南下，恒指仍然获得超过</w:t>
      </w:r>
      <w:r>
        <w:rPr>
          <w:color w:val="000000"/>
          <w:sz w:val="24"/>
        </w:rPr>
        <w:t>5%</w:t>
      </w:r>
      <w:r>
        <w:rPr>
          <w:color w:val="000000"/>
          <w:sz w:val="24"/>
        </w:rPr>
        <w:t>的涨幅，值得注意的是，腾讯、汇丰、友邦和平安等个股贡献了恒指超过七成的上涨。交易拥挤以及获利较多使得香港市场变得谨慎，市场短期波动加大。</w:t>
      </w:r>
    </w:p>
    <w:p w:rsidR="00087A59" w:rsidRDefault="001962CB">
      <w:pPr>
        <w:spacing w:before="29" w:line="288" w:lineRule="auto"/>
        <w:ind w:firstLineChars="200" w:firstLine="480"/>
        <w:rPr>
          <w:color w:val="000000"/>
          <w:sz w:val="24"/>
        </w:rPr>
      </w:pPr>
      <w:r>
        <w:rPr>
          <w:color w:val="000000"/>
          <w:sz w:val="24"/>
        </w:rPr>
        <w:t>本基金在二季度总体呈高仓位运作，获得一定正回报。欧美股市方面，精选行业龙头，在可选消费、医药、金融等领域加大布局，港股方面，我们较欧美股市更为乐观，</w:t>
      </w:r>
      <w:r>
        <w:rPr>
          <w:color w:val="000000"/>
          <w:sz w:val="24"/>
        </w:rPr>
        <w:lastRenderedPageBreak/>
        <w:t>在</w:t>
      </w:r>
      <w:r>
        <w:rPr>
          <w:color w:val="000000"/>
          <w:sz w:val="24"/>
        </w:rPr>
        <w:t>TMT</w:t>
      </w:r>
      <w:r>
        <w:rPr>
          <w:color w:val="000000"/>
          <w:sz w:val="24"/>
        </w:rPr>
        <w:t>、资源和医药领域加大了配置，精选了一些汽车个股，减少了公用事业、工业和通讯领域的配置比例。此外，我们密切关注建筑、轨交领域的变化。</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三季度及下半年，我们谨慎乐观，关注结构性机会，趋势性的上涨依赖经济增速的逐步明朗。美国已经明确加息和缩表，在经济复苏阶段，我们认为持续偏紧的概率不大，但复苏不会一蹴而就，过程中难免有波动。欧洲市场仍有不确定性因素。香港市场，我们则相对乐观，尽管上半年涨幅较大，但借助中国整体经济的稳健增长以及相对较低的估值，我们认为下半年结构性机会仍在，我们偏好消费、科技和一带一路领域的相关标的。我们仍坚持精选个股的投资策略，寻找业绩确定性高、可持续发展的公司，我们将一如既往勤勉努力地努力为投资者赚取较为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1.704</w:t>
      </w:r>
      <w:r w:rsidRPr="008640AE">
        <w:rPr>
          <w:color w:val="000000"/>
          <w:sz w:val="24"/>
        </w:rPr>
        <w:t>元，本报告期份额净值增长率为</w:t>
      </w:r>
      <w:r w:rsidRPr="008640AE">
        <w:rPr>
          <w:color w:val="000000"/>
          <w:sz w:val="24"/>
        </w:rPr>
        <w:t>2.10%</w:t>
      </w:r>
      <w:r w:rsidRPr="008640AE">
        <w:rPr>
          <w:color w:val="000000"/>
          <w:sz w:val="24"/>
        </w:rPr>
        <w:t>，同期业绩比较基准增长率为</w:t>
      </w:r>
      <w:r w:rsidRPr="008640AE">
        <w:rPr>
          <w:color w:val="000000"/>
          <w:sz w:val="24"/>
        </w:rPr>
        <w:t>4.52%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110,071,689.29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89.75</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108,310,220.57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88.32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1,761,468.72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1.44</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10,189,920.53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8.31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2,375,453.84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1.94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122,637,063.66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87A59">
        <w:trPr>
          <w:jc w:val="center"/>
        </w:trPr>
        <w:tc>
          <w:tcPr>
            <w:tcW w:w="2484" w:type="dxa"/>
            <w:vAlign w:val="center"/>
          </w:tcPr>
          <w:p w:rsidR="00087A59" w:rsidRDefault="001962CB">
            <w:pPr>
              <w:jc w:val="left"/>
            </w:pPr>
            <w:r>
              <w:rPr>
                <w:color w:val="000000"/>
                <w:sz w:val="24"/>
              </w:rPr>
              <w:t>美国</w:t>
            </w:r>
          </w:p>
        </w:tc>
        <w:tc>
          <w:tcPr>
            <w:tcW w:w="3214" w:type="dxa"/>
            <w:vAlign w:val="center"/>
          </w:tcPr>
          <w:p w:rsidR="00087A59" w:rsidRDefault="001962CB">
            <w:pPr>
              <w:jc w:val="right"/>
            </w:pPr>
            <w:r>
              <w:rPr>
                <w:color w:val="000000"/>
                <w:sz w:val="24"/>
              </w:rPr>
              <w:t>51,590,060.19</w:t>
            </w:r>
          </w:p>
        </w:tc>
        <w:tc>
          <w:tcPr>
            <w:tcW w:w="3170" w:type="dxa"/>
            <w:vAlign w:val="center"/>
          </w:tcPr>
          <w:p w:rsidR="00087A59" w:rsidRDefault="001962CB">
            <w:pPr>
              <w:jc w:val="right"/>
            </w:pPr>
            <w:r>
              <w:rPr>
                <w:color w:val="000000"/>
                <w:sz w:val="24"/>
              </w:rPr>
              <w:t>43.54</w:t>
            </w:r>
          </w:p>
        </w:tc>
      </w:tr>
      <w:tr w:rsidR="00087A59">
        <w:trPr>
          <w:jc w:val="center"/>
        </w:trPr>
        <w:tc>
          <w:tcPr>
            <w:tcW w:w="2484" w:type="dxa"/>
            <w:vAlign w:val="center"/>
          </w:tcPr>
          <w:p w:rsidR="00087A59" w:rsidRDefault="001962CB">
            <w:pPr>
              <w:jc w:val="left"/>
            </w:pPr>
            <w:r>
              <w:rPr>
                <w:color w:val="000000"/>
                <w:sz w:val="24"/>
              </w:rPr>
              <w:t>香港</w:t>
            </w:r>
          </w:p>
        </w:tc>
        <w:tc>
          <w:tcPr>
            <w:tcW w:w="3214" w:type="dxa"/>
            <w:vAlign w:val="center"/>
          </w:tcPr>
          <w:p w:rsidR="00087A59" w:rsidRDefault="001962CB">
            <w:pPr>
              <w:jc w:val="right"/>
            </w:pPr>
            <w:r>
              <w:rPr>
                <w:color w:val="000000"/>
                <w:sz w:val="24"/>
              </w:rPr>
              <w:t>35,999,633.49</w:t>
            </w:r>
          </w:p>
        </w:tc>
        <w:tc>
          <w:tcPr>
            <w:tcW w:w="3170" w:type="dxa"/>
            <w:vAlign w:val="center"/>
          </w:tcPr>
          <w:p w:rsidR="00087A59" w:rsidRDefault="001962CB">
            <w:pPr>
              <w:jc w:val="right"/>
            </w:pPr>
            <w:r>
              <w:rPr>
                <w:color w:val="000000"/>
                <w:sz w:val="24"/>
              </w:rPr>
              <w:t>30.38</w:t>
            </w:r>
          </w:p>
        </w:tc>
      </w:tr>
      <w:tr w:rsidR="00087A59">
        <w:trPr>
          <w:jc w:val="center"/>
        </w:trPr>
        <w:tc>
          <w:tcPr>
            <w:tcW w:w="2484" w:type="dxa"/>
            <w:vAlign w:val="center"/>
          </w:tcPr>
          <w:p w:rsidR="00087A59" w:rsidRDefault="001962CB">
            <w:pPr>
              <w:jc w:val="left"/>
            </w:pPr>
            <w:r>
              <w:rPr>
                <w:color w:val="000000"/>
                <w:sz w:val="24"/>
              </w:rPr>
              <w:t>日本</w:t>
            </w:r>
          </w:p>
        </w:tc>
        <w:tc>
          <w:tcPr>
            <w:tcW w:w="3214" w:type="dxa"/>
            <w:vAlign w:val="center"/>
          </w:tcPr>
          <w:p w:rsidR="00087A59" w:rsidRDefault="001962CB">
            <w:pPr>
              <w:jc w:val="right"/>
            </w:pPr>
            <w:r>
              <w:rPr>
                <w:color w:val="000000"/>
                <w:sz w:val="24"/>
              </w:rPr>
              <w:t>5,414,351.12</w:t>
            </w:r>
          </w:p>
        </w:tc>
        <w:tc>
          <w:tcPr>
            <w:tcW w:w="3170" w:type="dxa"/>
            <w:vAlign w:val="center"/>
          </w:tcPr>
          <w:p w:rsidR="00087A59" w:rsidRDefault="001962CB">
            <w:pPr>
              <w:jc w:val="right"/>
            </w:pPr>
            <w:r>
              <w:rPr>
                <w:color w:val="000000"/>
                <w:sz w:val="24"/>
              </w:rPr>
              <w:t>4.57</w:t>
            </w:r>
          </w:p>
        </w:tc>
      </w:tr>
      <w:tr w:rsidR="00087A59">
        <w:trPr>
          <w:jc w:val="center"/>
        </w:trPr>
        <w:tc>
          <w:tcPr>
            <w:tcW w:w="2484" w:type="dxa"/>
            <w:vAlign w:val="center"/>
          </w:tcPr>
          <w:p w:rsidR="00087A59" w:rsidRDefault="001962CB">
            <w:pPr>
              <w:jc w:val="left"/>
            </w:pPr>
            <w:r>
              <w:rPr>
                <w:color w:val="000000"/>
                <w:sz w:val="24"/>
              </w:rPr>
              <w:t>德国</w:t>
            </w:r>
          </w:p>
        </w:tc>
        <w:tc>
          <w:tcPr>
            <w:tcW w:w="3214" w:type="dxa"/>
            <w:vAlign w:val="center"/>
          </w:tcPr>
          <w:p w:rsidR="00087A59" w:rsidRDefault="001962CB">
            <w:pPr>
              <w:jc w:val="right"/>
            </w:pPr>
            <w:r>
              <w:rPr>
                <w:color w:val="000000"/>
                <w:sz w:val="24"/>
              </w:rPr>
              <w:t>3,245,169.77</w:t>
            </w:r>
          </w:p>
        </w:tc>
        <w:tc>
          <w:tcPr>
            <w:tcW w:w="3170" w:type="dxa"/>
            <w:vAlign w:val="center"/>
          </w:tcPr>
          <w:p w:rsidR="00087A59" w:rsidRDefault="001962CB">
            <w:pPr>
              <w:jc w:val="right"/>
            </w:pPr>
            <w:r>
              <w:rPr>
                <w:color w:val="000000"/>
                <w:sz w:val="24"/>
              </w:rPr>
              <w:t>2.74</w:t>
            </w:r>
          </w:p>
        </w:tc>
      </w:tr>
      <w:tr w:rsidR="00087A59">
        <w:trPr>
          <w:jc w:val="center"/>
        </w:trPr>
        <w:tc>
          <w:tcPr>
            <w:tcW w:w="2484" w:type="dxa"/>
            <w:vAlign w:val="center"/>
          </w:tcPr>
          <w:p w:rsidR="00087A59" w:rsidRDefault="001962CB">
            <w:pPr>
              <w:jc w:val="left"/>
            </w:pPr>
            <w:r>
              <w:rPr>
                <w:color w:val="000000"/>
                <w:sz w:val="24"/>
              </w:rPr>
              <w:t>英国</w:t>
            </w:r>
          </w:p>
        </w:tc>
        <w:tc>
          <w:tcPr>
            <w:tcW w:w="3214" w:type="dxa"/>
            <w:vAlign w:val="center"/>
          </w:tcPr>
          <w:p w:rsidR="00087A59" w:rsidRDefault="001962CB">
            <w:pPr>
              <w:jc w:val="right"/>
            </w:pPr>
            <w:r>
              <w:rPr>
                <w:color w:val="000000"/>
                <w:sz w:val="24"/>
              </w:rPr>
              <w:t>2,918,137.38</w:t>
            </w:r>
          </w:p>
        </w:tc>
        <w:tc>
          <w:tcPr>
            <w:tcW w:w="3170" w:type="dxa"/>
            <w:vAlign w:val="center"/>
          </w:tcPr>
          <w:p w:rsidR="00087A59" w:rsidRDefault="001962CB">
            <w:pPr>
              <w:jc w:val="right"/>
            </w:pPr>
            <w:r>
              <w:rPr>
                <w:color w:val="000000"/>
                <w:sz w:val="24"/>
              </w:rPr>
              <w:t>2.46</w:t>
            </w:r>
          </w:p>
        </w:tc>
      </w:tr>
      <w:tr w:rsidR="00087A59">
        <w:trPr>
          <w:jc w:val="center"/>
        </w:trPr>
        <w:tc>
          <w:tcPr>
            <w:tcW w:w="2484" w:type="dxa"/>
            <w:vAlign w:val="center"/>
          </w:tcPr>
          <w:p w:rsidR="00087A59" w:rsidRDefault="001962CB">
            <w:pPr>
              <w:jc w:val="left"/>
            </w:pPr>
            <w:r>
              <w:rPr>
                <w:color w:val="000000"/>
                <w:sz w:val="24"/>
              </w:rPr>
              <w:t>法国</w:t>
            </w:r>
          </w:p>
        </w:tc>
        <w:tc>
          <w:tcPr>
            <w:tcW w:w="3214" w:type="dxa"/>
            <w:vAlign w:val="center"/>
          </w:tcPr>
          <w:p w:rsidR="00087A59" w:rsidRDefault="001962CB">
            <w:pPr>
              <w:jc w:val="right"/>
            </w:pPr>
            <w:r>
              <w:rPr>
                <w:color w:val="000000"/>
                <w:sz w:val="24"/>
              </w:rPr>
              <w:t>2,471,360.89</w:t>
            </w:r>
          </w:p>
        </w:tc>
        <w:tc>
          <w:tcPr>
            <w:tcW w:w="3170" w:type="dxa"/>
            <w:vAlign w:val="center"/>
          </w:tcPr>
          <w:p w:rsidR="00087A59" w:rsidRDefault="001962CB">
            <w:pPr>
              <w:jc w:val="right"/>
            </w:pPr>
            <w:r>
              <w:rPr>
                <w:color w:val="000000"/>
                <w:sz w:val="24"/>
              </w:rPr>
              <w:t>2.09</w:t>
            </w:r>
          </w:p>
        </w:tc>
      </w:tr>
      <w:tr w:rsidR="00087A59">
        <w:trPr>
          <w:jc w:val="center"/>
        </w:trPr>
        <w:tc>
          <w:tcPr>
            <w:tcW w:w="2484" w:type="dxa"/>
            <w:vAlign w:val="center"/>
          </w:tcPr>
          <w:p w:rsidR="00087A59" w:rsidRDefault="001962CB">
            <w:pPr>
              <w:jc w:val="left"/>
            </w:pPr>
            <w:r>
              <w:rPr>
                <w:color w:val="000000"/>
                <w:sz w:val="24"/>
              </w:rPr>
              <w:t>瑞士</w:t>
            </w:r>
          </w:p>
        </w:tc>
        <w:tc>
          <w:tcPr>
            <w:tcW w:w="3214" w:type="dxa"/>
            <w:vAlign w:val="center"/>
          </w:tcPr>
          <w:p w:rsidR="00087A59" w:rsidRDefault="001962CB">
            <w:pPr>
              <w:jc w:val="right"/>
            </w:pPr>
            <w:r>
              <w:rPr>
                <w:color w:val="000000"/>
                <w:sz w:val="24"/>
              </w:rPr>
              <w:t>1,758,199.61</w:t>
            </w:r>
          </w:p>
        </w:tc>
        <w:tc>
          <w:tcPr>
            <w:tcW w:w="3170" w:type="dxa"/>
            <w:vAlign w:val="center"/>
          </w:tcPr>
          <w:p w:rsidR="00087A59" w:rsidRDefault="001962CB">
            <w:pPr>
              <w:jc w:val="right"/>
            </w:pPr>
            <w:r>
              <w:rPr>
                <w:color w:val="000000"/>
                <w:sz w:val="24"/>
              </w:rPr>
              <w:t>1.48</w:t>
            </w:r>
          </w:p>
        </w:tc>
      </w:tr>
      <w:tr w:rsidR="00087A59">
        <w:trPr>
          <w:jc w:val="center"/>
        </w:trPr>
        <w:tc>
          <w:tcPr>
            <w:tcW w:w="2484" w:type="dxa"/>
            <w:vAlign w:val="center"/>
          </w:tcPr>
          <w:p w:rsidR="00087A59" w:rsidRDefault="001962CB">
            <w:pPr>
              <w:jc w:val="left"/>
            </w:pPr>
            <w:r>
              <w:rPr>
                <w:color w:val="000000"/>
                <w:sz w:val="24"/>
              </w:rPr>
              <w:t>瑞典</w:t>
            </w:r>
          </w:p>
        </w:tc>
        <w:tc>
          <w:tcPr>
            <w:tcW w:w="3214" w:type="dxa"/>
            <w:vAlign w:val="center"/>
          </w:tcPr>
          <w:p w:rsidR="00087A59" w:rsidRDefault="001962CB">
            <w:pPr>
              <w:jc w:val="right"/>
            </w:pPr>
            <w:r>
              <w:rPr>
                <w:color w:val="000000"/>
                <w:sz w:val="24"/>
              </w:rPr>
              <w:t>1,498,042.78</w:t>
            </w:r>
          </w:p>
        </w:tc>
        <w:tc>
          <w:tcPr>
            <w:tcW w:w="3170" w:type="dxa"/>
            <w:vAlign w:val="center"/>
          </w:tcPr>
          <w:p w:rsidR="00087A59" w:rsidRDefault="001962CB">
            <w:pPr>
              <w:jc w:val="right"/>
            </w:pPr>
            <w:r>
              <w:rPr>
                <w:color w:val="000000"/>
                <w:sz w:val="24"/>
              </w:rPr>
              <w:t>1.26</w:t>
            </w:r>
          </w:p>
        </w:tc>
      </w:tr>
      <w:tr w:rsidR="00087A59">
        <w:trPr>
          <w:jc w:val="center"/>
        </w:trPr>
        <w:tc>
          <w:tcPr>
            <w:tcW w:w="2484" w:type="dxa"/>
            <w:vAlign w:val="center"/>
          </w:tcPr>
          <w:p w:rsidR="00087A59" w:rsidRDefault="001962CB">
            <w:pPr>
              <w:jc w:val="left"/>
            </w:pPr>
            <w:r>
              <w:rPr>
                <w:color w:val="000000"/>
                <w:sz w:val="24"/>
              </w:rPr>
              <w:t>新加坡</w:t>
            </w:r>
          </w:p>
        </w:tc>
        <w:tc>
          <w:tcPr>
            <w:tcW w:w="3214" w:type="dxa"/>
            <w:vAlign w:val="center"/>
          </w:tcPr>
          <w:p w:rsidR="00087A59" w:rsidRDefault="001962CB">
            <w:pPr>
              <w:jc w:val="right"/>
            </w:pPr>
            <w:r>
              <w:rPr>
                <w:color w:val="000000"/>
                <w:sz w:val="24"/>
              </w:rPr>
              <w:t>1,026,049.07</w:t>
            </w:r>
          </w:p>
        </w:tc>
        <w:tc>
          <w:tcPr>
            <w:tcW w:w="3170" w:type="dxa"/>
            <w:vAlign w:val="center"/>
          </w:tcPr>
          <w:p w:rsidR="00087A59" w:rsidRDefault="001962CB">
            <w:pPr>
              <w:jc w:val="right"/>
            </w:pPr>
            <w:r>
              <w:rPr>
                <w:color w:val="000000"/>
                <w:sz w:val="24"/>
              </w:rPr>
              <w:t>0.87</w:t>
            </w:r>
          </w:p>
        </w:tc>
      </w:tr>
      <w:tr w:rsidR="00087A59">
        <w:trPr>
          <w:jc w:val="center"/>
        </w:trPr>
        <w:tc>
          <w:tcPr>
            <w:tcW w:w="2484" w:type="dxa"/>
            <w:vAlign w:val="center"/>
          </w:tcPr>
          <w:p w:rsidR="00087A59" w:rsidRDefault="001962CB">
            <w:pPr>
              <w:jc w:val="left"/>
            </w:pPr>
            <w:r>
              <w:rPr>
                <w:color w:val="000000"/>
                <w:sz w:val="24"/>
              </w:rPr>
              <w:t>比利时</w:t>
            </w:r>
          </w:p>
        </w:tc>
        <w:tc>
          <w:tcPr>
            <w:tcW w:w="3214" w:type="dxa"/>
            <w:vAlign w:val="center"/>
          </w:tcPr>
          <w:p w:rsidR="00087A59" w:rsidRDefault="001962CB">
            <w:pPr>
              <w:jc w:val="right"/>
            </w:pPr>
            <w:r>
              <w:rPr>
                <w:color w:val="000000"/>
                <w:sz w:val="24"/>
              </w:rPr>
              <w:t>1,008,572.11</w:t>
            </w:r>
          </w:p>
        </w:tc>
        <w:tc>
          <w:tcPr>
            <w:tcW w:w="3170" w:type="dxa"/>
            <w:vAlign w:val="center"/>
          </w:tcPr>
          <w:p w:rsidR="00087A59" w:rsidRDefault="001962CB">
            <w:pPr>
              <w:jc w:val="right"/>
            </w:pPr>
            <w:r>
              <w:rPr>
                <w:color w:val="000000"/>
                <w:sz w:val="24"/>
              </w:rPr>
              <w:t>0.85</w:t>
            </w:r>
          </w:p>
        </w:tc>
      </w:tr>
      <w:tr w:rsidR="00087A59">
        <w:trPr>
          <w:jc w:val="center"/>
        </w:trPr>
        <w:tc>
          <w:tcPr>
            <w:tcW w:w="2484" w:type="dxa"/>
            <w:vAlign w:val="center"/>
          </w:tcPr>
          <w:p w:rsidR="00087A59" w:rsidRDefault="001962CB">
            <w:pPr>
              <w:jc w:val="left"/>
            </w:pPr>
            <w:r>
              <w:rPr>
                <w:color w:val="000000"/>
                <w:sz w:val="24"/>
              </w:rPr>
              <w:t>泰国</w:t>
            </w:r>
          </w:p>
        </w:tc>
        <w:tc>
          <w:tcPr>
            <w:tcW w:w="3214" w:type="dxa"/>
            <w:vAlign w:val="center"/>
          </w:tcPr>
          <w:p w:rsidR="00087A59" w:rsidRDefault="001962CB">
            <w:pPr>
              <w:jc w:val="right"/>
            </w:pPr>
            <w:r>
              <w:rPr>
                <w:color w:val="000000"/>
                <w:sz w:val="24"/>
              </w:rPr>
              <w:t>935,272.62</w:t>
            </w:r>
          </w:p>
        </w:tc>
        <w:tc>
          <w:tcPr>
            <w:tcW w:w="3170" w:type="dxa"/>
            <w:vAlign w:val="center"/>
          </w:tcPr>
          <w:p w:rsidR="00087A59" w:rsidRDefault="001962CB">
            <w:pPr>
              <w:jc w:val="right"/>
            </w:pPr>
            <w:r>
              <w:rPr>
                <w:color w:val="000000"/>
                <w:sz w:val="24"/>
              </w:rPr>
              <w:t>0.79</w:t>
            </w:r>
          </w:p>
        </w:tc>
      </w:tr>
      <w:tr w:rsidR="00087A59">
        <w:trPr>
          <w:jc w:val="center"/>
        </w:trPr>
        <w:tc>
          <w:tcPr>
            <w:tcW w:w="2484" w:type="dxa"/>
            <w:vAlign w:val="center"/>
          </w:tcPr>
          <w:p w:rsidR="00087A59" w:rsidRDefault="001962CB">
            <w:pPr>
              <w:jc w:val="left"/>
            </w:pPr>
            <w:r>
              <w:rPr>
                <w:color w:val="000000"/>
                <w:sz w:val="24"/>
              </w:rPr>
              <w:t>挪威</w:t>
            </w:r>
          </w:p>
        </w:tc>
        <w:tc>
          <w:tcPr>
            <w:tcW w:w="3214" w:type="dxa"/>
            <w:vAlign w:val="center"/>
          </w:tcPr>
          <w:p w:rsidR="00087A59" w:rsidRDefault="001962CB">
            <w:pPr>
              <w:jc w:val="right"/>
            </w:pPr>
            <w:r>
              <w:rPr>
                <w:color w:val="000000"/>
                <w:sz w:val="24"/>
              </w:rPr>
              <w:t>853,929.34</w:t>
            </w:r>
          </w:p>
        </w:tc>
        <w:tc>
          <w:tcPr>
            <w:tcW w:w="3170" w:type="dxa"/>
            <w:vAlign w:val="center"/>
          </w:tcPr>
          <w:p w:rsidR="00087A59" w:rsidRDefault="001962CB">
            <w:pPr>
              <w:jc w:val="right"/>
            </w:pPr>
            <w:r>
              <w:rPr>
                <w:color w:val="000000"/>
                <w:sz w:val="24"/>
              </w:rPr>
              <w:t>0.72</w:t>
            </w:r>
          </w:p>
        </w:tc>
      </w:tr>
      <w:tr w:rsidR="00087A59">
        <w:trPr>
          <w:jc w:val="center"/>
        </w:trPr>
        <w:tc>
          <w:tcPr>
            <w:tcW w:w="2484" w:type="dxa"/>
            <w:vAlign w:val="center"/>
          </w:tcPr>
          <w:p w:rsidR="00087A59" w:rsidRDefault="001962CB">
            <w:pPr>
              <w:jc w:val="left"/>
            </w:pPr>
            <w:r>
              <w:rPr>
                <w:color w:val="000000"/>
                <w:sz w:val="24"/>
              </w:rPr>
              <w:t>巴西</w:t>
            </w:r>
          </w:p>
        </w:tc>
        <w:tc>
          <w:tcPr>
            <w:tcW w:w="3214" w:type="dxa"/>
            <w:vAlign w:val="center"/>
          </w:tcPr>
          <w:p w:rsidR="00087A59" w:rsidRDefault="001962CB">
            <w:pPr>
              <w:jc w:val="right"/>
            </w:pPr>
            <w:r>
              <w:rPr>
                <w:color w:val="000000"/>
                <w:sz w:val="24"/>
              </w:rPr>
              <w:t>771,108.87</w:t>
            </w:r>
          </w:p>
        </w:tc>
        <w:tc>
          <w:tcPr>
            <w:tcW w:w="3170" w:type="dxa"/>
            <w:vAlign w:val="center"/>
          </w:tcPr>
          <w:p w:rsidR="00087A59" w:rsidRDefault="001962CB">
            <w:pPr>
              <w:jc w:val="right"/>
            </w:pPr>
            <w:r>
              <w:rPr>
                <w:color w:val="000000"/>
                <w:sz w:val="24"/>
              </w:rPr>
              <w:t>0.65</w:t>
            </w:r>
          </w:p>
        </w:tc>
      </w:tr>
      <w:tr w:rsidR="00087A59">
        <w:trPr>
          <w:jc w:val="center"/>
        </w:trPr>
        <w:tc>
          <w:tcPr>
            <w:tcW w:w="2484" w:type="dxa"/>
            <w:vAlign w:val="center"/>
          </w:tcPr>
          <w:p w:rsidR="00087A59" w:rsidRDefault="001962CB">
            <w:pPr>
              <w:jc w:val="left"/>
            </w:pPr>
            <w:r>
              <w:rPr>
                <w:color w:val="000000"/>
                <w:sz w:val="24"/>
              </w:rPr>
              <w:t>意大利</w:t>
            </w:r>
          </w:p>
        </w:tc>
        <w:tc>
          <w:tcPr>
            <w:tcW w:w="3214" w:type="dxa"/>
            <w:vAlign w:val="center"/>
          </w:tcPr>
          <w:p w:rsidR="00087A59" w:rsidRDefault="001962CB">
            <w:pPr>
              <w:jc w:val="right"/>
            </w:pPr>
            <w:r>
              <w:rPr>
                <w:color w:val="000000"/>
                <w:sz w:val="24"/>
              </w:rPr>
              <w:t>581,802.05</w:t>
            </w:r>
          </w:p>
        </w:tc>
        <w:tc>
          <w:tcPr>
            <w:tcW w:w="3170" w:type="dxa"/>
            <w:vAlign w:val="center"/>
          </w:tcPr>
          <w:p w:rsidR="00087A59" w:rsidRDefault="001962CB">
            <w:pPr>
              <w:jc w:val="right"/>
            </w:pPr>
            <w:r>
              <w:rPr>
                <w:color w:val="000000"/>
                <w:sz w:val="24"/>
              </w:rPr>
              <w:t>0.49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110,071,689.29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92.89</w:t>
            </w:r>
          </w:p>
        </w:tc>
      </w:tr>
    </w:tbl>
    <w:p w:rsidR="00087A59" w:rsidRDefault="001962C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87A59">
        <w:trPr>
          <w:jc w:val="center"/>
        </w:trPr>
        <w:tc>
          <w:tcPr>
            <w:tcW w:w="2904" w:type="dxa"/>
            <w:vAlign w:val="center"/>
          </w:tcPr>
          <w:p w:rsidR="00087A59" w:rsidRDefault="001962CB">
            <w:pPr>
              <w:jc w:val="left"/>
            </w:pPr>
            <w:r>
              <w:rPr>
                <w:color w:val="000000"/>
                <w:sz w:val="24"/>
              </w:rPr>
              <w:lastRenderedPageBreak/>
              <w:t>金融</w:t>
            </w:r>
          </w:p>
        </w:tc>
        <w:tc>
          <w:tcPr>
            <w:tcW w:w="2657" w:type="dxa"/>
            <w:vAlign w:val="center"/>
          </w:tcPr>
          <w:p w:rsidR="00087A59" w:rsidRDefault="001962CB">
            <w:pPr>
              <w:jc w:val="right"/>
            </w:pPr>
            <w:r>
              <w:rPr>
                <w:color w:val="000000"/>
                <w:sz w:val="24"/>
              </w:rPr>
              <w:t>22,996,684.39</w:t>
            </w:r>
          </w:p>
        </w:tc>
        <w:tc>
          <w:tcPr>
            <w:tcW w:w="3307" w:type="dxa"/>
            <w:vAlign w:val="center"/>
          </w:tcPr>
          <w:p w:rsidR="00087A59" w:rsidRDefault="001962CB">
            <w:pPr>
              <w:jc w:val="right"/>
            </w:pPr>
            <w:r>
              <w:rPr>
                <w:color w:val="000000"/>
                <w:sz w:val="24"/>
              </w:rPr>
              <w:t>19.41</w:t>
            </w:r>
          </w:p>
        </w:tc>
      </w:tr>
      <w:tr w:rsidR="00087A59">
        <w:trPr>
          <w:jc w:val="center"/>
        </w:trPr>
        <w:tc>
          <w:tcPr>
            <w:tcW w:w="2904" w:type="dxa"/>
            <w:vAlign w:val="center"/>
          </w:tcPr>
          <w:p w:rsidR="00087A59" w:rsidRDefault="001962CB">
            <w:pPr>
              <w:jc w:val="left"/>
            </w:pPr>
            <w:r>
              <w:rPr>
                <w:color w:val="000000"/>
                <w:sz w:val="24"/>
              </w:rPr>
              <w:t>信息技术</w:t>
            </w:r>
          </w:p>
        </w:tc>
        <w:tc>
          <w:tcPr>
            <w:tcW w:w="2657" w:type="dxa"/>
            <w:vAlign w:val="center"/>
          </w:tcPr>
          <w:p w:rsidR="00087A59" w:rsidRDefault="001962CB">
            <w:pPr>
              <w:jc w:val="right"/>
            </w:pPr>
            <w:r>
              <w:rPr>
                <w:color w:val="000000"/>
                <w:sz w:val="24"/>
              </w:rPr>
              <w:t>19,257,167.84</w:t>
            </w:r>
          </w:p>
        </w:tc>
        <w:tc>
          <w:tcPr>
            <w:tcW w:w="3307" w:type="dxa"/>
            <w:vAlign w:val="center"/>
          </w:tcPr>
          <w:p w:rsidR="00087A59" w:rsidRDefault="001962CB">
            <w:pPr>
              <w:jc w:val="right"/>
            </w:pPr>
            <w:r>
              <w:rPr>
                <w:color w:val="000000"/>
                <w:sz w:val="24"/>
              </w:rPr>
              <w:t>16.25</w:t>
            </w:r>
          </w:p>
        </w:tc>
      </w:tr>
      <w:tr w:rsidR="00087A59">
        <w:trPr>
          <w:jc w:val="center"/>
        </w:trPr>
        <w:tc>
          <w:tcPr>
            <w:tcW w:w="2904" w:type="dxa"/>
            <w:vAlign w:val="center"/>
          </w:tcPr>
          <w:p w:rsidR="00087A59" w:rsidRDefault="001962CB">
            <w:pPr>
              <w:jc w:val="left"/>
            </w:pPr>
            <w:r>
              <w:rPr>
                <w:color w:val="000000"/>
                <w:sz w:val="24"/>
              </w:rPr>
              <w:t>工业</w:t>
            </w:r>
          </w:p>
        </w:tc>
        <w:tc>
          <w:tcPr>
            <w:tcW w:w="2657" w:type="dxa"/>
            <w:vAlign w:val="center"/>
          </w:tcPr>
          <w:p w:rsidR="00087A59" w:rsidRDefault="001962CB">
            <w:pPr>
              <w:jc w:val="right"/>
            </w:pPr>
            <w:r>
              <w:rPr>
                <w:color w:val="000000"/>
                <w:sz w:val="24"/>
              </w:rPr>
              <w:t>16,175,715.04</w:t>
            </w:r>
          </w:p>
        </w:tc>
        <w:tc>
          <w:tcPr>
            <w:tcW w:w="3307" w:type="dxa"/>
            <w:vAlign w:val="center"/>
          </w:tcPr>
          <w:p w:rsidR="00087A59" w:rsidRDefault="001962CB">
            <w:pPr>
              <w:jc w:val="right"/>
            </w:pPr>
            <w:r>
              <w:rPr>
                <w:color w:val="000000"/>
                <w:sz w:val="24"/>
              </w:rPr>
              <w:t>13.65</w:t>
            </w:r>
          </w:p>
        </w:tc>
      </w:tr>
      <w:tr w:rsidR="00087A59">
        <w:trPr>
          <w:jc w:val="center"/>
        </w:trPr>
        <w:tc>
          <w:tcPr>
            <w:tcW w:w="2904" w:type="dxa"/>
            <w:vAlign w:val="center"/>
          </w:tcPr>
          <w:p w:rsidR="00087A59" w:rsidRDefault="001962CB">
            <w:pPr>
              <w:jc w:val="left"/>
            </w:pPr>
            <w:r>
              <w:rPr>
                <w:color w:val="000000"/>
                <w:sz w:val="24"/>
              </w:rPr>
              <w:t>保健</w:t>
            </w:r>
          </w:p>
        </w:tc>
        <w:tc>
          <w:tcPr>
            <w:tcW w:w="2657" w:type="dxa"/>
            <w:vAlign w:val="center"/>
          </w:tcPr>
          <w:p w:rsidR="00087A59" w:rsidRDefault="001962CB">
            <w:pPr>
              <w:jc w:val="right"/>
            </w:pPr>
            <w:r>
              <w:rPr>
                <w:color w:val="000000"/>
                <w:sz w:val="24"/>
              </w:rPr>
              <w:t>14,041,173.69</w:t>
            </w:r>
          </w:p>
        </w:tc>
        <w:tc>
          <w:tcPr>
            <w:tcW w:w="3307" w:type="dxa"/>
            <w:vAlign w:val="center"/>
          </w:tcPr>
          <w:p w:rsidR="00087A59" w:rsidRDefault="001962CB">
            <w:pPr>
              <w:jc w:val="right"/>
            </w:pPr>
            <w:r>
              <w:rPr>
                <w:color w:val="000000"/>
                <w:sz w:val="24"/>
              </w:rPr>
              <w:t>11.85</w:t>
            </w:r>
          </w:p>
        </w:tc>
      </w:tr>
      <w:tr w:rsidR="00087A59">
        <w:trPr>
          <w:jc w:val="center"/>
        </w:trPr>
        <w:tc>
          <w:tcPr>
            <w:tcW w:w="2904" w:type="dxa"/>
            <w:vAlign w:val="center"/>
          </w:tcPr>
          <w:p w:rsidR="00087A59" w:rsidRDefault="001962CB">
            <w:pPr>
              <w:jc w:val="left"/>
            </w:pPr>
            <w:r>
              <w:rPr>
                <w:color w:val="000000"/>
                <w:sz w:val="24"/>
              </w:rPr>
              <w:t>非必需消费品</w:t>
            </w:r>
          </w:p>
        </w:tc>
        <w:tc>
          <w:tcPr>
            <w:tcW w:w="2657" w:type="dxa"/>
            <w:vAlign w:val="center"/>
          </w:tcPr>
          <w:p w:rsidR="00087A59" w:rsidRDefault="001962CB">
            <w:pPr>
              <w:jc w:val="right"/>
            </w:pPr>
            <w:r>
              <w:rPr>
                <w:color w:val="000000"/>
                <w:sz w:val="24"/>
              </w:rPr>
              <w:t>12,700,710.97</w:t>
            </w:r>
          </w:p>
        </w:tc>
        <w:tc>
          <w:tcPr>
            <w:tcW w:w="3307" w:type="dxa"/>
            <w:vAlign w:val="center"/>
          </w:tcPr>
          <w:p w:rsidR="00087A59" w:rsidRDefault="001962CB">
            <w:pPr>
              <w:jc w:val="right"/>
            </w:pPr>
            <w:r>
              <w:rPr>
                <w:color w:val="000000"/>
                <w:sz w:val="24"/>
              </w:rPr>
              <w:t>10.72</w:t>
            </w:r>
          </w:p>
        </w:tc>
      </w:tr>
      <w:tr w:rsidR="00087A59">
        <w:trPr>
          <w:jc w:val="center"/>
        </w:trPr>
        <w:tc>
          <w:tcPr>
            <w:tcW w:w="2904" w:type="dxa"/>
            <w:vAlign w:val="center"/>
          </w:tcPr>
          <w:p w:rsidR="00087A59" w:rsidRDefault="001962CB">
            <w:pPr>
              <w:jc w:val="left"/>
            </w:pPr>
            <w:r>
              <w:rPr>
                <w:color w:val="000000"/>
                <w:sz w:val="24"/>
              </w:rPr>
              <w:t>必需消费品</w:t>
            </w:r>
          </w:p>
        </w:tc>
        <w:tc>
          <w:tcPr>
            <w:tcW w:w="2657" w:type="dxa"/>
            <w:vAlign w:val="center"/>
          </w:tcPr>
          <w:p w:rsidR="00087A59" w:rsidRDefault="001962CB">
            <w:pPr>
              <w:jc w:val="right"/>
            </w:pPr>
            <w:r>
              <w:rPr>
                <w:color w:val="000000"/>
                <w:sz w:val="24"/>
              </w:rPr>
              <w:t>9,011,182.14</w:t>
            </w:r>
          </w:p>
        </w:tc>
        <w:tc>
          <w:tcPr>
            <w:tcW w:w="3307" w:type="dxa"/>
            <w:vAlign w:val="center"/>
          </w:tcPr>
          <w:p w:rsidR="00087A59" w:rsidRDefault="001962CB">
            <w:pPr>
              <w:jc w:val="right"/>
            </w:pPr>
            <w:r>
              <w:rPr>
                <w:color w:val="000000"/>
                <w:sz w:val="24"/>
              </w:rPr>
              <w:t>7.60</w:t>
            </w:r>
          </w:p>
        </w:tc>
      </w:tr>
      <w:tr w:rsidR="00087A59">
        <w:trPr>
          <w:jc w:val="center"/>
        </w:trPr>
        <w:tc>
          <w:tcPr>
            <w:tcW w:w="2904" w:type="dxa"/>
            <w:vAlign w:val="center"/>
          </w:tcPr>
          <w:p w:rsidR="00087A59" w:rsidRDefault="001962CB">
            <w:pPr>
              <w:jc w:val="left"/>
            </w:pPr>
            <w:r>
              <w:rPr>
                <w:color w:val="000000"/>
                <w:sz w:val="24"/>
              </w:rPr>
              <w:t>材料</w:t>
            </w:r>
          </w:p>
        </w:tc>
        <w:tc>
          <w:tcPr>
            <w:tcW w:w="2657" w:type="dxa"/>
            <w:vAlign w:val="center"/>
          </w:tcPr>
          <w:p w:rsidR="00087A59" w:rsidRDefault="001962CB">
            <w:pPr>
              <w:jc w:val="right"/>
            </w:pPr>
            <w:r>
              <w:rPr>
                <w:color w:val="000000"/>
                <w:sz w:val="24"/>
              </w:rPr>
              <w:t>6,746,352.47</w:t>
            </w:r>
          </w:p>
        </w:tc>
        <w:tc>
          <w:tcPr>
            <w:tcW w:w="3307" w:type="dxa"/>
            <w:vAlign w:val="center"/>
          </w:tcPr>
          <w:p w:rsidR="00087A59" w:rsidRDefault="001962CB">
            <w:pPr>
              <w:jc w:val="right"/>
            </w:pPr>
            <w:r>
              <w:rPr>
                <w:color w:val="000000"/>
                <w:sz w:val="24"/>
              </w:rPr>
              <w:t>5.69</w:t>
            </w:r>
          </w:p>
        </w:tc>
      </w:tr>
      <w:tr w:rsidR="00087A59">
        <w:trPr>
          <w:jc w:val="center"/>
        </w:trPr>
        <w:tc>
          <w:tcPr>
            <w:tcW w:w="2904" w:type="dxa"/>
            <w:vAlign w:val="center"/>
          </w:tcPr>
          <w:p w:rsidR="00087A59" w:rsidRDefault="001962CB">
            <w:pPr>
              <w:jc w:val="left"/>
            </w:pPr>
            <w:r>
              <w:rPr>
                <w:color w:val="000000"/>
                <w:sz w:val="24"/>
              </w:rPr>
              <w:t>能源</w:t>
            </w:r>
          </w:p>
        </w:tc>
        <w:tc>
          <w:tcPr>
            <w:tcW w:w="2657" w:type="dxa"/>
            <w:vAlign w:val="center"/>
          </w:tcPr>
          <w:p w:rsidR="00087A59" w:rsidRDefault="001962CB">
            <w:pPr>
              <w:jc w:val="right"/>
            </w:pPr>
            <w:r>
              <w:rPr>
                <w:color w:val="000000"/>
                <w:sz w:val="24"/>
              </w:rPr>
              <w:t>4,403,043.27</w:t>
            </w:r>
          </w:p>
        </w:tc>
        <w:tc>
          <w:tcPr>
            <w:tcW w:w="3307" w:type="dxa"/>
            <w:vAlign w:val="center"/>
          </w:tcPr>
          <w:p w:rsidR="00087A59" w:rsidRDefault="001962CB">
            <w:pPr>
              <w:jc w:val="right"/>
            </w:pPr>
            <w:r>
              <w:rPr>
                <w:color w:val="000000"/>
                <w:sz w:val="24"/>
              </w:rPr>
              <w:t>3.72</w:t>
            </w:r>
          </w:p>
        </w:tc>
      </w:tr>
      <w:tr w:rsidR="00087A59">
        <w:trPr>
          <w:jc w:val="center"/>
        </w:trPr>
        <w:tc>
          <w:tcPr>
            <w:tcW w:w="2904" w:type="dxa"/>
            <w:vAlign w:val="center"/>
          </w:tcPr>
          <w:p w:rsidR="00087A59" w:rsidRDefault="001962CB">
            <w:pPr>
              <w:jc w:val="left"/>
            </w:pPr>
            <w:r>
              <w:rPr>
                <w:color w:val="000000"/>
                <w:sz w:val="24"/>
              </w:rPr>
              <w:t>电信服务</w:t>
            </w:r>
          </w:p>
        </w:tc>
        <w:tc>
          <w:tcPr>
            <w:tcW w:w="2657" w:type="dxa"/>
            <w:vAlign w:val="center"/>
          </w:tcPr>
          <w:p w:rsidR="00087A59" w:rsidRDefault="001962CB">
            <w:pPr>
              <w:jc w:val="right"/>
            </w:pPr>
            <w:r>
              <w:rPr>
                <w:color w:val="000000"/>
                <w:sz w:val="24"/>
              </w:rPr>
              <w:t>2,919,013.73</w:t>
            </w:r>
          </w:p>
        </w:tc>
        <w:tc>
          <w:tcPr>
            <w:tcW w:w="3307" w:type="dxa"/>
            <w:vAlign w:val="center"/>
          </w:tcPr>
          <w:p w:rsidR="00087A59" w:rsidRDefault="001962CB">
            <w:pPr>
              <w:jc w:val="right"/>
            </w:pPr>
            <w:r>
              <w:rPr>
                <w:color w:val="000000"/>
                <w:sz w:val="24"/>
              </w:rPr>
              <w:t>2.46</w:t>
            </w:r>
          </w:p>
        </w:tc>
      </w:tr>
      <w:tr w:rsidR="00087A59">
        <w:trPr>
          <w:jc w:val="center"/>
        </w:trPr>
        <w:tc>
          <w:tcPr>
            <w:tcW w:w="2904" w:type="dxa"/>
            <w:vAlign w:val="center"/>
          </w:tcPr>
          <w:p w:rsidR="00087A59" w:rsidRDefault="001962CB">
            <w:pPr>
              <w:jc w:val="left"/>
            </w:pPr>
            <w:r>
              <w:rPr>
                <w:color w:val="000000"/>
                <w:sz w:val="24"/>
              </w:rPr>
              <w:t>公共事业</w:t>
            </w:r>
          </w:p>
        </w:tc>
        <w:tc>
          <w:tcPr>
            <w:tcW w:w="2657" w:type="dxa"/>
            <w:vAlign w:val="center"/>
          </w:tcPr>
          <w:p w:rsidR="00087A59" w:rsidRDefault="001962CB">
            <w:pPr>
              <w:jc w:val="right"/>
            </w:pPr>
            <w:r>
              <w:rPr>
                <w:color w:val="000000"/>
                <w:sz w:val="24"/>
              </w:rPr>
              <w:t>1,419,721.85</w:t>
            </w:r>
          </w:p>
        </w:tc>
        <w:tc>
          <w:tcPr>
            <w:tcW w:w="3307" w:type="dxa"/>
            <w:vAlign w:val="center"/>
          </w:tcPr>
          <w:p w:rsidR="00087A59" w:rsidRDefault="001962CB">
            <w:pPr>
              <w:jc w:val="right"/>
            </w:pPr>
            <w:r>
              <w:rPr>
                <w:color w:val="000000"/>
                <w:sz w:val="24"/>
              </w:rPr>
              <w:t>1.20</w:t>
            </w:r>
          </w:p>
        </w:tc>
      </w:tr>
      <w:tr w:rsidR="00087A59">
        <w:trPr>
          <w:jc w:val="center"/>
        </w:trPr>
        <w:tc>
          <w:tcPr>
            <w:tcW w:w="2904" w:type="dxa"/>
            <w:vAlign w:val="center"/>
          </w:tcPr>
          <w:p w:rsidR="00087A59" w:rsidRDefault="001962CB">
            <w:pPr>
              <w:jc w:val="left"/>
            </w:pPr>
            <w:r>
              <w:rPr>
                <w:color w:val="000000"/>
                <w:sz w:val="24"/>
              </w:rPr>
              <w:t>房地产</w:t>
            </w:r>
          </w:p>
        </w:tc>
        <w:tc>
          <w:tcPr>
            <w:tcW w:w="2657" w:type="dxa"/>
            <w:vAlign w:val="center"/>
          </w:tcPr>
          <w:p w:rsidR="00087A59" w:rsidRDefault="001962CB">
            <w:pPr>
              <w:jc w:val="right"/>
            </w:pPr>
            <w:r>
              <w:rPr>
                <w:color w:val="000000"/>
                <w:sz w:val="24"/>
              </w:rPr>
              <w:t>400,923.90</w:t>
            </w:r>
          </w:p>
        </w:tc>
        <w:tc>
          <w:tcPr>
            <w:tcW w:w="3307" w:type="dxa"/>
            <w:vAlign w:val="center"/>
          </w:tcPr>
          <w:p w:rsidR="00087A59" w:rsidRDefault="001962CB">
            <w:pPr>
              <w:jc w:val="right"/>
            </w:pPr>
            <w:r>
              <w:rPr>
                <w:color w:val="000000"/>
                <w:sz w:val="24"/>
              </w:rPr>
              <w:t>0.34</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110,071,689.29</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92.89</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87A59">
        <w:trPr>
          <w:jc w:val="center"/>
        </w:trPr>
        <w:tc>
          <w:tcPr>
            <w:tcW w:w="1243" w:type="dxa"/>
            <w:vAlign w:val="center"/>
          </w:tcPr>
          <w:p w:rsidR="00087A59" w:rsidRDefault="001962CB">
            <w:pPr>
              <w:jc w:val="center"/>
            </w:pPr>
            <w:r>
              <w:rPr>
                <w:color w:val="000000"/>
                <w:sz w:val="24"/>
              </w:rPr>
              <w:t>1</w:t>
            </w:r>
          </w:p>
        </w:tc>
        <w:tc>
          <w:tcPr>
            <w:tcW w:w="971" w:type="dxa"/>
            <w:vAlign w:val="center"/>
          </w:tcPr>
          <w:p w:rsidR="00087A59" w:rsidRDefault="001962CB">
            <w:pPr>
              <w:jc w:val="center"/>
            </w:pPr>
            <w:proofErr w:type="spellStart"/>
            <w:r>
              <w:rPr>
                <w:color w:val="000000"/>
                <w:sz w:val="24"/>
              </w:rPr>
              <w:t>Tencent</w:t>
            </w:r>
            <w:proofErr w:type="spellEnd"/>
            <w:r>
              <w:rPr>
                <w:color w:val="000000"/>
                <w:sz w:val="24"/>
              </w:rPr>
              <w:t xml:space="preserve"> Holdings Limited</w:t>
            </w:r>
          </w:p>
        </w:tc>
        <w:tc>
          <w:tcPr>
            <w:tcW w:w="993" w:type="dxa"/>
            <w:vAlign w:val="center"/>
          </w:tcPr>
          <w:p w:rsidR="00087A59" w:rsidRDefault="001962CB">
            <w:pPr>
              <w:jc w:val="center"/>
            </w:pPr>
            <w:r>
              <w:rPr>
                <w:color w:val="000000"/>
                <w:sz w:val="24"/>
              </w:rPr>
              <w:t>腾讯控股有限公司</w:t>
            </w:r>
          </w:p>
        </w:tc>
        <w:tc>
          <w:tcPr>
            <w:tcW w:w="725" w:type="dxa"/>
            <w:vAlign w:val="center"/>
          </w:tcPr>
          <w:p w:rsidR="00087A59" w:rsidRDefault="001962CB">
            <w:pPr>
              <w:jc w:val="center"/>
            </w:pPr>
            <w:r>
              <w:rPr>
                <w:color w:val="000000"/>
                <w:sz w:val="24"/>
              </w:rPr>
              <w:t>700 HK</w:t>
            </w:r>
          </w:p>
        </w:tc>
        <w:tc>
          <w:tcPr>
            <w:tcW w:w="747" w:type="dxa"/>
            <w:vAlign w:val="center"/>
          </w:tcPr>
          <w:p w:rsidR="00087A59" w:rsidRDefault="001962CB">
            <w:pPr>
              <w:jc w:val="center"/>
            </w:pPr>
            <w:r>
              <w:rPr>
                <w:color w:val="000000"/>
                <w:sz w:val="24"/>
              </w:rPr>
              <w:t>香港证券交易所</w:t>
            </w:r>
          </w:p>
        </w:tc>
        <w:tc>
          <w:tcPr>
            <w:tcW w:w="975" w:type="dxa"/>
            <w:vAlign w:val="center"/>
          </w:tcPr>
          <w:p w:rsidR="00087A59" w:rsidRDefault="001962CB">
            <w:pPr>
              <w:jc w:val="center"/>
            </w:pPr>
            <w:r>
              <w:rPr>
                <w:color w:val="000000"/>
                <w:sz w:val="24"/>
              </w:rPr>
              <w:t>香港</w:t>
            </w:r>
          </w:p>
        </w:tc>
        <w:tc>
          <w:tcPr>
            <w:tcW w:w="1175" w:type="dxa"/>
            <w:vAlign w:val="center"/>
          </w:tcPr>
          <w:p w:rsidR="00087A59" w:rsidRDefault="001962CB">
            <w:pPr>
              <w:jc w:val="right"/>
            </w:pPr>
            <w:r>
              <w:rPr>
                <w:color w:val="000000"/>
                <w:sz w:val="24"/>
              </w:rPr>
              <w:t>13,000</w:t>
            </w:r>
          </w:p>
        </w:tc>
        <w:tc>
          <w:tcPr>
            <w:tcW w:w="975" w:type="dxa"/>
            <w:vAlign w:val="center"/>
          </w:tcPr>
          <w:p w:rsidR="00087A59" w:rsidRDefault="001962CB">
            <w:pPr>
              <w:jc w:val="right"/>
            </w:pPr>
            <w:r>
              <w:rPr>
                <w:color w:val="000000"/>
                <w:sz w:val="24"/>
              </w:rPr>
              <w:t>3,149,769.20</w:t>
            </w:r>
          </w:p>
        </w:tc>
        <w:tc>
          <w:tcPr>
            <w:tcW w:w="1175" w:type="dxa"/>
            <w:vAlign w:val="center"/>
          </w:tcPr>
          <w:p w:rsidR="00087A59" w:rsidRDefault="001962CB">
            <w:pPr>
              <w:jc w:val="right"/>
            </w:pPr>
            <w:r>
              <w:rPr>
                <w:color w:val="000000"/>
                <w:sz w:val="24"/>
              </w:rPr>
              <w:t>2.66</w:t>
            </w:r>
          </w:p>
        </w:tc>
      </w:tr>
      <w:tr w:rsidR="00087A59">
        <w:trPr>
          <w:jc w:val="center"/>
        </w:trPr>
        <w:tc>
          <w:tcPr>
            <w:tcW w:w="1243" w:type="dxa"/>
            <w:vAlign w:val="center"/>
          </w:tcPr>
          <w:p w:rsidR="00087A59" w:rsidRDefault="001962CB">
            <w:pPr>
              <w:jc w:val="center"/>
            </w:pPr>
            <w:r>
              <w:rPr>
                <w:color w:val="000000"/>
                <w:sz w:val="24"/>
              </w:rPr>
              <w:t>2</w:t>
            </w:r>
          </w:p>
        </w:tc>
        <w:tc>
          <w:tcPr>
            <w:tcW w:w="971" w:type="dxa"/>
            <w:vAlign w:val="center"/>
          </w:tcPr>
          <w:p w:rsidR="00087A59" w:rsidRDefault="001962CB">
            <w:pPr>
              <w:jc w:val="center"/>
            </w:pPr>
            <w:r>
              <w:rPr>
                <w:color w:val="000000"/>
                <w:sz w:val="24"/>
              </w:rPr>
              <w:t>CSPC Pharmaceutical Group Limited</w:t>
            </w:r>
          </w:p>
        </w:tc>
        <w:tc>
          <w:tcPr>
            <w:tcW w:w="993" w:type="dxa"/>
            <w:vAlign w:val="center"/>
          </w:tcPr>
          <w:p w:rsidR="00087A59" w:rsidRDefault="001962CB">
            <w:pPr>
              <w:jc w:val="center"/>
            </w:pPr>
            <w:r>
              <w:rPr>
                <w:color w:val="000000"/>
                <w:sz w:val="24"/>
              </w:rPr>
              <w:t>石药集团有限公司</w:t>
            </w:r>
          </w:p>
        </w:tc>
        <w:tc>
          <w:tcPr>
            <w:tcW w:w="725" w:type="dxa"/>
            <w:vAlign w:val="center"/>
          </w:tcPr>
          <w:p w:rsidR="00087A59" w:rsidRDefault="001962CB">
            <w:pPr>
              <w:jc w:val="center"/>
            </w:pPr>
            <w:r>
              <w:rPr>
                <w:color w:val="000000"/>
                <w:sz w:val="24"/>
              </w:rPr>
              <w:t>1093 HK</w:t>
            </w:r>
          </w:p>
        </w:tc>
        <w:tc>
          <w:tcPr>
            <w:tcW w:w="747" w:type="dxa"/>
            <w:vAlign w:val="center"/>
          </w:tcPr>
          <w:p w:rsidR="00087A59" w:rsidRDefault="001962CB">
            <w:pPr>
              <w:jc w:val="center"/>
            </w:pPr>
            <w:r>
              <w:rPr>
                <w:color w:val="000000"/>
                <w:sz w:val="24"/>
              </w:rPr>
              <w:t>香港证券交易所</w:t>
            </w:r>
          </w:p>
        </w:tc>
        <w:tc>
          <w:tcPr>
            <w:tcW w:w="975" w:type="dxa"/>
            <w:vAlign w:val="center"/>
          </w:tcPr>
          <w:p w:rsidR="00087A59" w:rsidRDefault="001962CB">
            <w:pPr>
              <w:jc w:val="center"/>
            </w:pPr>
            <w:r>
              <w:rPr>
                <w:color w:val="000000"/>
                <w:sz w:val="24"/>
              </w:rPr>
              <w:t>香港</w:t>
            </w:r>
          </w:p>
        </w:tc>
        <w:tc>
          <w:tcPr>
            <w:tcW w:w="1175" w:type="dxa"/>
            <w:vAlign w:val="center"/>
          </w:tcPr>
          <w:p w:rsidR="00087A59" w:rsidRDefault="001962CB">
            <w:pPr>
              <w:jc w:val="right"/>
            </w:pPr>
            <w:r>
              <w:rPr>
                <w:color w:val="000000"/>
                <w:sz w:val="24"/>
              </w:rPr>
              <w:t>300,000</w:t>
            </w:r>
          </w:p>
        </w:tc>
        <w:tc>
          <w:tcPr>
            <w:tcW w:w="975" w:type="dxa"/>
            <w:vAlign w:val="center"/>
          </w:tcPr>
          <w:p w:rsidR="00087A59" w:rsidRDefault="001962CB">
            <w:pPr>
              <w:jc w:val="right"/>
            </w:pPr>
            <w:r>
              <w:rPr>
                <w:color w:val="000000"/>
                <w:sz w:val="24"/>
              </w:rPr>
              <w:t>2,967,878.19</w:t>
            </w:r>
          </w:p>
        </w:tc>
        <w:tc>
          <w:tcPr>
            <w:tcW w:w="1175" w:type="dxa"/>
            <w:vAlign w:val="center"/>
          </w:tcPr>
          <w:p w:rsidR="00087A59" w:rsidRDefault="001962CB">
            <w:pPr>
              <w:jc w:val="right"/>
            </w:pPr>
            <w:r>
              <w:rPr>
                <w:color w:val="000000"/>
                <w:sz w:val="24"/>
              </w:rPr>
              <w:t>2.50</w:t>
            </w:r>
          </w:p>
        </w:tc>
      </w:tr>
      <w:tr w:rsidR="00087A59">
        <w:trPr>
          <w:jc w:val="center"/>
        </w:trPr>
        <w:tc>
          <w:tcPr>
            <w:tcW w:w="1243" w:type="dxa"/>
            <w:vAlign w:val="center"/>
          </w:tcPr>
          <w:p w:rsidR="00087A59" w:rsidRDefault="001962CB">
            <w:pPr>
              <w:jc w:val="center"/>
            </w:pPr>
            <w:r>
              <w:rPr>
                <w:color w:val="000000"/>
                <w:sz w:val="24"/>
              </w:rPr>
              <w:t>3</w:t>
            </w:r>
          </w:p>
        </w:tc>
        <w:tc>
          <w:tcPr>
            <w:tcW w:w="971" w:type="dxa"/>
            <w:vAlign w:val="center"/>
          </w:tcPr>
          <w:p w:rsidR="00087A59" w:rsidRDefault="001962CB">
            <w:pPr>
              <w:jc w:val="center"/>
            </w:pPr>
            <w:r>
              <w:rPr>
                <w:color w:val="000000"/>
                <w:sz w:val="24"/>
              </w:rPr>
              <w:t xml:space="preserve">China Merchants </w:t>
            </w:r>
            <w:r>
              <w:rPr>
                <w:color w:val="000000"/>
                <w:sz w:val="24"/>
              </w:rPr>
              <w:lastRenderedPageBreak/>
              <w:t xml:space="preserve">Bank </w:t>
            </w:r>
            <w:proofErr w:type="spellStart"/>
            <w:r>
              <w:rPr>
                <w:color w:val="000000"/>
                <w:sz w:val="24"/>
              </w:rPr>
              <w:t>Co.,Ltd</w:t>
            </w:r>
            <w:proofErr w:type="spellEnd"/>
            <w:r>
              <w:rPr>
                <w:color w:val="000000"/>
                <w:sz w:val="24"/>
              </w:rPr>
              <w:t>.</w:t>
            </w:r>
          </w:p>
        </w:tc>
        <w:tc>
          <w:tcPr>
            <w:tcW w:w="993" w:type="dxa"/>
            <w:vAlign w:val="center"/>
          </w:tcPr>
          <w:p w:rsidR="00087A59" w:rsidRDefault="001962CB">
            <w:pPr>
              <w:jc w:val="center"/>
            </w:pPr>
            <w:r>
              <w:rPr>
                <w:color w:val="000000"/>
                <w:sz w:val="24"/>
              </w:rPr>
              <w:lastRenderedPageBreak/>
              <w:t>招商银行股份有限公</w:t>
            </w:r>
            <w:r>
              <w:rPr>
                <w:color w:val="000000"/>
                <w:sz w:val="24"/>
              </w:rPr>
              <w:lastRenderedPageBreak/>
              <w:t>司</w:t>
            </w:r>
          </w:p>
        </w:tc>
        <w:tc>
          <w:tcPr>
            <w:tcW w:w="725" w:type="dxa"/>
            <w:vAlign w:val="center"/>
          </w:tcPr>
          <w:p w:rsidR="00087A59" w:rsidRDefault="001962CB">
            <w:pPr>
              <w:jc w:val="center"/>
            </w:pPr>
            <w:r>
              <w:rPr>
                <w:color w:val="000000"/>
                <w:sz w:val="24"/>
              </w:rPr>
              <w:lastRenderedPageBreak/>
              <w:t>3968 HK</w:t>
            </w:r>
          </w:p>
        </w:tc>
        <w:tc>
          <w:tcPr>
            <w:tcW w:w="747" w:type="dxa"/>
            <w:vAlign w:val="center"/>
          </w:tcPr>
          <w:p w:rsidR="00087A59" w:rsidRDefault="001962CB">
            <w:pPr>
              <w:jc w:val="center"/>
            </w:pPr>
            <w:r>
              <w:rPr>
                <w:color w:val="000000"/>
                <w:sz w:val="24"/>
              </w:rPr>
              <w:t>香港证券交易</w:t>
            </w:r>
            <w:r>
              <w:rPr>
                <w:color w:val="000000"/>
                <w:sz w:val="24"/>
              </w:rPr>
              <w:lastRenderedPageBreak/>
              <w:t>所</w:t>
            </w:r>
          </w:p>
        </w:tc>
        <w:tc>
          <w:tcPr>
            <w:tcW w:w="975" w:type="dxa"/>
            <w:vAlign w:val="center"/>
          </w:tcPr>
          <w:p w:rsidR="00087A59" w:rsidRDefault="001962CB">
            <w:pPr>
              <w:jc w:val="center"/>
            </w:pPr>
            <w:r>
              <w:rPr>
                <w:color w:val="000000"/>
                <w:sz w:val="24"/>
              </w:rPr>
              <w:lastRenderedPageBreak/>
              <w:t>香港</w:t>
            </w:r>
          </w:p>
        </w:tc>
        <w:tc>
          <w:tcPr>
            <w:tcW w:w="1175" w:type="dxa"/>
            <w:vAlign w:val="center"/>
          </w:tcPr>
          <w:p w:rsidR="00087A59" w:rsidRDefault="001962CB">
            <w:pPr>
              <w:jc w:val="right"/>
            </w:pPr>
            <w:r>
              <w:rPr>
                <w:color w:val="000000"/>
                <w:sz w:val="24"/>
              </w:rPr>
              <w:t>140,000</w:t>
            </w:r>
          </w:p>
        </w:tc>
        <w:tc>
          <w:tcPr>
            <w:tcW w:w="975" w:type="dxa"/>
            <w:vAlign w:val="center"/>
          </w:tcPr>
          <w:p w:rsidR="00087A59" w:rsidRDefault="001962CB">
            <w:pPr>
              <w:jc w:val="right"/>
            </w:pPr>
            <w:r>
              <w:rPr>
                <w:color w:val="000000"/>
                <w:sz w:val="24"/>
              </w:rPr>
              <w:t>2,861,138.71</w:t>
            </w:r>
          </w:p>
        </w:tc>
        <w:tc>
          <w:tcPr>
            <w:tcW w:w="1175" w:type="dxa"/>
            <w:vAlign w:val="center"/>
          </w:tcPr>
          <w:p w:rsidR="00087A59" w:rsidRDefault="001962CB">
            <w:pPr>
              <w:jc w:val="right"/>
            </w:pPr>
            <w:r>
              <w:rPr>
                <w:color w:val="000000"/>
                <w:sz w:val="24"/>
              </w:rPr>
              <w:t>2.41</w:t>
            </w:r>
          </w:p>
        </w:tc>
      </w:tr>
      <w:tr w:rsidR="00087A59">
        <w:trPr>
          <w:jc w:val="center"/>
        </w:trPr>
        <w:tc>
          <w:tcPr>
            <w:tcW w:w="1243" w:type="dxa"/>
            <w:vAlign w:val="center"/>
          </w:tcPr>
          <w:p w:rsidR="00087A59" w:rsidRDefault="001962CB">
            <w:pPr>
              <w:jc w:val="center"/>
            </w:pPr>
            <w:r>
              <w:rPr>
                <w:color w:val="000000"/>
                <w:sz w:val="24"/>
              </w:rPr>
              <w:t>4</w:t>
            </w:r>
          </w:p>
        </w:tc>
        <w:tc>
          <w:tcPr>
            <w:tcW w:w="971" w:type="dxa"/>
            <w:vAlign w:val="center"/>
          </w:tcPr>
          <w:p w:rsidR="00087A59" w:rsidRDefault="001962CB">
            <w:pPr>
              <w:jc w:val="center"/>
            </w:pPr>
            <w:r>
              <w:rPr>
                <w:color w:val="000000"/>
                <w:sz w:val="24"/>
              </w:rPr>
              <w:t xml:space="preserve">Alphabet </w:t>
            </w:r>
            <w:proofErr w:type="spellStart"/>
            <w:r>
              <w:rPr>
                <w:color w:val="000000"/>
                <w:sz w:val="24"/>
              </w:rPr>
              <w:t>Inc</w:t>
            </w:r>
            <w:proofErr w:type="spellEnd"/>
          </w:p>
        </w:tc>
        <w:tc>
          <w:tcPr>
            <w:tcW w:w="993" w:type="dxa"/>
            <w:vAlign w:val="center"/>
          </w:tcPr>
          <w:p w:rsidR="00087A59" w:rsidRDefault="001962CB">
            <w:pPr>
              <w:jc w:val="center"/>
            </w:pPr>
            <w:r>
              <w:rPr>
                <w:color w:val="000000"/>
                <w:sz w:val="24"/>
              </w:rPr>
              <w:t>Alphabet</w:t>
            </w:r>
            <w:r>
              <w:rPr>
                <w:color w:val="000000"/>
                <w:sz w:val="24"/>
              </w:rPr>
              <w:t>公司</w:t>
            </w:r>
          </w:p>
        </w:tc>
        <w:tc>
          <w:tcPr>
            <w:tcW w:w="725" w:type="dxa"/>
            <w:vAlign w:val="center"/>
          </w:tcPr>
          <w:p w:rsidR="00087A59" w:rsidRDefault="001962CB">
            <w:pPr>
              <w:jc w:val="center"/>
            </w:pPr>
            <w:r>
              <w:rPr>
                <w:color w:val="000000"/>
                <w:sz w:val="24"/>
              </w:rPr>
              <w:t>GOOGL US</w:t>
            </w:r>
          </w:p>
        </w:tc>
        <w:tc>
          <w:tcPr>
            <w:tcW w:w="747" w:type="dxa"/>
            <w:vAlign w:val="center"/>
          </w:tcPr>
          <w:p w:rsidR="00087A59" w:rsidRDefault="001962CB">
            <w:pPr>
              <w:jc w:val="center"/>
            </w:pPr>
            <w:r>
              <w:rPr>
                <w:color w:val="000000"/>
                <w:sz w:val="24"/>
              </w:rPr>
              <w:t>美国证券交易所</w:t>
            </w:r>
          </w:p>
        </w:tc>
        <w:tc>
          <w:tcPr>
            <w:tcW w:w="975" w:type="dxa"/>
            <w:vAlign w:val="center"/>
          </w:tcPr>
          <w:p w:rsidR="00087A59" w:rsidRDefault="001962CB">
            <w:pPr>
              <w:jc w:val="center"/>
            </w:pPr>
            <w:r>
              <w:rPr>
                <w:color w:val="000000"/>
                <w:sz w:val="24"/>
              </w:rPr>
              <w:t>美国</w:t>
            </w:r>
          </w:p>
        </w:tc>
        <w:tc>
          <w:tcPr>
            <w:tcW w:w="1175" w:type="dxa"/>
            <w:vAlign w:val="center"/>
          </w:tcPr>
          <w:p w:rsidR="00087A59" w:rsidRDefault="001962CB">
            <w:pPr>
              <w:jc w:val="right"/>
            </w:pPr>
            <w:r>
              <w:rPr>
                <w:color w:val="000000"/>
                <w:sz w:val="24"/>
              </w:rPr>
              <w:t>396</w:t>
            </w:r>
          </w:p>
        </w:tc>
        <w:tc>
          <w:tcPr>
            <w:tcW w:w="975" w:type="dxa"/>
            <w:vAlign w:val="center"/>
          </w:tcPr>
          <w:p w:rsidR="00087A59" w:rsidRDefault="001962CB">
            <w:pPr>
              <w:jc w:val="right"/>
            </w:pPr>
            <w:r>
              <w:rPr>
                <w:color w:val="000000"/>
                <w:sz w:val="24"/>
              </w:rPr>
              <w:t>2,494,017.58</w:t>
            </w:r>
          </w:p>
        </w:tc>
        <w:tc>
          <w:tcPr>
            <w:tcW w:w="1175" w:type="dxa"/>
            <w:vAlign w:val="center"/>
          </w:tcPr>
          <w:p w:rsidR="00087A59" w:rsidRDefault="001962CB">
            <w:pPr>
              <w:jc w:val="right"/>
            </w:pPr>
            <w:r>
              <w:rPr>
                <w:color w:val="000000"/>
                <w:sz w:val="24"/>
              </w:rPr>
              <w:t>2.10</w:t>
            </w:r>
          </w:p>
        </w:tc>
      </w:tr>
      <w:tr w:rsidR="00087A59">
        <w:trPr>
          <w:jc w:val="center"/>
        </w:trPr>
        <w:tc>
          <w:tcPr>
            <w:tcW w:w="1243" w:type="dxa"/>
            <w:vAlign w:val="center"/>
          </w:tcPr>
          <w:p w:rsidR="00087A59" w:rsidRDefault="001962CB">
            <w:pPr>
              <w:jc w:val="center"/>
            </w:pPr>
            <w:r>
              <w:rPr>
                <w:color w:val="000000"/>
                <w:sz w:val="24"/>
              </w:rPr>
              <w:t>5</w:t>
            </w:r>
          </w:p>
        </w:tc>
        <w:tc>
          <w:tcPr>
            <w:tcW w:w="971" w:type="dxa"/>
            <w:vAlign w:val="center"/>
          </w:tcPr>
          <w:p w:rsidR="00087A59" w:rsidRDefault="001962CB">
            <w:pPr>
              <w:jc w:val="center"/>
            </w:pPr>
            <w:r>
              <w:rPr>
                <w:color w:val="000000"/>
                <w:sz w:val="24"/>
              </w:rPr>
              <w:t xml:space="preserve">Citigroup </w:t>
            </w:r>
            <w:proofErr w:type="spellStart"/>
            <w:r>
              <w:rPr>
                <w:color w:val="000000"/>
                <w:sz w:val="24"/>
              </w:rPr>
              <w:t>Inc</w:t>
            </w:r>
            <w:proofErr w:type="spellEnd"/>
          </w:p>
        </w:tc>
        <w:tc>
          <w:tcPr>
            <w:tcW w:w="993" w:type="dxa"/>
            <w:vAlign w:val="center"/>
          </w:tcPr>
          <w:p w:rsidR="00087A59" w:rsidRDefault="001962CB">
            <w:pPr>
              <w:jc w:val="center"/>
            </w:pPr>
            <w:r>
              <w:rPr>
                <w:color w:val="000000"/>
                <w:sz w:val="24"/>
              </w:rPr>
              <w:t>花旗集团</w:t>
            </w:r>
          </w:p>
        </w:tc>
        <w:tc>
          <w:tcPr>
            <w:tcW w:w="725" w:type="dxa"/>
            <w:vAlign w:val="center"/>
          </w:tcPr>
          <w:p w:rsidR="00087A59" w:rsidRDefault="001962CB">
            <w:pPr>
              <w:jc w:val="center"/>
            </w:pPr>
            <w:r>
              <w:rPr>
                <w:color w:val="000000"/>
                <w:sz w:val="24"/>
              </w:rPr>
              <w:t>C US</w:t>
            </w:r>
          </w:p>
        </w:tc>
        <w:tc>
          <w:tcPr>
            <w:tcW w:w="747" w:type="dxa"/>
            <w:vAlign w:val="center"/>
          </w:tcPr>
          <w:p w:rsidR="00087A59" w:rsidRDefault="001962CB">
            <w:pPr>
              <w:jc w:val="center"/>
            </w:pPr>
            <w:r>
              <w:rPr>
                <w:color w:val="000000"/>
                <w:sz w:val="24"/>
              </w:rPr>
              <w:t>美国证券交易所</w:t>
            </w:r>
          </w:p>
        </w:tc>
        <w:tc>
          <w:tcPr>
            <w:tcW w:w="975" w:type="dxa"/>
            <w:vAlign w:val="center"/>
          </w:tcPr>
          <w:p w:rsidR="00087A59" w:rsidRDefault="001962CB">
            <w:pPr>
              <w:jc w:val="center"/>
            </w:pPr>
            <w:r>
              <w:rPr>
                <w:color w:val="000000"/>
                <w:sz w:val="24"/>
              </w:rPr>
              <w:t>美国</w:t>
            </w:r>
          </w:p>
        </w:tc>
        <w:tc>
          <w:tcPr>
            <w:tcW w:w="1175" w:type="dxa"/>
            <w:vAlign w:val="center"/>
          </w:tcPr>
          <w:p w:rsidR="00087A59" w:rsidRDefault="001962CB">
            <w:pPr>
              <w:jc w:val="right"/>
            </w:pPr>
            <w:r>
              <w:rPr>
                <w:color w:val="000000"/>
                <w:sz w:val="24"/>
              </w:rPr>
              <w:t>5,229</w:t>
            </w:r>
          </w:p>
        </w:tc>
        <w:tc>
          <w:tcPr>
            <w:tcW w:w="975" w:type="dxa"/>
            <w:vAlign w:val="center"/>
          </w:tcPr>
          <w:p w:rsidR="00087A59" w:rsidRDefault="001962CB">
            <w:pPr>
              <w:jc w:val="right"/>
            </w:pPr>
            <w:r>
              <w:rPr>
                <w:color w:val="000000"/>
                <w:sz w:val="24"/>
              </w:rPr>
              <w:t>2,369,112.82</w:t>
            </w:r>
          </w:p>
        </w:tc>
        <w:tc>
          <w:tcPr>
            <w:tcW w:w="1175" w:type="dxa"/>
            <w:vAlign w:val="center"/>
          </w:tcPr>
          <w:p w:rsidR="00087A59" w:rsidRDefault="001962CB">
            <w:pPr>
              <w:jc w:val="right"/>
            </w:pPr>
            <w:r>
              <w:rPr>
                <w:color w:val="000000"/>
                <w:sz w:val="24"/>
              </w:rPr>
              <w:t>2.00</w:t>
            </w:r>
          </w:p>
        </w:tc>
      </w:tr>
      <w:tr w:rsidR="00087A59">
        <w:trPr>
          <w:jc w:val="center"/>
        </w:trPr>
        <w:tc>
          <w:tcPr>
            <w:tcW w:w="1243" w:type="dxa"/>
            <w:vAlign w:val="center"/>
          </w:tcPr>
          <w:p w:rsidR="00087A59" w:rsidRDefault="001962CB">
            <w:pPr>
              <w:jc w:val="center"/>
            </w:pPr>
            <w:r>
              <w:rPr>
                <w:color w:val="000000"/>
                <w:sz w:val="24"/>
              </w:rPr>
              <w:t>6</w:t>
            </w:r>
          </w:p>
        </w:tc>
        <w:tc>
          <w:tcPr>
            <w:tcW w:w="971" w:type="dxa"/>
            <w:vAlign w:val="center"/>
          </w:tcPr>
          <w:p w:rsidR="00087A59" w:rsidRDefault="001962CB">
            <w:pPr>
              <w:jc w:val="center"/>
            </w:pPr>
            <w:r>
              <w:rPr>
                <w:color w:val="000000"/>
                <w:sz w:val="24"/>
              </w:rPr>
              <w:t xml:space="preserve">UnitedHealth Group </w:t>
            </w:r>
            <w:proofErr w:type="spellStart"/>
            <w:r>
              <w:rPr>
                <w:color w:val="000000"/>
                <w:sz w:val="24"/>
              </w:rPr>
              <w:t>Inc</w:t>
            </w:r>
            <w:proofErr w:type="spellEnd"/>
          </w:p>
        </w:tc>
        <w:tc>
          <w:tcPr>
            <w:tcW w:w="993" w:type="dxa"/>
            <w:vAlign w:val="center"/>
          </w:tcPr>
          <w:p w:rsidR="00087A59" w:rsidRDefault="001962CB">
            <w:pPr>
              <w:jc w:val="center"/>
            </w:pPr>
            <w:r>
              <w:rPr>
                <w:color w:val="000000"/>
                <w:sz w:val="24"/>
              </w:rPr>
              <w:t>美国联合健康集团</w:t>
            </w:r>
          </w:p>
        </w:tc>
        <w:tc>
          <w:tcPr>
            <w:tcW w:w="725" w:type="dxa"/>
            <w:vAlign w:val="center"/>
          </w:tcPr>
          <w:p w:rsidR="00087A59" w:rsidRDefault="001962CB">
            <w:pPr>
              <w:jc w:val="center"/>
            </w:pPr>
            <w:r>
              <w:rPr>
                <w:color w:val="000000"/>
                <w:sz w:val="24"/>
              </w:rPr>
              <w:t>UNH US</w:t>
            </w:r>
          </w:p>
        </w:tc>
        <w:tc>
          <w:tcPr>
            <w:tcW w:w="747" w:type="dxa"/>
            <w:vAlign w:val="center"/>
          </w:tcPr>
          <w:p w:rsidR="00087A59" w:rsidRDefault="001962CB">
            <w:pPr>
              <w:jc w:val="center"/>
            </w:pPr>
            <w:r>
              <w:rPr>
                <w:color w:val="000000"/>
                <w:sz w:val="24"/>
              </w:rPr>
              <w:t>美国证券交易所</w:t>
            </w:r>
          </w:p>
        </w:tc>
        <w:tc>
          <w:tcPr>
            <w:tcW w:w="975" w:type="dxa"/>
            <w:vAlign w:val="center"/>
          </w:tcPr>
          <w:p w:rsidR="00087A59" w:rsidRDefault="001962CB">
            <w:pPr>
              <w:jc w:val="center"/>
            </w:pPr>
            <w:r>
              <w:rPr>
                <w:color w:val="000000"/>
                <w:sz w:val="24"/>
              </w:rPr>
              <w:t>美国</w:t>
            </w:r>
          </w:p>
        </w:tc>
        <w:tc>
          <w:tcPr>
            <w:tcW w:w="1175" w:type="dxa"/>
            <w:vAlign w:val="center"/>
          </w:tcPr>
          <w:p w:rsidR="00087A59" w:rsidRDefault="001962CB">
            <w:pPr>
              <w:jc w:val="right"/>
            </w:pPr>
            <w:r>
              <w:rPr>
                <w:color w:val="000000"/>
                <w:sz w:val="24"/>
              </w:rPr>
              <w:t>1,861</w:t>
            </w:r>
          </w:p>
        </w:tc>
        <w:tc>
          <w:tcPr>
            <w:tcW w:w="975" w:type="dxa"/>
            <w:vAlign w:val="center"/>
          </w:tcPr>
          <w:p w:rsidR="00087A59" w:rsidRDefault="001962CB">
            <w:pPr>
              <w:jc w:val="right"/>
            </w:pPr>
            <w:r>
              <w:rPr>
                <w:color w:val="000000"/>
                <w:sz w:val="24"/>
              </w:rPr>
              <w:t>2,337,619.31</w:t>
            </w:r>
          </w:p>
        </w:tc>
        <w:tc>
          <w:tcPr>
            <w:tcW w:w="1175" w:type="dxa"/>
            <w:vAlign w:val="center"/>
          </w:tcPr>
          <w:p w:rsidR="00087A59" w:rsidRDefault="001962CB">
            <w:pPr>
              <w:jc w:val="right"/>
            </w:pPr>
            <w:r>
              <w:rPr>
                <w:color w:val="000000"/>
                <w:sz w:val="24"/>
              </w:rPr>
              <w:t>1.97</w:t>
            </w:r>
          </w:p>
        </w:tc>
      </w:tr>
      <w:tr w:rsidR="00087A59">
        <w:trPr>
          <w:jc w:val="center"/>
        </w:trPr>
        <w:tc>
          <w:tcPr>
            <w:tcW w:w="1243" w:type="dxa"/>
            <w:vAlign w:val="center"/>
          </w:tcPr>
          <w:p w:rsidR="00087A59" w:rsidRDefault="001962CB">
            <w:pPr>
              <w:jc w:val="center"/>
            </w:pPr>
            <w:r>
              <w:rPr>
                <w:color w:val="000000"/>
                <w:sz w:val="24"/>
              </w:rPr>
              <w:t>7</w:t>
            </w:r>
          </w:p>
        </w:tc>
        <w:tc>
          <w:tcPr>
            <w:tcW w:w="971" w:type="dxa"/>
            <w:vAlign w:val="center"/>
          </w:tcPr>
          <w:p w:rsidR="00087A59" w:rsidRDefault="001962CB">
            <w:pPr>
              <w:jc w:val="center"/>
            </w:pPr>
            <w:r>
              <w:rPr>
                <w:color w:val="000000"/>
                <w:sz w:val="24"/>
              </w:rPr>
              <w:t>Comcast Corp</w:t>
            </w:r>
          </w:p>
        </w:tc>
        <w:tc>
          <w:tcPr>
            <w:tcW w:w="993" w:type="dxa"/>
            <w:vAlign w:val="center"/>
          </w:tcPr>
          <w:p w:rsidR="00087A59" w:rsidRDefault="001962CB">
            <w:pPr>
              <w:jc w:val="center"/>
            </w:pPr>
            <w:r>
              <w:rPr>
                <w:color w:val="000000"/>
                <w:sz w:val="24"/>
              </w:rPr>
              <w:t>康卡斯特</w:t>
            </w:r>
          </w:p>
        </w:tc>
        <w:tc>
          <w:tcPr>
            <w:tcW w:w="725" w:type="dxa"/>
            <w:vAlign w:val="center"/>
          </w:tcPr>
          <w:p w:rsidR="00087A59" w:rsidRDefault="001962CB">
            <w:pPr>
              <w:jc w:val="center"/>
            </w:pPr>
            <w:r>
              <w:rPr>
                <w:color w:val="000000"/>
                <w:sz w:val="24"/>
              </w:rPr>
              <w:t>CMCSA US</w:t>
            </w:r>
          </w:p>
        </w:tc>
        <w:tc>
          <w:tcPr>
            <w:tcW w:w="747" w:type="dxa"/>
            <w:vAlign w:val="center"/>
          </w:tcPr>
          <w:p w:rsidR="00087A59" w:rsidRDefault="001962CB">
            <w:pPr>
              <w:jc w:val="center"/>
            </w:pPr>
            <w:r>
              <w:rPr>
                <w:color w:val="000000"/>
                <w:sz w:val="24"/>
              </w:rPr>
              <w:t>美国证券交易所</w:t>
            </w:r>
          </w:p>
        </w:tc>
        <w:tc>
          <w:tcPr>
            <w:tcW w:w="975" w:type="dxa"/>
            <w:vAlign w:val="center"/>
          </w:tcPr>
          <w:p w:rsidR="00087A59" w:rsidRDefault="001962CB">
            <w:pPr>
              <w:jc w:val="center"/>
            </w:pPr>
            <w:r>
              <w:rPr>
                <w:color w:val="000000"/>
                <w:sz w:val="24"/>
              </w:rPr>
              <w:t>美国</w:t>
            </w:r>
          </w:p>
        </w:tc>
        <w:tc>
          <w:tcPr>
            <w:tcW w:w="1175" w:type="dxa"/>
            <w:vAlign w:val="center"/>
          </w:tcPr>
          <w:p w:rsidR="00087A59" w:rsidRDefault="001962CB">
            <w:pPr>
              <w:jc w:val="right"/>
            </w:pPr>
            <w:r>
              <w:rPr>
                <w:color w:val="000000"/>
                <w:sz w:val="24"/>
              </w:rPr>
              <w:t>8,746</w:t>
            </w:r>
          </w:p>
        </w:tc>
        <w:tc>
          <w:tcPr>
            <w:tcW w:w="975" w:type="dxa"/>
            <w:vAlign w:val="center"/>
          </w:tcPr>
          <w:p w:rsidR="00087A59" w:rsidRDefault="001962CB">
            <w:pPr>
              <w:jc w:val="right"/>
            </w:pPr>
            <w:r>
              <w:rPr>
                <w:color w:val="000000"/>
                <w:sz w:val="24"/>
              </w:rPr>
              <w:t>2,305,967.28</w:t>
            </w:r>
          </w:p>
        </w:tc>
        <w:tc>
          <w:tcPr>
            <w:tcW w:w="1175" w:type="dxa"/>
            <w:vAlign w:val="center"/>
          </w:tcPr>
          <w:p w:rsidR="00087A59" w:rsidRDefault="001962CB">
            <w:pPr>
              <w:jc w:val="right"/>
            </w:pPr>
            <w:r>
              <w:rPr>
                <w:color w:val="000000"/>
                <w:sz w:val="24"/>
              </w:rPr>
              <w:t>1.95</w:t>
            </w:r>
          </w:p>
        </w:tc>
      </w:tr>
      <w:tr w:rsidR="00087A59">
        <w:trPr>
          <w:jc w:val="center"/>
        </w:trPr>
        <w:tc>
          <w:tcPr>
            <w:tcW w:w="1243" w:type="dxa"/>
            <w:vAlign w:val="center"/>
          </w:tcPr>
          <w:p w:rsidR="00087A59" w:rsidRDefault="001962CB">
            <w:pPr>
              <w:jc w:val="center"/>
            </w:pPr>
            <w:r>
              <w:rPr>
                <w:color w:val="000000"/>
                <w:sz w:val="24"/>
              </w:rPr>
              <w:t>8</w:t>
            </w:r>
          </w:p>
        </w:tc>
        <w:tc>
          <w:tcPr>
            <w:tcW w:w="971" w:type="dxa"/>
            <w:vAlign w:val="center"/>
          </w:tcPr>
          <w:p w:rsidR="00087A59" w:rsidRDefault="001962CB">
            <w:pPr>
              <w:jc w:val="center"/>
            </w:pPr>
            <w:r>
              <w:rPr>
                <w:color w:val="000000"/>
                <w:sz w:val="24"/>
              </w:rPr>
              <w:t xml:space="preserve">Chongqing Rural Commercial Bank </w:t>
            </w:r>
            <w:proofErr w:type="spellStart"/>
            <w:r>
              <w:rPr>
                <w:color w:val="000000"/>
                <w:sz w:val="24"/>
              </w:rPr>
              <w:t>Co.,ltd</w:t>
            </w:r>
            <w:proofErr w:type="spellEnd"/>
            <w:r>
              <w:rPr>
                <w:color w:val="000000"/>
                <w:sz w:val="24"/>
              </w:rPr>
              <w:t>.</w:t>
            </w:r>
          </w:p>
        </w:tc>
        <w:tc>
          <w:tcPr>
            <w:tcW w:w="993" w:type="dxa"/>
            <w:vAlign w:val="center"/>
          </w:tcPr>
          <w:p w:rsidR="00087A59" w:rsidRDefault="001962CB">
            <w:pPr>
              <w:jc w:val="center"/>
            </w:pPr>
            <w:r>
              <w:rPr>
                <w:color w:val="000000"/>
                <w:sz w:val="24"/>
              </w:rPr>
              <w:t>重庆农村商业银行股份有限公司</w:t>
            </w:r>
          </w:p>
        </w:tc>
        <w:tc>
          <w:tcPr>
            <w:tcW w:w="725" w:type="dxa"/>
            <w:vAlign w:val="center"/>
          </w:tcPr>
          <w:p w:rsidR="00087A59" w:rsidRDefault="001962CB">
            <w:pPr>
              <w:jc w:val="center"/>
            </w:pPr>
            <w:r>
              <w:rPr>
                <w:color w:val="000000"/>
                <w:sz w:val="24"/>
              </w:rPr>
              <w:t>3618 HK</w:t>
            </w:r>
          </w:p>
        </w:tc>
        <w:tc>
          <w:tcPr>
            <w:tcW w:w="747" w:type="dxa"/>
            <w:vAlign w:val="center"/>
          </w:tcPr>
          <w:p w:rsidR="00087A59" w:rsidRDefault="001962CB">
            <w:pPr>
              <w:jc w:val="center"/>
            </w:pPr>
            <w:r>
              <w:rPr>
                <w:color w:val="000000"/>
                <w:sz w:val="24"/>
              </w:rPr>
              <w:t>香港证券交易所</w:t>
            </w:r>
          </w:p>
        </w:tc>
        <w:tc>
          <w:tcPr>
            <w:tcW w:w="975" w:type="dxa"/>
            <w:vAlign w:val="center"/>
          </w:tcPr>
          <w:p w:rsidR="00087A59" w:rsidRDefault="001962CB">
            <w:pPr>
              <w:jc w:val="center"/>
            </w:pPr>
            <w:r>
              <w:rPr>
                <w:color w:val="000000"/>
                <w:sz w:val="24"/>
              </w:rPr>
              <w:t>香港</w:t>
            </w:r>
          </w:p>
        </w:tc>
        <w:tc>
          <w:tcPr>
            <w:tcW w:w="1175" w:type="dxa"/>
            <w:vAlign w:val="center"/>
          </w:tcPr>
          <w:p w:rsidR="00087A59" w:rsidRDefault="001962CB">
            <w:pPr>
              <w:jc w:val="right"/>
            </w:pPr>
            <w:r>
              <w:rPr>
                <w:color w:val="000000"/>
                <w:sz w:val="24"/>
              </w:rPr>
              <w:t>500,000</w:t>
            </w:r>
          </w:p>
        </w:tc>
        <w:tc>
          <w:tcPr>
            <w:tcW w:w="975" w:type="dxa"/>
            <w:vAlign w:val="center"/>
          </w:tcPr>
          <w:p w:rsidR="00087A59" w:rsidRDefault="001962CB">
            <w:pPr>
              <w:jc w:val="right"/>
            </w:pPr>
            <w:r>
              <w:rPr>
                <w:color w:val="000000"/>
                <w:sz w:val="24"/>
              </w:rPr>
              <w:t>2,286,654.69</w:t>
            </w:r>
          </w:p>
        </w:tc>
        <w:tc>
          <w:tcPr>
            <w:tcW w:w="1175" w:type="dxa"/>
            <w:vAlign w:val="center"/>
          </w:tcPr>
          <w:p w:rsidR="00087A59" w:rsidRDefault="001962CB">
            <w:pPr>
              <w:jc w:val="right"/>
            </w:pPr>
            <w:r>
              <w:rPr>
                <w:color w:val="000000"/>
                <w:sz w:val="24"/>
              </w:rPr>
              <w:t>1.93</w:t>
            </w:r>
          </w:p>
        </w:tc>
      </w:tr>
      <w:tr w:rsidR="00087A59">
        <w:trPr>
          <w:jc w:val="center"/>
        </w:trPr>
        <w:tc>
          <w:tcPr>
            <w:tcW w:w="1243" w:type="dxa"/>
            <w:vAlign w:val="center"/>
          </w:tcPr>
          <w:p w:rsidR="00087A59" w:rsidRDefault="001962CB">
            <w:pPr>
              <w:jc w:val="center"/>
            </w:pPr>
            <w:r>
              <w:rPr>
                <w:color w:val="000000"/>
                <w:sz w:val="24"/>
              </w:rPr>
              <w:t>9</w:t>
            </w:r>
          </w:p>
        </w:tc>
        <w:tc>
          <w:tcPr>
            <w:tcW w:w="971" w:type="dxa"/>
            <w:vAlign w:val="center"/>
          </w:tcPr>
          <w:p w:rsidR="00087A59" w:rsidRDefault="001962CB">
            <w:pPr>
              <w:jc w:val="center"/>
            </w:pPr>
            <w:r>
              <w:rPr>
                <w:color w:val="000000"/>
                <w:sz w:val="24"/>
              </w:rPr>
              <w:t xml:space="preserve">Amazon.com </w:t>
            </w:r>
            <w:proofErr w:type="spellStart"/>
            <w:r>
              <w:rPr>
                <w:color w:val="000000"/>
                <w:sz w:val="24"/>
              </w:rPr>
              <w:t>Inc</w:t>
            </w:r>
            <w:proofErr w:type="spellEnd"/>
          </w:p>
        </w:tc>
        <w:tc>
          <w:tcPr>
            <w:tcW w:w="993" w:type="dxa"/>
            <w:vAlign w:val="center"/>
          </w:tcPr>
          <w:p w:rsidR="00087A59" w:rsidRDefault="001962CB">
            <w:pPr>
              <w:jc w:val="center"/>
            </w:pPr>
            <w:r>
              <w:rPr>
                <w:color w:val="000000"/>
                <w:sz w:val="24"/>
              </w:rPr>
              <w:t>亚马逊公司</w:t>
            </w:r>
          </w:p>
        </w:tc>
        <w:tc>
          <w:tcPr>
            <w:tcW w:w="725" w:type="dxa"/>
            <w:vAlign w:val="center"/>
          </w:tcPr>
          <w:p w:rsidR="00087A59" w:rsidRDefault="001962CB">
            <w:pPr>
              <w:jc w:val="center"/>
            </w:pPr>
            <w:r>
              <w:rPr>
                <w:color w:val="000000"/>
                <w:sz w:val="24"/>
              </w:rPr>
              <w:t>AMZN US</w:t>
            </w:r>
          </w:p>
        </w:tc>
        <w:tc>
          <w:tcPr>
            <w:tcW w:w="747" w:type="dxa"/>
            <w:vAlign w:val="center"/>
          </w:tcPr>
          <w:p w:rsidR="00087A59" w:rsidRDefault="001962CB">
            <w:pPr>
              <w:jc w:val="center"/>
            </w:pPr>
            <w:r>
              <w:rPr>
                <w:color w:val="000000"/>
                <w:sz w:val="24"/>
              </w:rPr>
              <w:t>美国证券交易所</w:t>
            </w:r>
          </w:p>
        </w:tc>
        <w:tc>
          <w:tcPr>
            <w:tcW w:w="975" w:type="dxa"/>
            <w:vAlign w:val="center"/>
          </w:tcPr>
          <w:p w:rsidR="00087A59" w:rsidRDefault="001962CB">
            <w:pPr>
              <w:jc w:val="center"/>
            </w:pPr>
            <w:r>
              <w:rPr>
                <w:color w:val="000000"/>
                <w:sz w:val="24"/>
              </w:rPr>
              <w:t>美国</w:t>
            </w:r>
          </w:p>
        </w:tc>
        <w:tc>
          <w:tcPr>
            <w:tcW w:w="1175" w:type="dxa"/>
            <w:vAlign w:val="center"/>
          </w:tcPr>
          <w:p w:rsidR="00087A59" w:rsidRDefault="001962CB">
            <w:pPr>
              <w:jc w:val="right"/>
            </w:pPr>
            <w:r>
              <w:rPr>
                <w:color w:val="000000"/>
                <w:sz w:val="24"/>
              </w:rPr>
              <w:t>345</w:t>
            </w:r>
          </w:p>
        </w:tc>
        <w:tc>
          <w:tcPr>
            <w:tcW w:w="975" w:type="dxa"/>
            <w:vAlign w:val="center"/>
          </w:tcPr>
          <w:p w:rsidR="00087A59" w:rsidRDefault="001962CB">
            <w:pPr>
              <w:jc w:val="right"/>
            </w:pPr>
            <w:r>
              <w:rPr>
                <w:color w:val="000000"/>
                <w:sz w:val="24"/>
              </w:rPr>
              <w:t>2,262,378.62</w:t>
            </w:r>
          </w:p>
        </w:tc>
        <w:tc>
          <w:tcPr>
            <w:tcW w:w="1175" w:type="dxa"/>
            <w:vAlign w:val="center"/>
          </w:tcPr>
          <w:p w:rsidR="00087A59" w:rsidRDefault="001962CB">
            <w:pPr>
              <w:jc w:val="right"/>
            </w:pPr>
            <w:r>
              <w:rPr>
                <w:color w:val="000000"/>
                <w:sz w:val="24"/>
              </w:rPr>
              <w:t>1.91</w:t>
            </w:r>
          </w:p>
        </w:tc>
      </w:tr>
      <w:tr w:rsidR="00087A59">
        <w:trPr>
          <w:jc w:val="center"/>
        </w:trPr>
        <w:tc>
          <w:tcPr>
            <w:tcW w:w="1243" w:type="dxa"/>
            <w:vAlign w:val="center"/>
          </w:tcPr>
          <w:p w:rsidR="00087A59" w:rsidRDefault="001962CB">
            <w:pPr>
              <w:jc w:val="center"/>
            </w:pPr>
            <w:r>
              <w:rPr>
                <w:color w:val="000000"/>
                <w:sz w:val="24"/>
              </w:rPr>
              <w:t>10</w:t>
            </w:r>
          </w:p>
        </w:tc>
        <w:tc>
          <w:tcPr>
            <w:tcW w:w="971" w:type="dxa"/>
            <w:vAlign w:val="center"/>
          </w:tcPr>
          <w:p w:rsidR="00087A59" w:rsidRDefault="001962CB">
            <w:pPr>
              <w:jc w:val="center"/>
            </w:pPr>
            <w:r>
              <w:rPr>
                <w:color w:val="000000"/>
                <w:sz w:val="24"/>
              </w:rPr>
              <w:t xml:space="preserve">Ping An Insurance (Group) Company Of </w:t>
            </w:r>
            <w:proofErr w:type="spellStart"/>
            <w:r>
              <w:rPr>
                <w:color w:val="000000"/>
                <w:sz w:val="24"/>
              </w:rPr>
              <w:t>China,Ltd</w:t>
            </w:r>
            <w:proofErr w:type="spellEnd"/>
            <w:r>
              <w:rPr>
                <w:color w:val="000000"/>
                <w:sz w:val="24"/>
              </w:rPr>
              <w:t>.</w:t>
            </w:r>
          </w:p>
        </w:tc>
        <w:tc>
          <w:tcPr>
            <w:tcW w:w="993" w:type="dxa"/>
            <w:vAlign w:val="center"/>
          </w:tcPr>
          <w:p w:rsidR="00087A59" w:rsidRDefault="001962CB">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087A59" w:rsidRDefault="001962CB">
            <w:pPr>
              <w:jc w:val="center"/>
            </w:pPr>
            <w:r>
              <w:rPr>
                <w:color w:val="000000"/>
                <w:sz w:val="24"/>
              </w:rPr>
              <w:t>2318 HK</w:t>
            </w:r>
          </w:p>
        </w:tc>
        <w:tc>
          <w:tcPr>
            <w:tcW w:w="747" w:type="dxa"/>
            <w:vAlign w:val="center"/>
          </w:tcPr>
          <w:p w:rsidR="00087A59" w:rsidRDefault="001962CB">
            <w:pPr>
              <w:jc w:val="center"/>
            </w:pPr>
            <w:r>
              <w:rPr>
                <w:color w:val="000000"/>
                <w:sz w:val="24"/>
              </w:rPr>
              <w:t>香港证券交易所</w:t>
            </w:r>
          </w:p>
        </w:tc>
        <w:tc>
          <w:tcPr>
            <w:tcW w:w="975" w:type="dxa"/>
            <w:vAlign w:val="center"/>
          </w:tcPr>
          <w:p w:rsidR="00087A59" w:rsidRDefault="001962CB">
            <w:pPr>
              <w:jc w:val="center"/>
            </w:pPr>
            <w:r>
              <w:rPr>
                <w:color w:val="000000"/>
                <w:sz w:val="24"/>
              </w:rPr>
              <w:t>香港</w:t>
            </w:r>
          </w:p>
        </w:tc>
        <w:tc>
          <w:tcPr>
            <w:tcW w:w="1175" w:type="dxa"/>
            <w:vAlign w:val="center"/>
          </w:tcPr>
          <w:p w:rsidR="00087A59" w:rsidRDefault="001962CB">
            <w:pPr>
              <w:jc w:val="right"/>
            </w:pPr>
            <w:r>
              <w:rPr>
                <w:color w:val="000000"/>
                <w:sz w:val="24"/>
              </w:rPr>
              <w:t>50,000</w:t>
            </w:r>
          </w:p>
        </w:tc>
        <w:tc>
          <w:tcPr>
            <w:tcW w:w="975" w:type="dxa"/>
            <w:vAlign w:val="center"/>
          </w:tcPr>
          <w:p w:rsidR="00087A59" w:rsidRDefault="001962CB">
            <w:pPr>
              <w:jc w:val="right"/>
            </w:pPr>
            <w:r>
              <w:rPr>
                <w:color w:val="000000"/>
                <w:sz w:val="24"/>
              </w:rPr>
              <w:t>2,232,417.15</w:t>
            </w:r>
          </w:p>
        </w:tc>
        <w:tc>
          <w:tcPr>
            <w:tcW w:w="1175" w:type="dxa"/>
            <w:vAlign w:val="center"/>
          </w:tcPr>
          <w:p w:rsidR="00087A59" w:rsidRDefault="001962CB">
            <w:pPr>
              <w:jc w:val="right"/>
            </w:pPr>
            <w:r>
              <w:rPr>
                <w:color w:val="000000"/>
                <w:sz w:val="24"/>
              </w:rPr>
              <w:t>1.88</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1,241,206.65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372,834.97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840.42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79,194.83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681,376.97</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2,375,453.84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lastRenderedPageBreak/>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74,813,141.24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4,349,902.92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9,608,888.92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69,554,155.24</w:t>
            </w:r>
          </w:p>
        </w:tc>
      </w:tr>
    </w:tbl>
    <w:p w:rsidR="00087A59" w:rsidRDefault="001962C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FF6A2A" w:rsidRPr="00FF6A2A" w:rsidRDefault="00FF6A2A" w:rsidP="00FF6A2A">
      <w:pPr>
        <w:rPr>
          <w:color w:val="000000"/>
          <w:sz w:val="24"/>
        </w:rPr>
      </w:pPr>
      <w:r w:rsidRPr="00FF6A2A">
        <w:rPr>
          <w:rFonts w:hint="eastAsia"/>
          <w:color w:val="000000"/>
          <w:sz w:val="24"/>
        </w:rPr>
        <w:t>本基金管理人本报告期内未进行本基金的申购、赎回、红利再投等；本基金管理人本报告期末持有本基金份额</w:t>
      </w:r>
      <w:r w:rsidRPr="00FF6A2A">
        <w:rPr>
          <w:rFonts w:hint="eastAsia"/>
          <w:color w:val="000000"/>
          <w:sz w:val="24"/>
        </w:rPr>
        <w:t>26,054,355.51</w:t>
      </w:r>
      <w:r w:rsidRPr="00FF6A2A">
        <w:rPr>
          <w:rFonts w:hint="eastAsia"/>
          <w:color w:val="000000"/>
          <w:sz w:val="24"/>
        </w:rPr>
        <w:t>份，占本基金期末总份额的</w:t>
      </w:r>
      <w:r w:rsidRPr="00FF6A2A">
        <w:rPr>
          <w:rFonts w:hint="eastAsia"/>
          <w:color w:val="000000"/>
          <w:sz w:val="24"/>
        </w:rPr>
        <w:t>37.46%</w:t>
      </w:r>
      <w:r w:rsidRPr="00FF6A2A">
        <w:rPr>
          <w:rFonts w:hint="eastAsia"/>
          <w:color w:val="000000"/>
          <w:sz w:val="24"/>
        </w:rPr>
        <w:t>。</w:t>
      </w:r>
    </w:p>
    <w:p w:rsidR="00200B62" w:rsidRPr="00FF6A2A" w:rsidRDefault="00200B62" w:rsidP="005546C0">
      <w:pPr>
        <w:autoSpaceDE w:val="0"/>
        <w:autoSpaceDN w:val="0"/>
        <w:adjustRightInd w:val="0"/>
        <w:spacing w:before="29" w:line="288" w:lineRule="auto"/>
        <w:jc w:val="left"/>
        <w:rPr>
          <w:color w:val="000000"/>
          <w:sz w:val="24"/>
        </w:rPr>
      </w:pPr>
    </w:p>
    <w:p w:rsidR="00ED3DCF" w:rsidRPr="006F1089" w:rsidRDefault="00ED3DCF" w:rsidP="00ED3DC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6F1089">
        <w:rPr>
          <w:rFonts w:asciiTheme="minorEastAsia" w:eastAsiaTheme="minorEastAsia" w:hAnsiTheme="minorEastAsia" w:cs="Arial" w:hint="eastAsia"/>
          <w:color w:val="000000" w:themeColor="text1"/>
          <w:kern w:val="0"/>
          <w:sz w:val="24"/>
          <w:szCs w:val="24"/>
        </w:rPr>
        <w:t>§8 影响投资者决策的其他重要信息</w:t>
      </w:r>
    </w:p>
    <w:p w:rsidR="00ED3DCF" w:rsidRPr="006F1089" w:rsidRDefault="00ED3DCF" w:rsidP="00ED3DCF">
      <w:pPr>
        <w:autoSpaceDE w:val="0"/>
        <w:autoSpaceDN w:val="0"/>
        <w:adjustRightInd w:val="0"/>
        <w:spacing w:line="360" w:lineRule="auto"/>
        <w:jc w:val="left"/>
        <w:rPr>
          <w:rFonts w:ascii="宋体" w:hAnsi="宋体"/>
          <w:b/>
          <w:bCs/>
          <w:color w:val="000000"/>
          <w:kern w:val="0"/>
          <w:sz w:val="24"/>
        </w:rPr>
      </w:pPr>
      <w:r w:rsidRPr="006F1089">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RPr="00F45C57"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bookmarkStart w:id="0" w:name="_GoBack"/>
            <w:r w:rsidRPr="00F45C57">
              <w:rPr>
                <w:color w:val="000000"/>
                <w:kern w:val="0"/>
                <w:sz w:val="24"/>
              </w:rPr>
              <w:t>投资者类别</w:t>
            </w:r>
            <w:r w:rsidRPr="00F45C57">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报告期末持有基金情况</w:t>
            </w:r>
          </w:p>
        </w:tc>
      </w:tr>
      <w:tr w:rsidR="00ED3DCF" w:rsidRPr="00F45C57"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持有基金份额比例达到或者超过</w:t>
            </w:r>
            <w:r w:rsidRPr="00F45C57">
              <w:rPr>
                <w:color w:val="000000"/>
                <w:kern w:val="0"/>
                <w:sz w:val="24"/>
              </w:rPr>
              <w:t>20%</w:t>
            </w:r>
            <w:r w:rsidRPr="00F45C57">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widowControl/>
              <w:jc w:val="center"/>
              <w:rPr>
                <w:b/>
                <w:bCs/>
                <w:color w:val="000000"/>
                <w:kern w:val="0"/>
                <w:sz w:val="24"/>
              </w:rPr>
            </w:pPr>
            <w:r w:rsidRPr="00F45C57">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widowControl/>
              <w:jc w:val="center"/>
              <w:rPr>
                <w:b/>
                <w:bCs/>
                <w:color w:val="000000"/>
                <w:kern w:val="0"/>
                <w:sz w:val="24"/>
              </w:rPr>
            </w:pPr>
            <w:r w:rsidRPr="00F45C57">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widowControl/>
              <w:jc w:val="center"/>
              <w:rPr>
                <w:b/>
                <w:bCs/>
                <w:color w:val="000000"/>
                <w:kern w:val="0"/>
                <w:sz w:val="24"/>
              </w:rPr>
            </w:pPr>
            <w:r w:rsidRPr="00F45C57">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Pr="00F45C57" w:rsidRDefault="00ED3DCF">
            <w:pPr>
              <w:autoSpaceDE w:val="0"/>
              <w:autoSpaceDN w:val="0"/>
              <w:adjustRightInd w:val="0"/>
              <w:jc w:val="center"/>
              <w:rPr>
                <w:b/>
                <w:bCs/>
                <w:color w:val="000000"/>
                <w:kern w:val="0"/>
                <w:sz w:val="24"/>
              </w:rPr>
            </w:pPr>
            <w:r w:rsidRPr="00F45C57">
              <w:rPr>
                <w:color w:val="000000"/>
                <w:kern w:val="0"/>
                <w:sz w:val="24"/>
              </w:rPr>
              <w:t>份额占比</w:t>
            </w:r>
          </w:p>
        </w:tc>
      </w:tr>
      <w:tr w:rsidR="00087A59" w:rsidRPr="00F45C57">
        <w:tc>
          <w:tcPr>
            <w:tcW w:w="992" w:type="dxa"/>
            <w:vMerge w:val="restart"/>
          </w:tcPr>
          <w:p w:rsidR="00087A59" w:rsidRPr="00F45C57" w:rsidRDefault="00087A59">
            <w:pPr>
              <w:rPr>
                <w:sz w:val="24"/>
              </w:rPr>
            </w:pPr>
          </w:p>
          <w:p w:rsidR="00087A59" w:rsidRPr="00F45C57" w:rsidRDefault="001962CB">
            <w:pPr>
              <w:rPr>
                <w:sz w:val="24"/>
              </w:rPr>
            </w:pPr>
            <w:r w:rsidRPr="00F45C57">
              <w:rPr>
                <w:bCs/>
                <w:color w:val="000000"/>
                <w:kern w:val="0"/>
                <w:sz w:val="24"/>
              </w:rPr>
              <w:t>机构</w:t>
            </w:r>
          </w:p>
        </w:tc>
        <w:tc>
          <w:tcPr>
            <w:tcW w:w="991" w:type="dxa"/>
            <w:vAlign w:val="center"/>
          </w:tcPr>
          <w:p w:rsidR="00087A59" w:rsidRPr="00F45C57" w:rsidRDefault="001962CB">
            <w:pPr>
              <w:jc w:val="center"/>
              <w:rPr>
                <w:sz w:val="24"/>
              </w:rPr>
            </w:pPr>
            <w:r w:rsidRPr="00F45C57">
              <w:rPr>
                <w:color w:val="000000"/>
                <w:kern w:val="0"/>
                <w:sz w:val="24"/>
              </w:rPr>
              <w:t>1</w:t>
            </w:r>
          </w:p>
        </w:tc>
        <w:tc>
          <w:tcPr>
            <w:tcW w:w="1843" w:type="dxa"/>
            <w:vAlign w:val="center"/>
          </w:tcPr>
          <w:p w:rsidR="00087A59" w:rsidRPr="00F45C57" w:rsidRDefault="001962CB">
            <w:pPr>
              <w:jc w:val="center"/>
              <w:rPr>
                <w:sz w:val="24"/>
              </w:rPr>
            </w:pPr>
            <w:r w:rsidRPr="00F45C57">
              <w:rPr>
                <w:color w:val="000000"/>
                <w:kern w:val="0"/>
                <w:sz w:val="24"/>
              </w:rPr>
              <w:t>2017/4/1-2017/6/30</w:t>
            </w:r>
          </w:p>
        </w:tc>
        <w:tc>
          <w:tcPr>
            <w:tcW w:w="851" w:type="dxa"/>
            <w:vAlign w:val="center"/>
          </w:tcPr>
          <w:p w:rsidR="00087A59" w:rsidRPr="00F45C57" w:rsidRDefault="001962CB">
            <w:pPr>
              <w:jc w:val="center"/>
              <w:rPr>
                <w:sz w:val="24"/>
              </w:rPr>
            </w:pPr>
            <w:r w:rsidRPr="00F45C57">
              <w:rPr>
                <w:color w:val="000000"/>
                <w:kern w:val="0"/>
                <w:sz w:val="24"/>
              </w:rPr>
              <w:t>26,054,355.51</w:t>
            </w:r>
          </w:p>
        </w:tc>
        <w:tc>
          <w:tcPr>
            <w:tcW w:w="850" w:type="dxa"/>
            <w:vAlign w:val="center"/>
          </w:tcPr>
          <w:p w:rsidR="00087A59" w:rsidRPr="00F45C57" w:rsidRDefault="001962CB">
            <w:pPr>
              <w:jc w:val="center"/>
              <w:rPr>
                <w:sz w:val="24"/>
              </w:rPr>
            </w:pPr>
            <w:r w:rsidRPr="00F45C57">
              <w:rPr>
                <w:color w:val="000000"/>
                <w:kern w:val="0"/>
                <w:sz w:val="24"/>
              </w:rPr>
              <w:t>-</w:t>
            </w:r>
          </w:p>
        </w:tc>
        <w:tc>
          <w:tcPr>
            <w:tcW w:w="1134" w:type="dxa"/>
            <w:vAlign w:val="center"/>
          </w:tcPr>
          <w:p w:rsidR="00087A59" w:rsidRPr="00F45C57" w:rsidRDefault="001962CB">
            <w:pPr>
              <w:jc w:val="center"/>
              <w:rPr>
                <w:sz w:val="24"/>
              </w:rPr>
            </w:pPr>
            <w:r w:rsidRPr="00F45C57">
              <w:rPr>
                <w:color w:val="000000"/>
                <w:kern w:val="0"/>
                <w:sz w:val="24"/>
              </w:rPr>
              <w:t>-</w:t>
            </w:r>
          </w:p>
        </w:tc>
        <w:tc>
          <w:tcPr>
            <w:tcW w:w="1419" w:type="dxa"/>
            <w:vAlign w:val="center"/>
          </w:tcPr>
          <w:p w:rsidR="00087A59" w:rsidRPr="00F45C57" w:rsidRDefault="001962CB">
            <w:pPr>
              <w:jc w:val="center"/>
              <w:rPr>
                <w:sz w:val="24"/>
              </w:rPr>
            </w:pPr>
            <w:r w:rsidRPr="00F45C57">
              <w:rPr>
                <w:color w:val="000000"/>
                <w:kern w:val="0"/>
                <w:sz w:val="24"/>
              </w:rPr>
              <w:t>26,054,355.51</w:t>
            </w:r>
          </w:p>
        </w:tc>
        <w:tc>
          <w:tcPr>
            <w:tcW w:w="1130" w:type="dxa"/>
            <w:vAlign w:val="center"/>
          </w:tcPr>
          <w:p w:rsidR="00087A59" w:rsidRPr="00F45C57" w:rsidRDefault="001962CB" w:rsidP="00FF6A2A">
            <w:pPr>
              <w:jc w:val="center"/>
              <w:rPr>
                <w:sz w:val="24"/>
              </w:rPr>
            </w:pPr>
            <w:r w:rsidRPr="00F45C57">
              <w:rPr>
                <w:color w:val="000000"/>
                <w:kern w:val="0"/>
                <w:sz w:val="24"/>
              </w:rPr>
              <w:t>37.4</w:t>
            </w:r>
            <w:r w:rsidR="00FF6A2A" w:rsidRPr="00F45C57">
              <w:rPr>
                <w:color w:val="000000"/>
                <w:kern w:val="0"/>
                <w:sz w:val="24"/>
              </w:rPr>
              <w:t>6</w:t>
            </w:r>
            <w:r w:rsidRPr="00F45C57">
              <w:rPr>
                <w:color w:val="000000"/>
                <w:kern w:val="0"/>
                <w:sz w:val="24"/>
              </w:rPr>
              <w:t>%</w:t>
            </w:r>
          </w:p>
        </w:tc>
      </w:tr>
    </w:tbl>
    <w:bookmarkEnd w:id="0"/>
    <w:p w:rsidR="00ED3DCF" w:rsidRPr="006F1089" w:rsidRDefault="00ED3DCF" w:rsidP="00ED3DCF">
      <w:pPr>
        <w:autoSpaceDE w:val="0"/>
        <w:autoSpaceDN w:val="0"/>
        <w:adjustRightInd w:val="0"/>
        <w:spacing w:line="360" w:lineRule="auto"/>
        <w:jc w:val="left"/>
        <w:rPr>
          <w:rFonts w:ascii="宋体" w:hAnsi="宋体"/>
          <w:bCs/>
          <w:color w:val="000000"/>
          <w:kern w:val="0"/>
          <w:sz w:val="24"/>
        </w:rPr>
      </w:pPr>
      <w:r w:rsidRPr="006F1089">
        <w:rPr>
          <w:rFonts w:ascii="宋体" w:hAnsi="宋体" w:hint="eastAsia"/>
          <w:bCs/>
          <w:color w:val="000000"/>
          <w:kern w:val="0"/>
          <w:sz w:val="24"/>
        </w:rPr>
        <w:lastRenderedPageBreak/>
        <w:t>注：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087A59" w:rsidRDefault="001962CB">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087A59" w:rsidRDefault="001962CB">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087A59" w:rsidRDefault="001962CB">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087A59" w:rsidRDefault="001962CB">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087A59" w:rsidRDefault="001962C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87A59" w:rsidRDefault="001962CB">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087A59" w:rsidRDefault="001962C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3B" w:rsidRDefault="00631F3B">
      <w:r>
        <w:separator/>
      </w:r>
    </w:p>
  </w:endnote>
  <w:endnote w:type="continuationSeparator" w:id="0">
    <w:p w:rsidR="00631F3B" w:rsidRDefault="0063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F45C57">
      <w:rPr>
        <w:noProof/>
        <w:kern w:val="0"/>
        <w:szCs w:val="21"/>
      </w:rPr>
      <w:t>13</w:t>
    </w:r>
    <w:r w:rsidR="000C31D4">
      <w:rPr>
        <w:kern w:val="0"/>
        <w:szCs w:val="21"/>
      </w:rPr>
      <w:fldChar w:fldCharType="end"/>
    </w:r>
    <w:proofErr w:type="gramStart"/>
    <w:r>
      <w:rPr>
        <w:rFonts w:hint="eastAsia"/>
        <w:kern w:val="0"/>
        <w:szCs w:val="21"/>
      </w:rPr>
      <w:t>页共</w:t>
    </w:r>
    <w:proofErr w:type="gramEnd"/>
    <w:r w:rsidR="000C31D4">
      <w:rPr>
        <w:kern w:val="0"/>
        <w:szCs w:val="21"/>
      </w:rPr>
      <w:fldChar w:fldCharType="begin"/>
    </w:r>
    <w:r>
      <w:rPr>
        <w:kern w:val="0"/>
        <w:szCs w:val="21"/>
      </w:rPr>
      <w:instrText xml:space="preserve"> NUMPAGES </w:instrText>
    </w:r>
    <w:r w:rsidR="000C31D4">
      <w:rPr>
        <w:kern w:val="0"/>
        <w:szCs w:val="21"/>
      </w:rPr>
      <w:fldChar w:fldCharType="separate"/>
    </w:r>
    <w:r w:rsidR="00F45C57">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3B" w:rsidRDefault="00631F3B">
      <w:r>
        <w:separator/>
      </w:r>
    </w:p>
  </w:footnote>
  <w:footnote w:type="continuationSeparator" w:id="0">
    <w:p w:rsidR="00631F3B" w:rsidRDefault="0063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A59"/>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62CB"/>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1F3B"/>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1089"/>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57"/>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2A"/>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2E54F2C-282D-4A54-B56B-E8105B59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107</TotalTime>
  <Pages>13</Pages>
  <Words>1186</Words>
  <Characters>6765</Characters>
  <Application>Microsoft Office Word</Application>
  <DocSecurity>0</DocSecurity>
  <Lines>56</Lines>
  <Paragraphs>15</Paragraphs>
  <ScaleCrop>false</ScaleCrop>
  <Company>TRT. Ltd. Co.</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241</cp:revision>
  <cp:lastPrinted>2007-07-19T00:46:00Z</cp:lastPrinted>
  <dcterms:created xsi:type="dcterms:W3CDTF">2013-08-01T05:26:00Z</dcterms:created>
  <dcterms:modified xsi:type="dcterms:W3CDTF">2017-07-18T02:18:00Z</dcterms:modified>
</cp:coreProperties>
</file>