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154" w:rsidRPr="008D7FC3" w:rsidRDefault="00D60C56" w:rsidP="00D6675A">
      <w:pPr>
        <w:jc w:val="center"/>
        <w:rPr>
          <w:rFonts w:asciiTheme="minorEastAsia" w:hAnsiTheme="minorEastAsia" w:cs="Times New Roman"/>
          <w:b/>
          <w:sz w:val="30"/>
          <w:szCs w:val="30"/>
        </w:rPr>
      </w:pPr>
      <w:r w:rsidRPr="008D7FC3">
        <w:rPr>
          <w:rFonts w:asciiTheme="minorEastAsia" w:hAnsiTheme="minorEastAsia" w:cs="Times New Roman"/>
          <w:b/>
          <w:sz w:val="30"/>
          <w:szCs w:val="30"/>
        </w:rPr>
        <w:t>交银施罗德基金管理有限公司</w:t>
      </w:r>
      <w:r w:rsidR="00C24746" w:rsidRPr="008D7FC3">
        <w:rPr>
          <w:rFonts w:asciiTheme="minorEastAsia" w:hAnsiTheme="minorEastAsia" w:cs="Times New Roman"/>
          <w:b/>
          <w:sz w:val="30"/>
          <w:szCs w:val="30"/>
        </w:rPr>
        <w:t>关于</w:t>
      </w:r>
      <w:r w:rsidR="009B4310" w:rsidRPr="009B4310">
        <w:rPr>
          <w:rFonts w:asciiTheme="minorEastAsia" w:hAnsiTheme="minorEastAsia" w:cs="Times New Roman" w:hint="eastAsia"/>
          <w:b/>
          <w:sz w:val="30"/>
          <w:szCs w:val="30"/>
        </w:rPr>
        <w:t>交银施罗德沪港深价值精选灵活配置混合型</w:t>
      </w:r>
      <w:r w:rsidR="00444B21" w:rsidRPr="00444B21">
        <w:rPr>
          <w:rFonts w:asciiTheme="minorEastAsia" w:hAnsiTheme="minorEastAsia" w:cs="Times New Roman" w:hint="eastAsia"/>
          <w:b/>
          <w:bCs/>
          <w:sz w:val="30"/>
          <w:szCs w:val="30"/>
        </w:rPr>
        <w:t>证券投资</w:t>
      </w:r>
      <w:r w:rsidR="009B4310" w:rsidRPr="009B4310">
        <w:rPr>
          <w:rFonts w:asciiTheme="minorEastAsia" w:hAnsiTheme="minorEastAsia" w:cs="Times New Roman" w:hint="eastAsia"/>
          <w:b/>
          <w:sz w:val="30"/>
          <w:szCs w:val="30"/>
        </w:rPr>
        <w:t>基金</w:t>
      </w:r>
      <w:r w:rsidR="00D6675A" w:rsidRPr="008D7FC3">
        <w:rPr>
          <w:rFonts w:asciiTheme="minorEastAsia" w:hAnsiTheme="minorEastAsia" w:cs="Times New Roman"/>
          <w:b/>
          <w:sz w:val="30"/>
          <w:szCs w:val="30"/>
        </w:rPr>
        <w:t>修改基金合同</w:t>
      </w:r>
      <w:r w:rsidR="009B4310" w:rsidRPr="009B4310">
        <w:rPr>
          <w:rFonts w:asciiTheme="minorEastAsia" w:hAnsiTheme="minorEastAsia" w:cs="Times New Roman" w:hint="eastAsia"/>
          <w:b/>
          <w:sz w:val="30"/>
          <w:szCs w:val="30"/>
        </w:rPr>
        <w:t>、招募说明书</w:t>
      </w:r>
      <w:r w:rsidR="00C24746" w:rsidRPr="008D7FC3">
        <w:rPr>
          <w:rFonts w:asciiTheme="minorEastAsia" w:hAnsiTheme="minorEastAsia" w:cs="Times New Roman"/>
          <w:b/>
          <w:sz w:val="30"/>
          <w:szCs w:val="30"/>
        </w:rPr>
        <w:t>的公告</w:t>
      </w:r>
    </w:p>
    <w:p w:rsidR="00F72B4C" w:rsidRPr="008D7FC3" w:rsidRDefault="00F72B4C" w:rsidP="00C24746">
      <w:pPr>
        <w:jc w:val="center"/>
        <w:rPr>
          <w:rFonts w:asciiTheme="minorEastAsia" w:hAnsiTheme="minorEastAsia" w:cs="Times New Roman"/>
          <w:b/>
          <w:sz w:val="30"/>
          <w:szCs w:val="30"/>
        </w:rPr>
      </w:pPr>
    </w:p>
    <w:p w:rsidR="00527244" w:rsidRPr="008D7FC3" w:rsidRDefault="002F09AC" w:rsidP="00535456">
      <w:pPr>
        <w:adjustRightInd w:val="0"/>
        <w:snapToGrid w:val="0"/>
        <w:spacing w:line="360" w:lineRule="auto"/>
        <w:ind w:firstLineChars="200" w:firstLine="480"/>
        <w:rPr>
          <w:rFonts w:asciiTheme="minorEastAsia" w:hAnsiTheme="minorEastAsia" w:cs="Times New Roman"/>
          <w:bCs/>
          <w:sz w:val="24"/>
          <w:szCs w:val="20"/>
        </w:rPr>
      </w:pPr>
      <w:r w:rsidRPr="008D7FC3">
        <w:rPr>
          <w:rFonts w:asciiTheme="minorEastAsia" w:hAnsiTheme="minorEastAsia" w:cs="Times New Roman"/>
          <w:bCs/>
          <w:sz w:val="24"/>
          <w:szCs w:val="20"/>
        </w:rPr>
        <w:t>交银施罗德</w:t>
      </w:r>
      <w:r w:rsidR="00A76382" w:rsidRPr="008D7FC3">
        <w:rPr>
          <w:rFonts w:asciiTheme="minorEastAsia" w:hAnsiTheme="minorEastAsia" w:cs="Times New Roman"/>
          <w:bCs/>
          <w:sz w:val="24"/>
          <w:szCs w:val="20"/>
        </w:rPr>
        <w:t>基金管理有限公司（以下简称“本公司”）根据</w:t>
      </w:r>
      <w:r w:rsidR="009B4310" w:rsidRPr="009B4310">
        <w:rPr>
          <w:rFonts w:asciiTheme="minorEastAsia" w:hAnsiTheme="minorEastAsia" w:cs="Times New Roman" w:hint="eastAsia"/>
          <w:bCs/>
          <w:sz w:val="24"/>
          <w:szCs w:val="20"/>
        </w:rPr>
        <w:t>《证券基金经营机构参与内地与香港股票市场交易互联互通指引》</w:t>
      </w:r>
      <w:r w:rsidR="00A76382" w:rsidRPr="008D7FC3">
        <w:rPr>
          <w:rFonts w:asciiTheme="minorEastAsia" w:hAnsiTheme="minorEastAsia" w:cs="Times New Roman"/>
          <w:bCs/>
          <w:sz w:val="24"/>
          <w:szCs w:val="20"/>
        </w:rPr>
        <w:t>的有关规定</w:t>
      </w:r>
      <w:r w:rsidR="001B3FF1">
        <w:rPr>
          <w:rFonts w:asciiTheme="minorEastAsia" w:hAnsiTheme="minorEastAsia" w:cs="Times New Roman" w:hint="eastAsia"/>
          <w:bCs/>
          <w:sz w:val="24"/>
          <w:szCs w:val="20"/>
        </w:rPr>
        <w:t>及</w:t>
      </w:r>
      <w:r w:rsidR="001B3FF1">
        <w:rPr>
          <w:rFonts w:asciiTheme="minorEastAsia" w:hAnsiTheme="minorEastAsia" w:cs="Times New Roman"/>
          <w:bCs/>
          <w:sz w:val="24"/>
          <w:szCs w:val="20"/>
        </w:rPr>
        <w:t>相关监管要求</w:t>
      </w:r>
      <w:r w:rsidR="00A76382" w:rsidRPr="008D7FC3">
        <w:rPr>
          <w:rFonts w:asciiTheme="minorEastAsia" w:hAnsiTheme="minorEastAsia" w:cs="Times New Roman"/>
          <w:bCs/>
          <w:sz w:val="24"/>
          <w:szCs w:val="20"/>
        </w:rPr>
        <w:t>，经与基金托管人</w:t>
      </w:r>
      <w:r w:rsidR="00FC7B3B" w:rsidRPr="00FC7B3B">
        <w:rPr>
          <w:rFonts w:asciiTheme="minorEastAsia" w:hAnsiTheme="minorEastAsia" w:cs="Times New Roman" w:hint="eastAsia"/>
          <w:bCs/>
          <w:sz w:val="24"/>
          <w:szCs w:val="20"/>
        </w:rPr>
        <w:t>中国农业银行</w:t>
      </w:r>
      <w:r w:rsidR="00A76382" w:rsidRPr="008D7FC3">
        <w:rPr>
          <w:rFonts w:asciiTheme="minorEastAsia" w:hAnsiTheme="minorEastAsia" w:cs="Times New Roman"/>
          <w:bCs/>
          <w:sz w:val="24"/>
          <w:szCs w:val="20"/>
        </w:rPr>
        <w:t>股份有限公司</w:t>
      </w:r>
      <w:r w:rsidR="005B0E95" w:rsidRPr="008D7FC3">
        <w:rPr>
          <w:rFonts w:asciiTheme="minorEastAsia" w:hAnsiTheme="minorEastAsia" w:cs="Times New Roman"/>
          <w:bCs/>
          <w:sz w:val="24"/>
          <w:szCs w:val="20"/>
        </w:rPr>
        <w:t>（以下简称“</w:t>
      </w:r>
      <w:r w:rsidR="00062D97">
        <w:rPr>
          <w:rFonts w:asciiTheme="minorEastAsia" w:hAnsiTheme="minorEastAsia" w:cs="Times New Roman" w:hint="eastAsia"/>
          <w:bCs/>
          <w:sz w:val="24"/>
          <w:szCs w:val="20"/>
        </w:rPr>
        <w:t>中国</w:t>
      </w:r>
      <w:r w:rsidR="00FC7B3B">
        <w:rPr>
          <w:rFonts w:asciiTheme="minorEastAsia" w:hAnsiTheme="minorEastAsia" w:cs="Times New Roman" w:hint="eastAsia"/>
          <w:bCs/>
          <w:sz w:val="24"/>
          <w:szCs w:val="20"/>
        </w:rPr>
        <w:t>农业</w:t>
      </w:r>
      <w:r w:rsidR="00FC7B3B" w:rsidRPr="008D7FC3">
        <w:rPr>
          <w:rFonts w:asciiTheme="minorEastAsia" w:hAnsiTheme="minorEastAsia" w:cs="Times New Roman"/>
          <w:bCs/>
          <w:sz w:val="24"/>
          <w:szCs w:val="20"/>
        </w:rPr>
        <w:t>银行”</w:t>
      </w:r>
      <w:r w:rsidR="005B0E95" w:rsidRPr="008D7FC3">
        <w:rPr>
          <w:rFonts w:asciiTheme="minorEastAsia" w:hAnsiTheme="minorEastAsia" w:cs="Times New Roman"/>
          <w:bCs/>
          <w:sz w:val="24"/>
          <w:szCs w:val="20"/>
        </w:rPr>
        <w:t>）</w:t>
      </w:r>
      <w:r w:rsidR="00A76382" w:rsidRPr="008D7FC3">
        <w:rPr>
          <w:rFonts w:asciiTheme="minorEastAsia" w:hAnsiTheme="minorEastAsia" w:cs="Times New Roman"/>
          <w:bCs/>
          <w:sz w:val="24"/>
          <w:szCs w:val="20"/>
        </w:rPr>
        <w:t>协商一致，对本公司管理的</w:t>
      </w:r>
      <w:r w:rsidR="009B4310" w:rsidRPr="009B4310">
        <w:rPr>
          <w:rFonts w:asciiTheme="minorEastAsia" w:hAnsiTheme="minorEastAsia" w:cs="Times New Roman" w:hint="eastAsia"/>
          <w:bCs/>
          <w:sz w:val="24"/>
          <w:szCs w:val="20"/>
        </w:rPr>
        <w:t>交银施罗德沪港深价值精选灵活配置混合型</w:t>
      </w:r>
      <w:r w:rsidR="00444B21">
        <w:rPr>
          <w:rFonts w:asciiTheme="minorEastAsia" w:hAnsiTheme="minorEastAsia" w:cs="Times New Roman" w:hint="eastAsia"/>
          <w:bCs/>
          <w:sz w:val="24"/>
          <w:szCs w:val="20"/>
        </w:rPr>
        <w:t>证券投资</w:t>
      </w:r>
      <w:r w:rsidR="009B4310" w:rsidRPr="009B4310">
        <w:rPr>
          <w:rFonts w:asciiTheme="minorEastAsia" w:hAnsiTheme="minorEastAsia" w:cs="Times New Roman" w:hint="eastAsia"/>
          <w:bCs/>
          <w:sz w:val="24"/>
          <w:szCs w:val="20"/>
        </w:rPr>
        <w:t>基金</w:t>
      </w:r>
      <w:r w:rsidR="00A76382" w:rsidRPr="008D7FC3">
        <w:rPr>
          <w:rFonts w:asciiTheme="minorEastAsia" w:hAnsiTheme="minorEastAsia" w:cs="Times New Roman"/>
          <w:bCs/>
          <w:sz w:val="24"/>
          <w:szCs w:val="20"/>
        </w:rPr>
        <w:t>（以下简称“本基金”）的基金合同</w:t>
      </w:r>
      <w:r w:rsidR="00771C26" w:rsidRPr="008D7FC3">
        <w:rPr>
          <w:rFonts w:asciiTheme="minorEastAsia" w:hAnsiTheme="minorEastAsia" w:cs="Times New Roman"/>
          <w:bCs/>
          <w:sz w:val="24"/>
          <w:szCs w:val="20"/>
        </w:rPr>
        <w:t>、</w:t>
      </w:r>
      <w:r w:rsidR="009B4310">
        <w:rPr>
          <w:rFonts w:asciiTheme="minorEastAsia" w:hAnsiTheme="minorEastAsia" w:cs="Times New Roman" w:hint="eastAsia"/>
          <w:bCs/>
          <w:sz w:val="24"/>
          <w:szCs w:val="20"/>
        </w:rPr>
        <w:t>招募说明书</w:t>
      </w:r>
      <w:r w:rsidR="00A76382" w:rsidRPr="008D7FC3">
        <w:rPr>
          <w:rFonts w:asciiTheme="minorEastAsia" w:hAnsiTheme="minorEastAsia" w:cs="Times New Roman"/>
          <w:bCs/>
          <w:sz w:val="24"/>
          <w:szCs w:val="20"/>
        </w:rPr>
        <w:t>作相应修改</w:t>
      </w:r>
      <w:r w:rsidR="000358EF">
        <w:rPr>
          <w:rFonts w:asciiTheme="minorEastAsia" w:hAnsiTheme="minorEastAsia" w:cs="Times New Roman" w:hint="eastAsia"/>
          <w:bCs/>
          <w:sz w:val="24"/>
          <w:szCs w:val="20"/>
        </w:rPr>
        <w:t>，本基金修订后的基金合同将</w:t>
      </w:r>
      <w:r w:rsidR="000358EF" w:rsidRPr="000358EF">
        <w:rPr>
          <w:rFonts w:asciiTheme="minorEastAsia" w:hAnsiTheme="minorEastAsia" w:cs="Times New Roman" w:hint="eastAsia"/>
          <w:bCs/>
          <w:sz w:val="24"/>
          <w:szCs w:val="20"/>
        </w:rPr>
        <w:t>自</w:t>
      </w:r>
      <w:r w:rsidR="000358EF" w:rsidRPr="00BB18FD">
        <w:rPr>
          <w:rFonts w:asciiTheme="minorEastAsia" w:hAnsiTheme="minorEastAsia" w:cs="Times New Roman" w:hint="eastAsia"/>
          <w:bCs/>
          <w:sz w:val="24"/>
          <w:szCs w:val="20"/>
        </w:rPr>
        <w:t>201</w:t>
      </w:r>
      <w:r w:rsidR="009B4310" w:rsidRPr="00BB18FD">
        <w:rPr>
          <w:rFonts w:asciiTheme="minorEastAsia" w:hAnsiTheme="minorEastAsia" w:cs="Times New Roman" w:hint="eastAsia"/>
          <w:bCs/>
          <w:sz w:val="24"/>
          <w:szCs w:val="20"/>
        </w:rPr>
        <w:t>7</w:t>
      </w:r>
      <w:r w:rsidR="000358EF" w:rsidRPr="00BB18FD">
        <w:rPr>
          <w:rFonts w:asciiTheme="minorEastAsia" w:hAnsiTheme="minorEastAsia" w:cs="Times New Roman" w:hint="eastAsia"/>
          <w:bCs/>
          <w:sz w:val="24"/>
          <w:szCs w:val="20"/>
        </w:rPr>
        <w:t xml:space="preserve"> 年</w:t>
      </w:r>
      <w:r w:rsidR="009B4310" w:rsidRPr="00BB18FD">
        <w:rPr>
          <w:rFonts w:asciiTheme="minorEastAsia" w:hAnsiTheme="minorEastAsia" w:cs="Times New Roman" w:hint="eastAsia"/>
          <w:bCs/>
          <w:sz w:val="24"/>
          <w:szCs w:val="20"/>
        </w:rPr>
        <w:t>7</w:t>
      </w:r>
      <w:r w:rsidR="000358EF" w:rsidRPr="00BB18FD">
        <w:rPr>
          <w:rFonts w:asciiTheme="minorEastAsia" w:hAnsiTheme="minorEastAsia" w:cs="Times New Roman" w:hint="eastAsia"/>
          <w:bCs/>
          <w:sz w:val="24"/>
          <w:szCs w:val="20"/>
        </w:rPr>
        <w:t>月</w:t>
      </w:r>
      <w:r w:rsidR="001B3FF1" w:rsidRPr="00BB18FD">
        <w:rPr>
          <w:rFonts w:asciiTheme="minorEastAsia" w:hAnsiTheme="minorEastAsia" w:cs="Times New Roman" w:hint="eastAsia"/>
          <w:bCs/>
          <w:sz w:val="24"/>
          <w:szCs w:val="20"/>
        </w:rPr>
        <w:t>2</w:t>
      </w:r>
      <w:r w:rsidR="001B3FF1">
        <w:rPr>
          <w:rFonts w:asciiTheme="minorEastAsia" w:hAnsiTheme="minorEastAsia" w:cs="Times New Roman"/>
          <w:bCs/>
          <w:sz w:val="24"/>
          <w:szCs w:val="20"/>
        </w:rPr>
        <w:t>0</w:t>
      </w:r>
      <w:r w:rsidR="000358EF" w:rsidRPr="00BB18FD">
        <w:rPr>
          <w:rFonts w:asciiTheme="minorEastAsia" w:hAnsiTheme="minorEastAsia" w:cs="Times New Roman" w:hint="eastAsia"/>
          <w:bCs/>
          <w:sz w:val="24"/>
          <w:szCs w:val="20"/>
        </w:rPr>
        <w:t>日</w:t>
      </w:r>
      <w:r w:rsidR="000358EF">
        <w:rPr>
          <w:rFonts w:asciiTheme="minorEastAsia" w:hAnsiTheme="minorEastAsia" w:cs="Times New Roman" w:hint="eastAsia"/>
          <w:bCs/>
          <w:sz w:val="24"/>
          <w:szCs w:val="20"/>
        </w:rPr>
        <w:t>起生效</w:t>
      </w:r>
      <w:r w:rsidR="00A76382" w:rsidRPr="008D7FC3">
        <w:rPr>
          <w:rFonts w:asciiTheme="minorEastAsia" w:hAnsiTheme="minorEastAsia" w:cs="Times New Roman"/>
          <w:bCs/>
          <w:sz w:val="24"/>
          <w:szCs w:val="20"/>
        </w:rPr>
        <w:t>。</w:t>
      </w:r>
    </w:p>
    <w:p w:rsidR="00A76382" w:rsidRDefault="00A76382" w:rsidP="00A76382">
      <w:pPr>
        <w:adjustRightInd w:val="0"/>
        <w:snapToGrid w:val="0"/>
        <w:spacing w:line="360" w:lineRule="auto"/>
        <w:ind w:firstLineChars="200" w:firstLine="480"/>
        <w:rPr>
          <w:rFonts w:asciiTheme="minorEastAsia" w:hAnsiTheme="minorEastAsia" w:cs="Times New Roman"/>
          <w:bCs/>
          <w:sz w:val="24"/>
          <w:szCs w:val="20"/>
        </w:rPr>
      </w:pPr>
      <w:r w:rsidRPr="008D7FC3">
        <w:rPr>
          <w:rFonts w:asciiTheme="minorEastAsia" w:hAnsiTheme="minorEastAsia" w:cs="Times New Roman"/>
          <w:bCs/>
          <w:sz w:val="24"/>
          <w:szCs w:val="20"/>
        </w:rPr>
        <w:t>现将具体</w:t>
      </w:r>
      <w:r w:rsidR="00E77765" w:rsidRPr="008D7FC3">
        <w:rPr>
          <w:rFonts w:asciiTheme="minorEastAsia" w:hAnsiTheme="minorEastAsia" w:cs="Times New Roman"/>
          <w:bCs/>
          <w:sz w:val="24"/>
          <w:szCs w:val="20"/>
        </w:rPr>
        <w:t>事项公告</w:t>
      </w:r>
      <w:r w:rsidRPr="008D7FC3">
        <w:rPr>
          <w:rFonts w:asciiTheme="minorEastAsia" w:hAnsiTheme="minorEastAsia" w:cs="Times New Roman"/>
          <w:bCs/>
          <w:sz w:val="24"/>
          <w:szCs w:val="20"/>
        </w:rPr>
        <w:t>如下：</w:t>
      </w:r>
    </w:p>
    <w:p w:rsidR="00A57D2B" w:rsidRPr="008D7FC3" w:rsidRDefault="00A57D2B" w:rsidP="00A76382">
      <w:pPr>
        <w:adjustRightInd w:val="0"/>
        <w:snapToGrid w:val="0"/>
        <w:spacing w:line="360" w:lineRule="auto"/>
        <w:ind w:firstLineChars="200" w:firstLine="480"/>
        <w:rPr>
          <w:rFonts w:asciiTheme="minorEastAsia" w:hAnsiTheme="minorEastAsia" w:cs="Times New Roman"/>
          <w:bCs/>
          <w:sz w:val="24"/>
          <w:szCs w:val="20"/>
        </w:rPr>
      </w:pPr>
    </w:p>
    <w:p w:rsidR="0058674E" w:rsidRDefault="00A76382" w:rsidP="00BB18FD">
      <w:pPr>
        <w:spacing w:line="360" w:lineRule="auto"/>
        <w:ind w:firstLineChars="200" w:firstLine="482"/>
        <w:rPr>
          <w:rFonts w:asciiTheme="minorEastAsia" w:hAnsiTheme="minorEastAsia" w:cs="Times New Roman"/>
          <w:b/>
          <w:color w:val="000000"/>
          <w:kern w:val="0"/>
          <w:sz w:val="24"/>
        </w:rPr>
      </w:pPr>
      <w:r w:rsidRPr="00BB18FD">
        <w:rPr>
          <w:rFonts w:asciiTheme="minorEastAsia" w:hAnsiTheme="minorEastAsia" w:cs="Times New Roman"/>
          <w:b/>
          <w:color w:val="000000"/>
          <w:kern w:val="0"/>
          <w:sz w:val="24"/>
        </w:rPr>
        <w:t>一、</w:t>
      </w:r>
      <w:r w:rsidRPr="000242D4">
        <w:rPr>
          <w:rFonts w:asciiTheme="minorEastAsia" w:hAnsiTheme="minorEastAsia" w:cs="Times New Roman"/>
          <w:b/>
          <w:color w:val="000000"/>
          <w:kern w:val="0"/>
          <w:sz w:val="24"/>
        </w:rPr>
        <w:t>基金合同的修订内容</w:t>
      </w:r>
    </w:p>
    <w:p w:rsidR="00A76382" w:rsidRPr="008D7FC3" w:rsidRDefault="00A76382" w:rsidP="00374829">
      <w:pPr>
        <w:widowControl/>
        <w:adjustRightInd w:val="0"/>
        <w:snapToGrid w:val="0"/>
        <w:spacing w:line="360" w:lineRule="auto"/>
        <w:ind w:firstLineChars="200" w:firstLine="480"/>
        <w:rPr>
          <w:rFonts w:asciiTheme="minorEastAsia" w:hAnsiTheme="minorEastAsia" w:cs="Times New Roman"/>
          <w:color w:val="000000"/>
          <w:kern w:val="0"/>
          <w:sz w:val="24"/>
        </w:rPr>
      </w:pPr>
      <w:r w:rsidRPr="008D7FC3">
        <w:rPr>
          <w:rFonts w:asciiTheme="minorEastAsia" w:hAnsiTheme="minorEastAsia" w:cs="Times New Roman"/>
          <w:color w:val="000000"/>
          <w:kern w:val="0"/>
          <w:sz w:val="24"/>
        </w:rPr>
        <w:t>本</w:t>
      </w:r>
      <w:r w:rsidR="00F10752" w:rsidRPr="008D7FC3">
        <w:rPr>
          <w:rFonts w:asciiTheme="minorEastAsia" w:hAnsiTheme="minorEastAsia" w:cs="Times New Roman"/>
          <w:color w:val="000000"/>
          <w:kern w:val="0"/>
          <w:sz w:val="24"/>
        </w:rPr>
        <w:t>次</w:t>
      </w:r>
      <w:r w:rsidRPr="008D7FC3">
        <w:rPr>
          <w:rFonts w:asciiTheme="minorEastAsia" w:hAnsiTheme="minorEastAsia" w:cs="Times New Roman"/>
          <w:color w:val="000000"/>
          <w:kern w:val="0"/>
          <w:sz w:val="24"/>
        </w:rPr>
        <w:t>修订对原有基金份额持有人的利益</w:t>
      </w:r>
      <w:r w:rsidR="00F10752" w:rsidRPr="008D7FC3">
        <w:rPr>
          <w:rFonts w:asciiTheme="minorEastAsia" w:hAnsiTheme="minorEastAsia" w:cs="Times New Roman"/>
          <w:color w:val="000000"/>
          <w:kern w:val="0"/>
          <w:sz w:val="24"/>
        </w:rPr>
        <w:t>无实质性不利</w:t>
      </w:r>
      <w:r w:rsidRPr="008D7FC3">
        <w:rPr>
          <w:rFonts w:asciiTheme="minorEastAsia" w:hAnsiTheme="minorEastAsia" w:cs="Times New Roman"/>
          <w:color w:val="000000"/>
          <w:kern w:val="0"/>
          <w:sz w:val="24"/>
        </w:rPr>
        <w:t>影响，不需召开基金份额持有人大会。</w:t>
      </w:r>
      <w:r w:rsidR="00F04F77">
        <w:rPr>
          <w:rFonts w:asciiTheme="minorEastAsia" w:hAnsiTheme="minorEastAsia" w:cs="Times New Roman" w:hint="eastAsia"/>
          <w:color w:val="000000"/>
          <w:kern w:val="0"/>
          <w:sz w:val="24"/>
        </w:rPr>
        <w:t>本基金管理人</w:t>
      </w:r>
      <w:r w:rsidRPr="008D7FC3">
        <w:rPr>
          <w:rFonts w:asciiTheme="minorEastAsia" w:hAnsiTheme="minorEastAsia" w:cs="Times New Roman"/>
          <w:color w:val="000000"/>
          <w:kern w:val="0"/>
          <w:sz w:val="24"/>
        </w:rPr>
        <w:t>就修订内容</w:t>
      </w:r>
      <w:r w:rsidR="00F04F77">
        <w:rPr>
          <w:rFonts w:asciiTheme="minorEastAsia" w:hAnsiTheme="minorEastAsia" w:cs="Times New Roman" w:hint="eastAsia"/>
          <w:color w:val="000000"/>
          <w:kern w:val="0"/>
          <w:sz w:val="24"/>
        </w:rPr>
        <w:t>已</w:t>
      </w:r>
      <w:r w:rsidRPr="008D7FC3">
        <w:rPr>
          <w:rFonts w:asciiTheme="minorEastAsia" w:hAnsiTheme="minorEastAsia" w:cs="Times New Roman"/>
          <w:color w:val="000000"/>
          <w:kern w:val="0"/>
          <w:sz w:val="24"/>
        </w:rPr>
        <w:t>与基金托管人</w:t>
      </w:r>
      <w:r w:rsidR="00062D97">
        <w:rPr>
          <w:rFonts w:asciiTheme="minorEastAsia" w:hAnsiTheme="minorEastAsia" w:cs="Times New Roman" w:hint="eastAsia"/>
          <w:color w:val="000000"/>
          <w:kern w:val="0"/>
          <w:sz w:val="24"/>
        </w:rPr>
        <w:t>中国</w:t>
      </w:r>
      <w:r w:rsidR="00B30EEC">
        <w:rPr>
          <w:rFonts w:asciiTheme="minorEastAsia" w:hAnsiTheme="minorEastAsia" w:cs="Times New Roman" w:hint="eastAsia"/>
          <w:color w:val="000000"/>
          <w:kern w:val="0"/>
          <w:sz w:val="24"/>
        </w:rPr>
        <w:t>农业银行</w:t>
      </w:r>
      <w:r w:rsidRPr="008D7FC3">
        <w:rPr>
          <w:rFonts w:asciiTheme="minorEastAsia" w:hAnsiTheme="minorEastAsia" w:cs="Times New Roman"/>
          <w:color w:val="000000"/>
          <w:kern w:val="0"/>
          <w:sz w:val="24"/>
        </w:rPr>
        <w:t>协商一致。基金合同的</w:t>
      </w:r>
      <w:r w:rsidR="00152996" w:rsidRPr="008D7FC3">
        <w:rPr>
          <w:rFonts w:asciiTheme="minorEastAsia" w:hAnsiTheme="minorEastAsia" w:cs="Times New Roman"/>
          <w:color w:val="000000"/>
          <w:kern w:val="0"/>
          <w:sz w:val="24"/>
        </w:rPr>
        <w:t>主要</w:t>
      </w:r>
      <w:r w:rsidRPr="008D7FC3">
        <w:rPr>
          <w:rFonts w:asciiTheme="minorEastAsia" w:hAnsiTheme="minorEastAsia" w:cs="Times New Roman"/>
          <w:color w:val="000000"/>
          <w:kern w:val="0"/>
          <w:sz w:val="24"/>
        </w:rPr>
        <w:t>修订内容如下：</w:t>
      </w:r>
    </w:p>
    <w:p w:rsidR="00735789" w:rsidRPr="000242D4" w:rsidRDefault="002360B1" w:rsidP="00BB18FD">
      <w:pPr>
        <w:spacing w:line="360" w:lineRule="auto"/>
        <w:ind w:firstLineChars="200" w:firstLine="482"/>
        <w:rPr>
          <w:rFonts w:asciiTheme="minorEastAsia" w:hAnsiTheme="minorEastAsia" w:cs="Times New Roman"/>
          <w:b/>
          <w:color w:val="000000"/>
          <w:kern w:val="0"/>
          <w:sz w:val="24"/>
        </w:rPr>
      </w:pPr>
      <w:r w:rsidRPr="000242D4">
        <w:rPr>
          <w:rFonts w:asciiTheme="minorEastAsia" w:hAnsiTheme="minorEastAsia" w:cs="Times New Roman"/>
          <w:b/>
          <w:color w:val="000000"/>
          <w:kern w:val="0"/>
          <w:sz w:val="24"/>
        </w:rPr>
        <w:t>1、</w:t>
      </w:r>
      <w:r w:rsidR="000242D4">
        <w:rPr>
          <w:rFonts w:asciiTheme="minorEastAsia" w:hAnsiTheme="minorEastAsia" w:cs="Times New Roman" w:hint="eastAsia"/>
          <w:b/>
          <w:color w:val="000000"/>
          <w:kern w:val="0"/>
          <w:sz w:val="24"/>
        </w:rPr>
        <w:t>“</w:t>
      </w:r>
      <w:r w:rsidR="00BB3339" w:rsidRPr="000242D4">
        <w:rPr>
          <w:rFonts w:asciiTheme="minorEastAsia" w:hAnsiTheme="minorEastAsia" w:cs="Times New Roman"/>
          <w:b/>
          <w:color w:val="000000"/>
          <w:kern w:val="0"/>
          <w:sz w:val="24"/>
        </w:rPr>
        <w:t>第一部分 前言</w:t>
      </w:r>
      <w:r w:rsidR="000242D4" w:rsidRPr="000242D4">
        <w:rPr>
          <w:rFonts w:asciiTheme="minorEastAsia" w:hAnsiTheme="minorEastAsia" w:cs="Times New Roman"/>
          <w:b/>
          <w:color w:val="000000"/>
          <w:kern w:val="0"/>
          <w:sz w:val="24"/>
        </w:rPr>
        <w:t xml:space="preserve"> </w:t>
      </w:r>
      <w:r w:rsidR="000242D4">
        <w:rPr>
          <w:rFonts w:asciiTheme="minorEastAsia" w:hAnsiTheme="minorEastAsia" w:cs="Times New Roman" w:hint="eastAsia"/>
          <w:b/>
          <w:color w:val="000000"/>
          <w:kern w:val="0"/>
          <w:sz w:val="24"/>
        </w:rPr>
        <w:t>”</w:t>
      </w:r>
      <w:r w:rsidR="009B4310">
        <w:rPr>
          <w:rFonts w:asciiTheme="minorEastAsia" w:hAnsiTheme="minorEastAsia" w:cs="Times New Roman" w:hint="eastAsia"/>
          <w:b/>
          <w:color w:val="000000"/>
          <w:kern w:val="0"/>
          <w:sz w:val="24"/>
        </w:rPr>
        <w:t>第一条</w:t>
      </w:r>
    </w:p>
    <w:p w:rsidR="009B4310" w:rsidRDefault="009B4310" w:rsidP="00BB18FD">
      <w:pPr>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t>原表述</w:t>
      </w:r>
      <w:r w:rsidRPr="0058674E">
        <w:rPr>
          <w:rFonts w:asciiTheme="minorEastAsia" w:hAnsiTheme="minorEastAsia" w:cs="Times New Roman" w:hint="eastAsia"/>
          <w:b/>
          <w:color w:val="000000"/>
          <w:kern w:val="0"/>
          <w:sz w:val="24"/>
        </w:rPr>
        <w:t>：</w:t>
      </w:r>
    </w:p>
    <w:p w:rsidR="009B4310" w:rsidRPr="009B4310" w:rsidRDefault="009B4310" w:rsidP="009B4310">
      <w:pPr>
        <w:widowControl/>
        <w:adjustRightInd w:val="0"/>
        <w:snapToGrid w:val="0"/>
        <w:spacing w:line="360" w:lineRule="auto"/>
        <w:ind w:firstLineChars="200" w:firstLine="480"/>
        <w:rPr>
          <w:rFonts w:asciiTheme="minorEastAsia" w:hAnsiTheme="minorEastAsia" w:cs="Times New Roman"/>
          <w:color w:val="000000"/>
          <w:kern w:val="0"/>
          <w:sz w:val="24"/>
        </w:rPr>
      </w:pPr>
      <w:r w:rsidRPr="009B4310">
        <w:rPr>
          <w:rFonts w:asciiTheme="minorEastAsia" w:hAnsiTheme="minorEastAsia" w:cs="Times New Roman" w:hint="eastAsia"/>
          <w:color w:val="000000"/>
          <w:kern w:val="0"/>
          <w:sz w:val="24"/>
        </w:rPr>
        <w:t>2、订立本基金合同的依据是《中华人民共和国合同法》、《中华人民共和国证券投资基金法》(以下简称“《基金法》”)、《公开募集证券投资基金运作管理办法》(以下简称“《运作办法》”)、《证券投资基金销售管理办法》(以下简称“《销售办法》”)、《证券投资基金信息披露管理办法》(以下简称“《信息披露办法》”)和其他有关法律法规。</w:t>
      </w:r>
    </w:p>
    <w:p w:rsidR="000817E9" w:rsidRDefault="009B4310" w:rsidP="00BB18FD">
      <w:pPr>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t>修改为</w:t>
      </w:r>
      <w:r w:rsidR="0058674E" w:rsidRPr="0058674E">
        <w:rPr>
          <w:rFonts w:asciiTheme="minorEastAsia" w:hAnsiTheme="minorEastAsia" w:cs="Times New Roman" w:hint="eastAsia"/>
          <w:b/>
          <w:color w:val="000000"/>
          <w:kern w:val="0"/>
          <w:sz w:val="24"/>
        </w:rPr>
        <w:t>：</w:t>
      </w:r>
    </w:p>
    <w:p w:rsidR="00E51BDE" w:rsidRPr="00E51BDE" w:rsidRDefault="009B4310" w:rsidP="009B4310">
      <w:pPr>
        <w:widowControl/>
        <w:adjustRightInd w:val="0"/>
        <w:snapToGrid w:val="0"/>
        <w:spacing w:line="360" w:lineRule="auto"/>
        <w:ind w:firstLineChars="200" w:firstLine="480"/>
        <w:rPr>
          <w:rFonts w:asciiTheme="minorEastAsia" w:hAnsiTheme="minorEastAsia" w:cs="Times New Roman"/>
          <w:color w:val="000000"/>
          <w:kern w:val="0"/>
          <w:sz w:val="24"/>
        </w:rPr>
      </w:pPr>
      <w:r w:rsidRPr="009B4310">
        <w:rPr>
          <w:rFonts w:asciiTheme="minorEastAsia" w:hAnsiTheme="minorEastAsia" w:cs="Times New Roman" w:hint="eastAsia"/>
          <w:color w:val="000000"/>
          <w:kern w:val="0"/>
          <w:sz w:val="24"/>
        </w:rPr>
        <w:t>2、订立本基金合同的依据是《中华人民共和国合同法》、《中华人民共和国证券投资基金法》(以下简称“《基金法》”)、《公开募集证券投资基金运作管理办法》(以下简称“《运作办法》”)、《证券投资基金销售管理办法》(以下简称“《销售办法》”)、《证券投资基金信息披露管理办法》(以下简称“《信息披露办法》”) 、《证券基金经营机构参与内地与香港股票市场交易互联互通指引》和其他有关法律法规。</w:t>
      </w:r>
    </w:p>
    <w:p w:rsidR="009B4310" w:rsidRPr="000242D4" w:rsidRDefault="00025F27" w:rsidP="00BB18FD">
      <w:pPr>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lastRenderedPageBreak/>
        <w:t>2</w:t>
      </w:r>
      <w:r w:rsidR="00DF0A87">
        <w:rPr>
          <w:rFonts w:asciiTheme="minorEastAsia" w:hAnsiTheme="minorEastAsia" w:cs="Times New Roman" w:hint="eastAsia"/>
          <w:b/>
          <w:color w:val="000000"/>
          <w:kern w:val="0"/>
          <w:sz w:val="24"/>
        </w:rPr>
        <w:t>、</w:t>
      </w:r>
      <w:r w:rsidR="009B4310">
        <w:rPr>
          <w:rFonts w:asciiTheme="minorEastAsia" w:hAnsiTheme="minorEastAsia" w:cs="Times New Roman" w:hint="eastAsia"/>
          <w:b/>
          <w:color w:val="000000"/>
          <w:kern w:val="0"/>
          <w:sz w:val="24"/>
        </w:rPr>
        <w:t>“</w:t>
      </w:r>
      <w:r w:rsidR="009B4310" w:rsidRPr="000242D4">
        <w:rPr>
          <w:rFonts w:asciiTheme="minorEastAsia" w:hAnsiTheme="minorEastAsia" w:cs="Times New Roman"/>
          <w:b/>
          <w:color w:val="000000"/>
          <w:kern w:val="0"/>
          <w:sz w:val="24"/>
        </w:rPr>
        <w:t xml:space="preserve">第一部分 前言 </w:t>
      </w:r>
      <w:r w:rsidR="009B4310">
        <w:rPr>
          <w:rFonts w:asciiTheme="minorEastAsia" w:hAnsiTheme="minorEastAsia" w:cs="Times New Roman" w:hint="eastAsia"/>
          <w:b/>
          <w:color w:val="000000"/>
          <w:kern w:val="0"/>
          <w:sz w:val="24"/>
        </w:rPr>
        <w:t>”第六条</w:t>
      </w:r>
    </w:p>
    <w:p w:rsidR="009B4310" w:rsidRDefault="009B4310" w:rsidP="00BB18FD">
      <w:pPr>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t>原表述：</w:t>
      </w:r>
    </w:p>
    <w:p w:rsidR="009B4310" w:rsidRDefault="009B4310" w:rsidP="009B4310">
      <w:pPr>
        <w:spacing w:line="360" w:lineRule="auto"/>
        <w:ind w:firstLineChars="200" w:firstLine="480"/>
        <w:rPr>
          <w:rFonts w:asciiTheme="minorEastAsia" w:hAnsiTheme="minorEastAsia" w:cs="Times New Roman"/>
          <w:b/>
          <w:color w:val="000000"/>
          <w:kern w:val="0"/>
          <w:sz w:val="24"/>
        </w:rPr>
      </w:pPr>
      <w:r w:rsidRPr="0042527E">
        <w:rPr>
          <w:rFonts w:hint="eastAsia"/>
          <w:bCs/>
          <w:sz w:val="24"/>
        </w:rPr>
        <w:t>六</w:t>
      </w:r>
      <w:r w:rsidRPr="0042527E">
        <w:rPr>
          <w:bCs/>
          <w:sz w:val="24"/>
        </w:rPr>
        <w:t>、</w:t>
      </w:r>
      <w:r w:rsidRPr="0042527E">
        <w:rPr>
          <w:rFonts w:hint="eastAsia"/>
          <w:bCs/>
          <w:sz w:val="24"/>
        </w:rPr>
        <w:t>本基金投资相关股票市场交易互联互通机制试点允许买卖的规定范围内的香港联合交易所上市的股票（以下简称“港股通标的股票”）的，将承担汇率风险以及境外市场的风险。</w:t>
      </w:r>
    </w:p>
    <w:p w:rsidR="009B4310" w:rsidRDefault="009B4310" w:rsidP="00BB18FD">
      <w:pPr>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t>修改为：</w:t>
      </w:r>
    </w:p>
    <w:p w:rsidR="009B4310" w:rsidRPr="009B4310" w:rsidRDefault="009B4310" w:rsidP="009B4310">
      <w:pPr>
        <w:spacing w:line="360" w:lineRule="auto"/>
        <w:ind w:firstLineChars="200" w:firstLine="480"/>
        <w:rPr>
          <w:bCs/>
          <w:sz w:val="24"/>
        </w:rPr>
      </w:pPr>
      <w:r w:rsidRPr="009B4310">
        <w:rPr>
          <w:rFonts w:hint="eastAsia"/>
          <w:bCs/>
          <w:sz w:val="24"/>
        </w:rPr>
        <w:t>六、本基金投资相关股票市场交易互联互通机制试点允许买卖的规定范围内的香港联合交易所上市的股票（以下简称“港股通标的股票”）的，会面临港股通机制下因投资环境、投资标的、市场制度以及交易规则等差异带来的特有风险，包括港股市场股价波动较大的风险、汇率风险、港股通机制下交易日不连贯可能带来的风险等。</w:t>
      </w:r>
    </w:p>
    <w:p w:rsidR="009B4310" w:rsidRDefault="009B4310" w:rsidP="009B4310">
      <w:pPr>
        <w:spacing w:line="360" w:lineRule="auto"/>
        <w:ind w:firstLineChars="200" w:firstLine="480"/>
        <w:rPr>
          <w:bCs/>
          <w:sz w:val="24"/>
        </w:rPr>
      </w:pPr>
      <w:r w:rsidRPr="009B4310">
        <w:rPr>
          <w:rFonts w:hint="eastAsia"/>
          <w:bCs/>
          <w:sz w:val="24"/>
        </w:rPr>
        <w:t>七、基金名称仅表明基金可以通过港股通机制投资港股，基金资产对港股标的投资比例会根据市场情况、投资策略等发生较大的调整，存在不对港股进行投资的可能。</w:t>
      </w:r>
    </w:p>
    <w:p w:rsidR="009B4310" w:rsidRPr="000242D4" w:rsidRDefault="009B4310" w:rsidP="00BB18FD">
      <w:pPr>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t>3、“</w:t>
      </w:r>
      <w:r w:rsidRPr="009B4310">
        <w:rPr>
          <w:rFonts w:asciiTheme="minorEastAsia" w:hAnsiTheme="minorEastAsia" w:cs="Times New Roman" w:hint="eastAsia"/>
          <w:b/>
          <w:color w:val="000000"/>
          <w:kern w:val="0"/>
          <w:sz w:val="24"/>
        </w:rPr>
        <w:t>第十二部分  基金的投资</w:t>
      </w:r>
      <w:r>
        <w:rPr>
          <w:rFonts w:asciiTheme="minorEastAsia" w:hAnsiTheme="minorEastAsia" w:cs="Times New Roman" w:hint="eastAsia"/>
          <w:b/>
          <w:color w:val="000000"/>
          <w:kern w:val="0"/>
          <w:sz w:val="24"/>
        </w:rPr>
        <w:t xml:space="preserve">”第六条 </w:t>
      </w:r>
      <w:r w:rsidRPr="009B4310">
        <w:rPr>
          <w:rFonts w:asciiTheme="minorEastAsia" w:hAnsiTheme="minorEastAsia" w:cs="Times New Roman" w:hint="eastAsia"/>
          <w:b/>
          <w:color w:val="000000"/>
          <w:kern w:val="0"/>
          <w:sz w:val="24"/>
        </w:rPr>
        <w:t>风险收益特征</w:t>
      </w:r>
    </w:p>
    <w:p w:rsidR="009B4310" w:rsidRDefault="009B4310" w:rsidP="00BB18FD">
      <w:pPr>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t>原表述：</w:t>
      </w:r>
    </w:p>
    <w:p w:rsidR="009B4310" w:rsidRPr="0042527E" w:rsidRDefault="009B4310" w:rsidP="009B4310">
      <w:pPr>
        <w:spacing w:line="360" w:lineRule="auto"/>
        <w:ind w:firstLineChars="200" w:firstLine="480"/>
        <w:rPr>
          <w:rFonts w:hAnsi="宋体"/>
          <w:sz w:val="24"/>
          <w:szCs w:val="24"/>
        </w:rPr>
      </w:pPr>
      <w:r w:rsidRPr="0042527E">
        <w:rPr>
          <w:rFonts w:hAnsi="宋体"/>
          <w:sz w:val="24"/>
          <w:szCs w:val="24"/>
        </w:rPr>
        <w:t>本基金是一只混合型基金，其风险和预期收益高于债券型基金和货币市场基金，低于股票型基金</w:t>
      </w:r>
      <w:r w:rsidRPr="0042527E">
        <w:rPr>
          <w:rFonts w:hAnsi="宋体" w:hint="eastAsia"/>
          <w:sz w:val="24"/>
          <w:szCs w:val="24"/>
        </w:rPr>
        <w:t>。属于承担较高风险、预期收益较高的证券投资基金品种。</w:t>
      </w:r>
    </w:p>
    <w:p w:rsidR="009B4310" w:rsidRPr="0042527E" w:rsidRDefault="009B4310" w:rsidP="009B4310">
      <w:pPr>
        <w:spacing w:line="360" w:lineRule="auto"/>
        <w:ind w:firstLineChars="200" w:firstLine="480"/>
        <w:rPr>
          <w:rFonts w:hAnsi="宋体"/>
          <w:sz w:val="24"/>
          <w:szCs w:val="24"/>
        </w:rPr>
      </w:pPr>
      <w:r w:rsidRPr="0042527E">
        <w:rPr>
          <w:rFonts w:ascii="宋体" w:cs="宋体" w:hint="eastAsia"/>
          <w:kern w:val="0"/>
          <w:sz w:val="24"/>
          <w:szCs w:val="24"/>
        </w:rPr>
        <w:t>本基金可投资港股通标的股票，需承担汇率风险以及境外市场的风险。</w:t>
      </w:r>
    </w:p>
    <w:p w:rsidR="009B4310" w:rsidRDefault="009B4310" w:rsidP="00BB18FD">
      <w:pPr>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t>修改为：</w:t>
      </w:r>
    </w:p>
    <w:p w:rsidR="009B4310" w:rsidRPr="0042527E" w:rsidRDefault="009B4310" w:rsidP="009B4310">
      <w:pPr>
        <w:spacing w:line="360" w:lineRule="auto"/>
        <w:ind w:firstLineChars="200" w:firstLine="480"/>
        <w:rPr>
          <w:rFonts w:hAnsi="宋体"/>
          <w:sz w:val="24"/>
          <w:szCs w:val="24"/>
        </w:rPr>
      </w:pPr>
      <w:r w:rsidRPr="0042527E">
        <w:rPr>
          <w:rFonts w:hAnsi="宋体"/>
          <w:sz w:val="24"/>
          <w:szCs w:val="24"/>
        </w:rPr>
        <w:t>本基金是一只混合型基金，其风险和预期收益高于债券型基金和货币市场基金，低于股票型基金</w:t>
      </w:r>
      <w:r w:rsidRPr="0042527E">
        <w:rPr>
          <w:rFonts w:hAnsi="宋体" w:hint="eastAsia"/>
          <w:sz w:val="24"/>
          <w:szCs w:val="24"/>
        </w:rPr>
        <w:t>。属于承担较高风险、预期收益较高的证券投资基金品种。</w:t>
      </w:r>
    </w:p>
    <w:p w:rsidR="009B4310" w:rsidRDefault="009B4310" w:rsidP="009B4310">
      <w:pPr>
        <w:spacing w:line="360" w:lineRule="auto"/>
        <w:ind w:firstLineChars="200" w:firstLine="480"/>
        <w:rPr>
          <w:rFonts w:ascii="宋体" w:cs="宋体"/>
          <w:kern w:val="0"/>
          <w:sz w:val="24"/>
          <w:szCs w:val="24"/>
        </w:rPr>
      </w:pPr>
      <w:r w:rsidRPr="0042527E">
        <w:rPr>
          <w:rFonts w:ascii="宋体" w:cs="宋体" w:hint="eastAsia"/>
          <w:kern w:val="0"/>
          <w:sz w:val="24"/>
          <w:szCs w:val="24"/>
        </w:rPr>
        <w:t>本基金可投资港股通标的股票，</w:t>
      </w:r>
      <w:r w:rsidRPr="00A1781B">
        <w:rPr>
          <w:rFonts w:ascii="宋体" w:cs="宋体" w:hint="eastAsia"/>
          <w:kern w:val="0"/>
          <w:sz w:val="24"/>
          <w:szCs w:val="24"/>
        </w:rPr>
        <w:t>会面临港股通机制下因投资环境、投资标的、市场制度以及交易规则等差异带来的特有风险</w:t>
      </w:r>
      <w:r w:rsidRPr="0042527E">
        <w:rPr>
          <w:rFonts w:ascii="宋体" w:cs="宋体" w:hint="eastAsia"/>
          <w:kern w:val="0"/>
          <w:sz w:val="24"/>
          <w:szCs w:val="24"/>
        </w:rPr>
        <w:t>。</w:t>
      </w:r>
    </w:p>
    <w:p w:rsidR="00BB18FD" w:rsidRPr="0042527E" w:rsidRDefault="00BB18FD" w:rsidP="009B4310">
      <w:pPr>
        <w:spacing w:line="360" w:lineRule="auto"/>
        <w:ind w:firstLineChars="200" w:firstLine="480"/>
        <w:rPr>
          <w:rFonts w:hAnsi="宋体"/>
          <w:sz w:val="24"/>
          <w:szCs w:val="24"/>
        </w:rPr>
      </w:pPr>
    </w:p>
    <w:p w:rsidR="009B4310" w:rsidRDefault="009B4310" w:rsidP="00BB18FD">
      <w:pPr>
        <w:spacing w:line="360" w:lineRule="auto"/>
        <w:ind w:firstLineChars="200" w:firstLine="482"/>
        <w:rPr>
          <w:rFonts w:asciiTheme="minorEastAsia" w:hAnsiTheme="minorEastAsia" w:cs="Times New Roman"/>
          <w:b/>
          <w:color w:val="000000"/>
          <w:kern w:val="0"/>
          <w:sz w:val="24"/>
        </w:rPr>
      </w:pPr>
      <w:r w:rsidRPr="00BB18FD">
        <w:rPr>
          <w:rFonts w:asciiTheme="minorEastAsia" w:hAnsiTheme="minorEastAsia" w:cs="Times New Roman" w:hint="eastAsia"/>
          <w:b/>
          <w:color w:val="000000"/>
          <w:kern w:val="0"/>
          <w:sz w:val="24"/>
        </w:rPr>
        <w:t>二</w:t>
      </w:r>
      <w:r w:rsidRPr="00BB18FD">
        <w:rPr>
          <w:rFonts w:asciiTheme="minorEastAsia" w:hAnsiTheme="minorEastAsia" w:cs="Times New Roman"/>
          <w:b/>
          <w:color w:val="000000"/>
          <w:kern w:val="0"/>
          <w:sz w:val="24"/>
        </w:rPr>
        <w:t>、</w:t>
      </w:r>
      <w:r>
        <w:rPr>
          <w:rFonts w:asciiTheme="minorEastAsia" w:hAnsiTheme="minorEastAsia" w:cs="Times New Roman" w:hint="eastAsia"/>
          <w:b/>
          <w:color w:val="000000"/>
          <w:kern w:val="0"/>
          <w:sz w:val="24"/>
        </w:rPr>
        <w:t>招募说明书</w:t>
      </w:r>
      <w:r w:rsidRPr="000242D4">
        <w:rPr>
          <w:rFonts w:asciiTheme="minorEastAsia" w:hAnsiTheme="minorEastAsia" w:cs="Times New Roman"/>
          <w:b/>
          <w:color w:val="000000"/>
          <w:kern w:val="0"/>
          <w:sz w:val="24"/>
        </w:rPr>
        <w:t>的修订内容</w:t>
      </w:r>
    </w:p>
    <w:p w:rsidR="009B4310" w:rsidRPr="008D7FC3" w:rsidRDefault="009B4310" w:rsidP="009B4310">
      <w:pPr>
        <w:widowControl/>
        <w:adjustRightInd w:val="0"/>
        <w:snapToGrid w:val="0"/>
        <w:spacing w:line="360" w:lineRule="auto"/>
        <w:ind w:firstLineChars="200" w:firstLine="480"/>
        <w:rPr>
          <w:rFonts w:asciiTheme="minorEastAsia" w:hAnsiTheme="minorEastAsia" w:cs="Times New Roman"/>
          <w:color w:val="000000"/>
          <w:kern w:val="0"/>
          <w:sz w:val="24"/>
        </w:rPr>
      </w:pPr>
      <w:r>
        <w:rPr>
          <w:rFonts w:asciiTheme="minorEastAsia" w:hAnsiTheme="minorEastAsia" w:cs="Times New Roman" w:hint="eastAsia"/>
          <w:color w:val="000000"/>
          <w:kern w:val="0"/>
          <w:sz w:val="24"/>
        </w:rPr>
        <w:t>本次修订在更新版本的招募说明书上进行修改，招募说明书</w:t>
      </w:r>
      <w:bookmarkStart w:id="0" w:name="_GoBack"/>
      <w:bookmarkEnd w:id="0"/>
      <w:r w:rsidRPr="008D7FC3">
        <w:rPr>
          <w:rFonts w:asciiTheme="minorEastAsia" w:hAnsiTheme="minorEastAsia" w:cs="Times New Roman"/>
          <w:color w:val="000000"/>
          <w:kern w:val="0"/>
          <w:sz w:val="24"/>
        </w:rPr>
        <w:t>的主要修订内容如下：</w:t>
      </w:r>
    </w:p>
    <w:p w:rsidR="009B4310" w:rsidRDefault="009B4310" w:rsidP="00BB18FD">
      <w:pPr>
        <w:spacing w:line="360" w:lineRule="auto"/>
        <w:ind w:firstLineChars="200" w:firstLine="482"/>
        <w:rPr>
          <w:rFonts w:asciiTheme="minorEastAsia" w:hAnsiTheme="minorEastAsia" w:cs="Times New Roman"/>
          <w:b/>
          <w:color w:val="000000"/>
          <w:kern w:val="0"/>
          <w:sz w:val="24"/>
        </w:rPr>
      </w:pPr>
      <w:r w:rsidRPr="009B4310">
        <w:rPr>
          <w:rFonts w:asciiTheme="minorEastAsia" w:hAnsiTheme="minorEastAsia" w:cs="Times New Roman" w:hint="eastAsia"/>
          <w:b/>
          <w:color w:val="000000"/>
          <w:kern w:val="0"/>
          <w:sz w:val="24"/>
        </w:rPr>
        <w:t>1、</w:t>
      </w:r>
      <w:r>
        <w:rPr>
          <w:rFonts w:asciiTheme="minorEastAsia" w:hAnsiTheme="minorEastAsia" w:cs="Times New Roman" w:hint="eastAsia"/>
          <w:b/>
          <w:color w:val="000000"/>
          <w:kern w:val="0"/>
          <w:sz w:val="24"/>
        </w:rPr>
        <w:t>“</w:t>
      </w:r>
      <w:r w:rsidRPr="009B4310">
        <w:rPr>
          <w:rFonts w:asciiTheme="minorEastAsia" w:hAnsiTheme="minorEastAsia" w:cs="Times New Roman" w:hint="eastAsia"/>
          <w:b/>
          <w:color w:val="000000"/>
          <w:kern w:val="0"/>
          <w:sz w:val="24"/>
        </w:rPr>
        <w:t>【重要提示】</w:t>
      </w:r>
      <w:r>
        <w:rPr>
          <w:rFonts w:asciiTheme="minorEastAsia" w:hAnsiTheme="minorEastAsia" w:cs="Times New Roman" w:hint="eastAsia"/>
          <w:b/>
          <w:color w:val="000000"/>
          <w:kern w:val="0"/>
          <w:sz w:val="24"/>
        </w:rPr>
        <w:t>”</w:t>
      </w:r>
    </w:p>
    <w:p w:rsidR="009B4310" w:rsidRDefault="009B4310" w:rsidP="00BB18FD">
      <w:pPr>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lastRenderedPageBreak/>
        <w:t>原表述：</w:t>
      </w:r>
    </w:p>
    <w:p w:rsidR="009B4310" w:rsidRDefault="009B4310" w:rsidP="009B4310">
      <w:pPr>
        <w:widowControl/>
        <w:adjustRightInd w:val="0"/>
        <w:snapToGrid w:val="0"/>
        <w:spacing w:line="360" w:lineRule="auto"/>
        <w:ind w:firstLineChars="200" w:firstLine="480"/>
        <w:rPr>
          <w:rFonts w:ascii="宋体" w:eastAsia="宋体" w:hAnsi="宋体" w:cs="Times New Roman"/>
          <w:kern w:val="0"/>
          <w:sz w:val="24"/>
        </w:rPr>
      </w:pPr>
      <w:r w:rsidRPr="003D603E">
        <w:rPr>
          <w:rFonts w:ascii="宋体" w:eastAsia="宋体" w:hAnsi="宋体" w:cs="Times New Roman" w:hint="eastAsia"/>
          <w:kern w:val="0"/>
          <w:sz w:val="24"/>
        </w:rPr>
        <w:t>本基金投资</w:t>
      </w:r>
      <w:r w:rsidRPr="003D603E">
        <w:rPr>
          <w:rFonts w:ascii="Calibri" w:eastAsia="宋体" w:hAnsi="Calibri" w:cs="Times New Roman" w:hint="eastAsia"/>
          <w:bCs/>
          <w:sz w:val="24"/>
        </w:rPr>
        <w:t>沪港</w:t>
      </w:r>
      <w:r w:rsidRPr="003D603E">
        <w:rPr>
          <w:rFonts w:ascii="宋体" w:eastAsia="宋体" w:hAnsi="宋体" w:cs="Times New Roman" w:hint="eastAsia"/>
          <w:kern w:val="0"/>
          <w:sz w:val="24"/>
        </w:rPr>
        <w:t>股票市场交易互联互通机制试点允许买卖的规定范围内的香港联合交易所上市的股票（以下简称“港股通标的股票”），将承担汇率风险以及境外市场的风险。</w:t>
      </w:r>
    </w:p>
    <w:p w:rsidR="009B4310" w:rsidRPr="009B4310" w:rsidRDefault="009B4310" w:rsidP="00BB18FD">
      <w:pPr>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t>修改为：</w:t>
      </w:r>
    </w:p>
    <w:p w:rsidR="009B4310" w:rsidRDefault="009B4310" w:rsidP="009B4310">
      <w:pPr>
        <w:widowControl/>
        <w:adjustRightInd w:val="0"/>
        <w:snapToGrid w:val="0"/>
        <w:spacing w:line="360" w:lineRule="auto"/>
        <w:ind w:firstLineChars="200" w:firstLine="480"/>
        <w:rPr>
          <w:rFonts w:ascii="宋体" w:eastAsia="宋体" w:hAnsi="宋体" w:cs="Times New Roman"/>
          <w:kern w:val="0"/>
          <w:sz w:val="24"/>
        </w:rPr>
      </w:pPr>
      <w:r w:rsidRPr="003D603E">
        <w:rPr>
          <w:rFonts w:ascii="宋体" w:eastAsia="宋体" w:hAnsi="宋体" w:cs="Times New Roman" w:hint="eastAsia"/>
          <w:kern w:val="0"/>
          <w:sz w:val="24"/>
        </w:rPr>
        <w:t>本基金投资</w:t>
      </w:r>
      <w:r w:rsidRPr="003D603E">
        <w:rPr>
          <w:rFonts w:ascii="Calibri" w:eastAsia="宋体" w:hAnsi="Calibri" w:cs="Times New Roman" w:hint="eastAsia"/>
          <w:bCs/>
          <w:sz w:val="24"/>
        </w:rPr>
        <w:t>沪港</w:t>
      </w:r>
      <w:r w:rsidRPr="003D603E">
        <w:rPr>
          <w:rFonts w:ascii="宋体" w:eastAsia="宋体" w:hAnsi="宋体" w:cs="Times New Roman" w:hint="eastAsia"/>
          <w:kern w:val="0"/>
          <w:sz w:val="24"/>
        </w:rPr>
        <w:t>股票市场交易互联互通机制试点允许买卖的规定范围内的香港联合交易所上市的股票（以下简称“港股通标的股票”），</w:t>
      </w:r>
      <w:r w:rsidRPr="00F87188">
        <w:rPr>
          <w:rFonts w:ascii="宋体" w:eastAsia="宋体" w:hAnsi="宋体" w:cs="Times New Roman" w:hint="eastAsia"/>
          <w:bCs/>
          <w:kern w:val="0"/>
          <w:sz w:val="24"/>
        </w:rPr>
        <w:t>会面临港股通机制下因投资环境、投资标的、市场制度以及交易规则等差异带来的特有风险，包括港股市场股价波动较大的风险、汇率风险、港股通机制下交易日不连贯可能带来的风险等</w:t>
      </w:r>
      <w:r>
        <w:rPr>
          <w:rFonts w:ascii="宋体" w:eastAsia="宋体" w:hAnsi="宋体" w:cs="Times New Roman" w:hint="eastAsia"/>
          <w:bCs/>
          <w:kern w:val="0"/>
          <w:sz w:val="24"/>
        </w:rPr>
        <w:t>，</w:t>
      </w:r>
      <w:r>
        <w:rPr>
          <w:rFonts w:ascii="宋体" w:eastAsia="宋体" w:hAnsi="宋体" w:cs="Times New Roman"/>
          <w:bCs/>
          <w:kern w:val="0"/>
          <w:sz w:val="24"/>
        </w:rPr>
        <w:t>具体</w:t>
      </w:r>
      <w:r>
        <w:rPr>
          <w:rFonts w:ascii="宋体" w:eastAsia="宋体" w:hAnsi="宋体" w:cs="Times New Roman" w:hint="eastAsia"/>
          <w:bCs/>
          <w:kern w:val="0"/>
          <w:sz w:val="24"/>
        </w:rPr>
        <w:t>请见</w:t>
      </w:r>
      <w:r>
        <w:rPr>
          <w:rFonts w:ascii="宋体" w:eastAsia="宋体" w:hAnsi="宋体" w:cs="Times New Roman"/>
          <w:bCs/>
          <w:kern w:val="0"/>
          <w:sz w:val="24"/>
        </w:rPr>
        <w:t>本招募说明书“</w:t>
      </w:r>
      <w:r>
        <w:rPr>
          <w:rFonts w:ascii="宋体" w:eastAsia="宋体" w:hAnsi="宋体" w:cs="Times New Roman" w:hint="eastAsia"/>
          <w:bCs/>
          <w:kern w:val="0"/>
          <w:sz w:val="24"/>
        </w:rPr>
        <w:t>十七</w:t>
      </w:r>
      <w:r>
        <w:rPr>
          <w:rFonts w:ascii="宋体" w:eastAsia="宋体" w:hAnsi="宋体" w:cs="Times New Roman"/>
          <w:bCs/>
          <w:kern w:val="0"/>
          <w:sz w:val="24"/>
        </w:rPr>
        <w:t>、</w:t>
      </w:r>
      <w:r>
        <w:rPr>
          <w:rFonts w:ascii="宋体" w:eastAsia="宋体" w:hAnsi="宋体" w:cs="Times New Roman" w:hint="eastAsia"/>
          <w:bCs/>
          <w:kern w:val="0"/>
          <w:sz w:val="24"/>
        </w:rPr>
        <w:t>风险揭示</w:t>
      </w:r>
      <w:r>
        <w:rPr>
          <w:rFonts w:ascii="宋体" w:eastAsia="宋体" w:hAnsi="宋体" w:cs="Times New Roman"/>
          <w:bCs/>
          <w:kern w:val="0"/>
          <w:sz w:val="24"/>
        </w:rPr>
        <w:t>”</w:t>
      </w:r>
      <w:r>
        <w:rPr>
          <w:rFonts w:ascii="宋体" w:eastAsia="宋体" w:hAnsi="宋体" w:cs="Times New Roman" w:hint="eastAsia"/>
          <w:bCs/>
          <w:kern w:val="0"/>
          <w:sz w:val="24"/>
        </w:rPr>
        <w:t>章节</w:t>
      </w:r>
      <w:r w:rsidRPr="003D603E">
        <w:rPr>
          <w:rFonts w:ascii="宋体" w:eastAsia="宋体" w:hAnsi="宋体" w:cs="Times New Roman" w:hint="eastAsia"/>
          <w:kern w:val="0"/>
          <w:sz w:val="24"/>
        </w:rPr>
        <w:t>。</w:t>
      </w:r>
    </w:p>
    <w:p w:rsidR="009B4310" w:rsidRDefault="009B4310" w:rsidP="009B4310">
      <w:pPr>
        <w:widowControl/>
        <w:adjustRightInd w:val="0"/>
        <w:snapToGrid w:val="0"/>
        <w:spacing w:line="360" w:lineRule="auto"/>
        <w:ind w:firstLineChars="200" w:firstLine="480"/>
        <w:rPr>
          <w:rFonts w:ascii="宋体" w:eastAsia="宋体" w:hAnsi="宋体" w:cs="Times New Roman"/>
          <w:kern w:val="0"/>
          <w:sz w:val="24"/>
        </w:rPr>
      </w:pPr>
      <w:r w:rsidRPr="00A04B39">
        <w:rPr>
          <w:rFonts w:ascii="宋体" w:eastAsia="宋体" w:hAnsi="宋体" w:cs="Times New Roman" w:hint="eastAsia"/>
          <w:kern w:val="0"/>
          <w:sz w:val="24"/>
        </w:rPr>
        <w:t>基金名称仅表明基金可以通过港股通机制投资港股，基金资产对港股标的投资比例会根据市场情况、投资策略等发生较大的调整，存在不对港股进行投资的可能。</w:t>
      </w:r>
    </w:p>
    <w:p w:rsidR="00BB18FD" w:rsidRPr="000242D4" w:rsidRDefault="00BB18FD" w:rsidP="00BB18FD">
      <w:pPr>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t>2、“九</w:t>
      </w:r>
      <w:r w:rsidRPr="009B4310">
        <w:rPr>
          <w:rFonts w:asciiTheme="minorEastAsia" w:hAnsiTheme="minorEastAsia" w:cs="Times New Roman" w:hint="eastAsia"/>
          <w:b/>
          <w:color w:val="000000"/>
          <w:kern w:val="0"/>
          <w:sz w:val="24"/>
        </w:rPr>
        <w:t xml:space="preserve">  基金的投资</w:t>
      </w:r>
      <w:r>
        <w:rPr>
          <w:rFonts w:asciiTheme="minorEastAsia" w:hAnsiTheme="minorEastAsia" w:cs="Times New Roman" w:hint="eastAsia"/>
          <w:b/>
          <w:color w:val="000000"/>
          <w:kern w:val="0"/>
          <w:sz w:val="24"/>
        </w:rPr>
        <w:t xml:space="preserve">”第六条 </w:t>
      </w:r>
      <w:r w:rsidRPr="009B4310">
        <w:rPr>
          <w:rFonts w:asciiTheme="minorEastAsia" w:hAnsiTheme="minorEastAsia" w:cs="Times New Roman" w:hint="eastAsia"/>
          <w:b/>
          <w:color w:val="000000"/>
          <w:kern w:val="0"/>
          <w:sz w:val="24"/>
        </w:rPr>
        <w:t>风险收益特征</w:t>
      </w:r>
    </w:p>
    <w:p w:rsidR="00BB18FD" w:rsidRDefault="00BB18FD" w:rsidP="00BB18FD">
      <w:pPr>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t>原表述：</w:t>
      </w:r>
    </w:p>
    <w:p w:rsidR="00BB18FD" w:rsidRPr="0042527E" w:rsidRDefault="00BB18FD" w:rsidP="00BB18FD">
      <w:pPr>
        <w:spacing w:line="360" w:lineRule="auto"/>
        <w:ind w:firstLineChars="200" w:firstLine="480"/>
        <w:rPr>
          <w:rFonts w:hAnsi="宋体"/>
          <w:sz w:val="24"/>
          <w:szCs w:val="24"/>
        </w:rPr>
      </w:pPr>
      <w:r w:rsidRPr="0042527E">
        <w:rPr>
          <w:rFonts w:hAnsi="宋体"/>
          <w:sz w:val="24"/>
          <w:szCs w:val="24"/>
        </w:rPr>
        <w:t>本基金是一只混合型基金，其风险和预期收益高于债券型基金和货币市场基金，低于股票型基金</w:t>
      </w:r>
      <w:r w:rsidRPr="0042527E">
        <w:rPr>
          <w:rFonts w:hAnsi="宋体" w:hint="eastAsia"/>
          <w:sz w:val="24"/>
          <w:szCs w:val="24"/>
        </w:rPr>
        <w:t>。属于承担较高风险、预期收益较高的证券投资基金品种。</w:t>
      </w:r>
    </w:p>
    <w:p w:rsidR="00BB18FD" w:rsidRPr="0042527E" w:rsidRDefault="00BB18FD" w:rsidP="00BB18FD">
      <w:pPr>
        <w:spacing w:line="360" w:lineRule="auto"/>
        <w:ind w:firstLineChars="200" w:firstLine="480"/>
        <w:rPr>
          <w:rFonts w:hAnsi="宋体"/>
          <w:sz w:val="24"/>
          <w:szCs w:val="24"/>
        </w:rPr>
      </w:pPr>
      <w:r w:rsidRPr="0042527E">
        <w:rPr>
          <w:rFonts w:ascii="宋体" w:cs="宋体" w:hint="eastAsia"/>
          <w:kern w:val="0"/>
          <w:sz w:val="24"/>
          <w:szCs w:val="24"/>
        </w:rPr>
        <w:t>本基金可投资港股通标的股票，需承担汇率风险以及境外市场的风险。</w:t>
      </w:r>
    </w:p>
    <w:p w:rsidR="00BB18FD" w:rsidRDefault="00BB18FD" w:rsidP="00BB18FD">
      <w:pPr>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t>修改为：</w:t>
      </w:r>
    </w:p>
    <w:p w:rsidR="00BB18FD" w:rsidRPr="0042527E" w:rsidRDefault="00BB18FD" w:rsidP="00BB18FD">
      <w:pPr>
        <w:spacing w:line="360" w:lineRule="auto"/>
        <w:ind w:firstLineChars="200" w:firstLine="480"/>
        <w:rPr>
          <w:rFonts w:hAnsi="宋体"/>
          <w:sz w:val="24"/>
          <w:szCs w:val="24"/>
        </w:rPr>
      </w:pPr>
      <w:r w:rsidRPr="0042527E">
        <w:rPr>
          <w:rFonts w:hAnsi="宋体"/>
          <w:sz w:val="24"/>
          <w:szCs w:val="24"/>
        </w:rPr>
        <w:t>本基金是一只混合型基金，其风险和预期收益高于债券型基金和货币市场基金，低于股票型基金</w:t>
      </w:r>
      <w:r w:rsidRPr="0042527E">
        <w:rPr>
          <w:rFonts w:hAnsi="宋体" w:hint="eastAsia"/>
          <w:sz w:val="24"/>
          <w:szCs w:val="24"/>
        </w:rPr>
        <w:t>。属于承担较高风险、预期收益较高的证券投资基金品种。</w:t>
      </w:r>
    </w:p>
    <w:p w:rsidR="00BB18FD" w:rsidRPr="0042527E" w:rsidRDefault="00BB18FD" w:rsidP="00BB18FD">
      <w:pPr>
        <w:spacing w:line="360" w:lineRule="auto"/>
        <w:ind w:firstLineChars="200" w:firstLine="480"/>
        <w:rPr>
          <w:rFonts w:hAnsi="宋体"/>
          <w:sz w:val="24"/>
          <w:szCs w:val="24"/>
        </w:rPr>
      </w:pPr>
      <w:r w:rsidRPr="0042527E">
        <w:rPr>
          <w:rFonts w:ascii="宋体" w:cs="宋体" w:hint="eastAsia"/>
          <w:kern w:val="0"/>
          <w:sz w:val="24"/>
          <w:szCs w:val="24"/>
        </w:rPr>
        <w:t>本基金可投资港股通标的股票，</w:t>
      </w:r>
      <w:r w:rsidRPr="00A1781B">
        <w:rPr>
          <w:rFonts w:ascii="宋体" w:cs="宋体" w:hint="eastAsia"/>
          <w:kern w:val="0"/>
          <w:sz w:val="24"/>
          <w:szCs w:val="24"/>
        </w:rPr>
        <w:t>会面临港股通机制下因投资环境、投资标的、市场制度以及交易规则等差异带来的特有风险</w:t>
      </w:r>
      <w:r w:rsidRPr="0042527E">
        <w:rPr>
          <w:rFonts w:ascii="宋体" w:cs="宋体" w:hint="eastAsia"/>
          <w:kern w:val="0"/>
          <w:sz w:val="24"/>
          <w:szCs w:val="24"/>
        </w:rPr>
        <w:t>。</w:t>
      </w:r>
    </w:p>
    <w:p w:rsidR="009B4310" w:rsidRDefault="00BB18FD" w:rsidP="009B4310">
      <w:pPr>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t>3</w:t>
      </w:r>
      <w:r w:rsidR="009B4310">
        <w:rPr>
          <w:rFonts w:asciiTheme="minorEastAsia" w:hAnsiTheme="minorEastAsia" w:cs="Times New Roman" w:hint="eastAsia"/>
          <w:b/>
          <w:color w:val="000000"/>
          <w:kern w:val="0"/>
          <w:sz w:val="24"/>
        </w:rPr>
        <w:t>、“</w:t>
      </w:r>
      <w:r w:rsidR="009B4310" w:rsidRPr="009B4310">
        <w:rPr>
          <w:rFonts w:asciiTheme="minorEastAsia" w:hAnsiTheme="minorEastAsia" w:cs="Times New Roman" w:hint="eastAsia"/>
          <w:b/>
          <w:color w:val="000000"/>
          <w:kern w:val="0"/>
          <w:sz w:val="24"/>
        </w:rPr>
        <w:t>十七、风险揭示</w:t>
      </w:r>
      <w:r w:rsidR="009B4310">
        <w:rPr>
          <w:rFonts w:asciiTheme="minorEastAsia" w:hAnsiTheme="minorEastAsia" w:cs="Times New Roman" w:hint="eastAsia"/>
          <w:b/>
          <w:color w:val="000000"/>
          <w:kern w:val="0"/>
          <w:sz w:val="24"/>
        </w:rPr>
        <w:t>”中“</w:t>
      </w:r>
      <w:r w:rsidR="009B4310" w:rsidRPr="009B4310">
        <w:rPr>
          <w:rFonts w:asciiTheme="minorEastAsia" w:hAnsiTheme="minorEastAsia" w:cs="Times New Roman" w:hint="eastAsia"/>
          <w:b/>
          <w:color w:val="000000"/>
          <w:kern w:val="0"/>
          <w:sz w:val="24"/>
        </w:rPr>
        <w:t>（五）本基金投资策略所特有的风险</w:t>
      </w:r>
      <w:r w:rsidR="009B4310">
        <w:rPr>
          <w:rFonts w:asciiTheme="minorEastAsia" w:hAnsiTheme="minorEastAsia" w:cs="Times New Roman" w:hint="eastAsia"/>
          <w:b/>
          <w:color w:val="000000"/>
          <w:kern w:val="0"/>
          <w:sz w:val="24"/>
        </w:rPr>
        <w:t>”的第2条 汇率风险</w:t>
      </w:r>
    </w:p>
    <w:p w:rsidR="009B4310" w:rsidRDefault="009B4310" w:rsidP="009B4310">
      <w:pPr>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t>原表述：</w:t>
      </w:r>
    </w:p>
    <w:p w:rsidR="009B4310" w:rsidRPr="003D603E" w:rsidRDefault="009B4310" w:rsidP="009B4310">
      <w:pPr>
        <w:widowControl/>
        <w:adjustRightInd w:val="0"/>
        <w:snapToGrid w:val="0"/>
        <w:spacing w:line="360" w:lineRule="auto"/>
        <w:ind w:firstLineChars="200" w:firstLine="480"/>
        <w:rPr>
          <w:rFonts w:ascii="Calibri" w:eastAsia="宋体" w:hAnsi="宋体" w:cs="Times New Roman"/>
          <w:kern w:val="0"/>
          <w:sz w:val="24"/>
          <w:szCs w:val="24"/>
        </w:rPr>
      </w:pPr>
      <w:r w:rsidRPr="003D603E">
        <w:rPr>
          <w:rFonts w:ascii="Calibri" w:eastAsia="宋体" w:hAnsi="宋体" w:cs="Times New Roman"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故本基金投资面临汇率风险。</w:t>
      </w:r>
    </w:p>
    <w:p w:rsidR="009B4310" w:rsidRDefault="009B4310" w:rsidP="009B4310">
      <w:pPr>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lastRenderedPageBreak/>
        <w:t>修改为：</w:t>
      </w:r>
    </w:p>
    <w:p w:rsidR="009B4310" w:rsidRDefault="009B4310" w:rsidP="009B4310">
      <w:pPr>
        <w:widowControl/>
        <w:adjustRightInd w:val="0"/>
        <w:snapToGrid w:val="0"/>
        <w:spacing w:line="360" w:lineRule="auto"/>
        <w:ind w:firstLineChars="200" w:firstLine="480"/>
        <w:rPr>
          <w:rFonts w:ascii="Calibri" w:eastAsia="宋体" w:hAnsi="宋体" w:cs="Times New Roman"/>
          <w:kern w:val="0"/>
          <w:sz w:val="24"/>
          <w:szCs w:val="24"/>
        </w:rPr>
      </w:pPr>
      <w:r w:rsidRPr="003D603E">
        <w:rPr>
          <w:rFonts w:ascii="Calibri" w:eastAsia="宋体" w:hAnsi="宋体" w:cs="Times New Roman"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rsidR="009B4310" w:rsidRDefault="009B4310" w:rsidP="009B4310">
      <w:pPr>
        <w:widowControl/>
        <w:adjustRightInd w:val="0"/>
        <w:snapToGrid w:val="0"/>
        <w:spacing w:line="360" w:lineRule="auto"/>
        <w:ind w:firstLineChars="200" w:firstLine="480"/>
        <w:rPr>
          <w:rFonts w:hAnsi="宋体"/>
          <w:kern w:val="0"/>
          <w:sz w:val="24"/>
          <w:szCs w:val="24"/>
        </w:rPr>
      </w:pPr>
      <w:r w:rsidRPr="007D05D5">
        <w:rPr>
          <w:rFonts w:ascii="Calibri" w:eastAsia="宋体" w:hAnsi="宋体" w:cs="Times New Roman"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w:t>
      </w:r>
      <w:r w:rsidRPr="003D603E">
        <w:rPr>
          <w:rFonts w:ascii="Calibri" w:eastAsia="宋体" w:hAnsi="宋体" w:cs="Times New Roman" w:hint="eastAsia"/>
          <w:kern w:val="0"/>
          <w:sz w:val="24"/>
          <w:szCs w:val="24"/>
        </w:rPr>
        <w:t>故本基金投资面临汇率风险。</w:t>
      </w:r>
    </w:p>
    <w:p w:rsidR="009B4310" w:rsidRDefault="00BB18FD" w:rsidP="009B4310">
      <w:pPr>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t>4</w:t>
      </w:r>
      <w:r w:rsidR="009B4310">
        <w:rPr>
          <w:rFonts w:asciiTheme="minorEastAsia" w:hAnsiTheme="minorEastAsia" w:cs="Times New Roman" w:hint="eastAsia"/>
          <w:b/>
          <w:color w:val="000000"/>
          <w:kern w:val="0"/>
          <w:sz w:val="24"/>
        </w:rPr>
        <w:t>、“</w:t>
      </w:r>
      <w:r w:rsidR="009B4310" w:rsidRPr="009B4310">
        <w:rPr>
          <w:rFonts w:asciiTheme="minorEastAsia" w:hAnsiTheme="minorEastAsia" w:cs="Times New Roman" w:hint="eastAsia"/>
          <w:b/>
          <w:color w:val="000000"/>
          <w:kern w:val="0"/>
          <w:sz w:val="24"/>
        </w:rPr>
        <w:t>十七、风险揭示</w:t>
      </w:r>
      <w:r w:rsidR="009B4310">
        <w:rPr>
          <w:rFonts w:asciiTheme="minorEastAsia" w:hAnsiTheme="minorEastAsia" w:cs="Times New Roman" w:hint="eastAsia"/>
          <w:b/>
          <w:color w:val="000000"/>
          <w:kern w:val="0"/>
          <w:sz w:val="24"/>
        </w:rPr>
        <w:t>”中“</w:t>
      </w:r>
      <w:r w:rsidR="009B4310" w:rsidRPr="009B4310">
        <w:rPr>
          <w:rFonts w:asciiTheme="minorEastAsia" w:hAnsiTheme="minorEastAsia" w:cs="Times New Roman" w:hint="eastAsia"/>
          <w:b/>
          <w:color w:val="000000"/>
          <w:kern w:val="0"/>
          <w:sz w:val="24"/>
        </w:rPr>
        <w:t>（五）本基金投资策略所特有的风险</w:t>
      </w:r>
      <w:r w:rsidR="009B4310">
        <w:rPr>
          <w:rFonts w:asciiTheme="minorEastAsia" w:hAnsiTheme="minorEastAsia" w:cs="Times New Roman" w:hint="eastAsia"/>
          <w:b/>
          <w:color w:val="000000"/>
          <w:kern w:val="0"/>
          <w:sz w:val="24"/>
        </w:rPr>
        <w:t xml:space="preserve">”的第3条 </w:t>
      </w:r>
      <w:r w:rsidR="009B4310" w:rsidRPr="009B4310">
        <w:rPr>
          <w:rFonts w:asciiTheme="minorEastAsia" w:hAnsiTheme="minorEastAsia" w:cs="Times New Roman" w:hint="eastAsia"/>
          <w:b/>
          <w:color w:val="000000"/>
          <w:kern w:val="0"/>
          <w:sz w:val="24"/>
        </w:rPr>
        <w:t>境外市场的风险</w:t>
      </w:r>
    </w:p>
    <w:p w:rsidR="009B4310" w:rsidRDefault="009B4310" w:rsidP="009B4310">
      <w:pPr>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t>原表述：</w:t>
      </w:r>
    </w:p>
    <w:p w:rsidR="009B4310" w:rsidRPr="003D603E" w:rsidRDefault="009B4310" w:rsidP="009B4310">
      <w:pPr>
        <w:widowControl/>
        <w:adjustRightInd w:val="0"/>
        <w:snapToGrid w:val="0"/>
        <w:spacing w:line="360" w:lineRule="auto"/>
        <w:ind w:firstLineChars="200" w:firstLine="480"/>
        <w:rPr>
          <w:rFonts w:ascii="Calibri" w:eastAsia="宋体" w:hAnsi="宋体" w:cs="Times New Roman"/>
          <w:kern w:val="0"/>
          <w:sz w:val="24"/>
          <w:szCs w:val="24"/>
        </w:rPr>
      </w:pPr>
      <w:r w:rsidRPr="003D603E">
        <w:rPr>
          <w:rFonts w:ascii="Calibri" w:eastAsia="宋体" w:hAnsi="宋体" w:cs="Times New Roman" w:hint="eastAsia"/>
          <w:kern w:val="0"/>
          <w:sz w:val="24"/>
          <w:szCs w:val="24"/>
        </w:rPr>
        <w:t>2</w:t>
      </w:r>
      <w:r w:rsidRPr="003D603E">
        <w:rPr>
          <w:rFonts w:ascii="Calibri" w:eastAsia="宋体" w:hAnsi="宋体" w:cs="Times New Roman" w:hint="eastAsia"/>
          <w:kern w:val="0"/>
          <w:sz w:val="24"/>
          <w:szCs w:val="24"/>
        </w:rPr>
        <w:t>）香港市场交易规则有别于内地</w:t>
      </w:r>
      <w:r w:rsidRPr="003D603E">
        <w:rPr>
          <w:rFonts w:ascii="Calibri" w:eastAsia="宋体" w:hAnsi="宋体" w:cs="Times New Roman" w:hint="eastAsia"/>
          <w:kern w:val="0"/>
          <w:sz w:val="24"/>
          <w:szCs w:val="24"/>
        </w:rPr>
        <w:t xml:space="preserve">A </w:t>
      </w:r>
      <w:r w:rsidRPr="003D603E">
        <w:rPr>
          <w:rFonts w:ascii="Calibri" w:eastAsia="宋体" w:hAnsi="宋体" w:cs="Times New Roman" w:hint="eastAsia"/>
          <w:kern w:val="0"/>
          <w:sz w:val="24"/>
          <w:szCs w:val="24"/>
        </w:rPr>
        <w:t>股市场规则，此外，在“沪港股票市场交易互联互通机制”下参与香港股票投资还将面临包括但不限于如下特殊风险：</w:t>
      </w:r>
    </w:p>
    <w:p w:rsidR="009B4310" w:rsidRPr="003D603E" w:rsidRDefault="009B4310" w:rsidP="009B4310">
      <w:pPr>
        <w:widowControl/>
        <w:adjustRightInd w:val="0"/>
        <w:snapToGrid w:val="0"/>
        <w:spacing w:line="360" w:lineRule="auto"/>
        <w:ind w:firstLineChars="200" w:firstLine="480"/>
        <w:rPr>
          <w:rFonts w:ascii="Calibri" w:eastAsia="宋体" w:hAnsi="宋体" w:cs="Times New Roman"/>
          <w:kern w:val="0"/>
          <w:sz w:val="24"/>
          <w:szCs w:val="24"/>
        </w:rPr>
      </w:pPr>
      <w:r w:rsidRPr="003D603E">
        <w:rPr>
          <w:rFonts w:ascii="Calibri" w:eastAsia="宋体" w:hAnsi="宋体" w:cs="Times New Roman" w:hint="eastAsia"/>
          <w:kern w:val="0"/>
          <w:sz w:val="24"/>
          <w:szCs w:val="24"/>
        </w:rPr>
        <w:t>a</w:t>
      </w:r>
      <w:r w:rsidRPr="003D603E">
        <w:rPr>
          <w:rFonts w:ascii="Calibri" w:eastAsia="宋体" w:hAnsi="宋体" w:cs="Times New Roman" w:hint="eastAsia"/>
          <w:kern w:val="0"/>
          <w:sz w:val="24"/>
          <w:szCs w:val="24"/>
        </w:rPr>
        <w:t>）香港市场证券交易价格并无涨跌幅上下限的规定，因此每日涨跌幅空间相对较大；</w:t>
      </w:r>
    </w:p>
    <w:p w:rsidR="009B4310" w:rsidRPr="003D603E" w:rsidRDefault="009B4310" w:rsidP="009B4310">
      <w:pPr>
        <w:widowControl/>
        <w:adjustRightInd w:val="0"/>
        <w:snapToGrid w:val="0"/>
        <w:spacing w:line="360" w:lineRule="auto"/>
        <w:ind w:firstLineChars="200" w:firstLine="480"/>
        <w:rPr>
          <w:rFonts w:ascii="Calibri" w:eastAsia="宋体" w:hAnsi="宋体" w:cs="Times New Roman"/>
          <w:kern w:val="0"/>
          <w:sz w:val="24"/>
          <w:szCs w:val="24"/>
        </w:rPr>
      </w:pPr>
      <w:r w:rsidRPr="003D603E">
        <w:rPr>
          <w:rFonts w:ascii="Calibri" w:eastAsia="宋体" w:hAnsi="宋体" w:cs="Times New Roman" w:hint="eastAsia"/>
          <w:kern w:val="0"/>
          <w:sz w:val="24"/>
          <w:szCs w:val="24"/>
        </w:rPr>
        <w:t>b</w:t>
      </w:r>
      <w:r w:rsidRPr="003D603E">
        <w:rPr>
          <w:rFonts w:ascii="Calibri" w:eastAsia="宋体" w:hAnsi="宋体" w:cs="Times New Roman" w:hint="eastAsia"/>
          <w:kern w:val="0"/>
          <w:sz w:val="24"/>
          <w:szCs w:val="24"/>
        </w:rPr>
        <w:t>）只有沪港两地均为交易日且能够满足结算安排的交易日才为港股通交易日；</w:t>
      </w:r>
    </w:p>
    <w:p w:rsidR="009B4310" w:rsidRDefault="009B4310" w:rsidP="009B4310">
      <w:pPr>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t>修改为：</w:t>
      </w:r>
    </w:p>
    <w:p w:rsidR="009B4310" w:rsidRPr="003D603E" w:rsidRDefault="009B4310" w:rsidP="009B4310">
      <w:pPr>
        <w:widowControl/>
        <w:adjustRightInd w:val="0"/>
        <w:snapToGrid w:val="0"/>
        <w:spacing w:line="360" w:lineRule="auto"/>
        <w:ind w:firstLineChars="200" w:firstLine="480"/>
        <w:rPr>
          <w:rFonts w:ascii="Calibri" w:eastAsia="宋体" w:hAnsi="宋体" w:cs="Times New Roman"/>
          <w:kern w:val="0"/>
          <w:sz w:val="24"/>
          <w:szCs w:val="24"/>
        </w:rPr>
      </w:pPr>
      <w:r w:rsidRPr="003D603E">
        <w:rPr>
          <w:rFonts w:ascii="Calibri" w:eastAsia="宋体" w:hAnsi="宋体" w:cs="Times New Roman" w:hint="eastAsia"/>
          <w:kern w:val="0"/>
          <w:sz w:val="24"/>
          <w:szCs w:val="24"/>
        </w:rPr>
        <w:t>2</w:t>
      </w:r>
      <w:r w:rsidRPr="003D603E">
        <w:rPr>
          <w:rFonts w:ascii="Calibri" w:eastAsia="宋体" w:hAnsi="宋体" w:cs="Times New Roman" w:hint="eastAsia"/>
          <w:kern w:val="0"/>
          <w:sz w:val="24"/>
          <w:szCs w:val="24"/>
        </w:rPr>
        <w:t>）香港市场交易规则有别于内地</w:t>
      </w:r>
      <w:r w:rsidRPr="003D603E">
        <w:rPr>
          <w:rFonts w:ascii="Calibri" w:eastAsia="宋体" w:hAnsi="宋体" w:cs="Times New Roman" w:hint="eastAsia"/>
          <w:kern w:val="0"/>
          <w:sz w:val="24"/>
          <w:szCs w:val="24"/>
        </w:rPr>
        <w:t xml:space="preserve">A </w:t>
      </w:r>
      <w:r w:rsidRPr="003D603E">
        <w:rPr>
          <w:rFonts w:ascii="Calibri" w:eastAsia="宋体" w:hAnsi="宋体" w:cs="Times New Roman" w:hint="eastAsia"/>
          <w:kern w:val="0"/>
          <w:sz w:val="24"/>
          <w:szCs w:val="24"/>
        </w:rPr>
        <w:t>股市场规则，此外，在“沪港股票市场交易互联互通机制”下参与香港股票投资还将面临包括但不限于如下特殊风险：</w:t>
      </w:r>
    </w:p>
    <w:p w:rsidR="009B4310" w:rsidRPr="003D603E" w:rsidRDefault="009B4310" w:rsidP="009B4310">
      <w:pPr>
        <w:widowControl/>
        <w:adjustRightInd w:val="0"/>
        <w:snapToGrid w:val="0"/>
        <w:spacing w:line="360" w:lineRule="auto"/>
        <w:ind w:firstLineChars="200" w:firstLine="480"/>
        <w:rPr>
          <w:rFonts w:ascii="Calibri" w:eastAsia="宋体" w:hAnsi="宋体" w:cs="Times New Roman"/>
          <w:kern w:val="0"/>
          <w:sz w:val="24"/>
          <w:szCs w:val="24"/>
        </w:rPr>
      </w:pPr>
      <w:r w:rsidRPr="003D603E">
        <w:rPr>
          <w:rFonts w:ascii="Calibri" w:eastAsia="宋体" w:hAnsi="宋体" w:cs="Times New Roman" w:hint="eastAsia"/>
          <w:kern w:val="0"/>
          <w:sz w:val="24"/>
          <w:szCs w:val="24"/>
        </w:rPr>
        <w:t>a</w:t>
      </w:r>
      <w:r w:rsidRPr="003D603E">
        <w:rPr>
          <w:rFonts w:ascii="Calibri" w:eastAsia="宋体" w:hAnsi="宋体" w:cs="Times New Roman" w:hint="eastAsia"/>
          <w:kern w:val="0"/>
          <w:sz w:val="24"/>
          <w:szCs w:val="24"/>
        </w:rPr>
        <w:t>）香港市场</w:t>
      </w:r>
      <w:r w:rsidRPr="00F87188">
        <w:rPr>
          <w:rFonts w:ascii="Calibri" w:eastAsia="宋体" w:hAnsi="宋体" w:cs="Times New Roman" w:hint="eastAsia"/>
          <w:kern w:val="0"/>
          <w:sz w:val="24"/>
          <w:szCs w:val="24"/>
        </w:rPr>
        <w:t>实行</w:t>
      </w:r>
      <w:r w:rsidRPr="00F87188">
        <w:rPr>
          <w:rFonts w:ascii="Calibri" w:eastAsia="宋体" w:hAnsi="宋体" w:cs="Times New Roman" w:hint="eastAsia"/>
          <w:kern w:val="0"/>
          <w:sz w:val="24"/>
          <w:szCs w:val="24"/>
        </w:rPr>
        <w:t xml:space="preserve">T+0 </w:t>
      </w:r>
      <w:r w:rsidRPr="00F87188">
        <w:rPr>
          <w:rFonts w:ascii="Calibri" w:eastAsia="宋体" w:hAnsi="宋体" w:cs="Times New Roman" w:hint="eastAsia"/>
          <w:kern w:val="0"/>
          <w:sz w:val="24"/>
          <w:szCs w:val="24"/>
        </w:rPr>
        <w:t>回转交易机制（即当日买入的股票，在交收前可以于当日卖出）</w:t>
      </w:r>
      <w:r>
        <w:rPr>
          <w:rFonts w:ascii="Calibri" w:eastAsia="宋体" w:hAnsi="宋体" w:cs="Times New Roman" w:hint="eastAsia"/>
          <w:kern w:val="0"/>
          <w:sz w:val="24"/>
          <w:szCs w:val="24"/>
        </w:rPr>
        <w:t>，</w:t>
      </w:r>
      <w:r>
        <w:rPr>
          <w:rFonts w:ascii="Calibri" w:eastAsia="宋体" w:hAnsi="宋体" w:cs="Times New Roman"/>
          <w:kern w:val="0"/>
          <w:sz w:val="24"/>
          <w:szCs w:val="24"/>
        </w:rPr>
        <w:t>且</w:t>
      </w:r>
      <w:r w:rsidRPr="003D603E">
        <w:rPr>
          <w:rFonts w:ascii="Calibri" w:eastAsia="宋体" w:hAnsi="宋体" w:cs="Times New Roman" w:hint="eastAsia"/>
          <w:kern w:val="0"/>
          <w:sz w:val="24"/>
          <w:szCs w:val="24"/>
        </w:rPr>
        <w:t>证券交易价格并无涨跌幅上下限的规定，因此每日涨跌幅空间相对较大</w:t>
      </w:r>
      <w:r>
        <w:rPr>
          <w:rFonts w:ascii="Calibri" w:eastAsia="宋体" w:hAnsi="宋体" w:cs="Times New Roman" w:hint="eastAsia"/>
          <w:kern w:val="0"/>
          <w:sz w:val="24"/>
          <w:szCs w:val="24"/>
        </w:rPr>
        <w:t>，</w:t>
      </w:r>
      <w:r w:rsidRPr="007D05D5">
        <w:rPr>
          <w:rFonts w:ascii="Calibri" w:eastAsia="宋体" w:hAnsi="宋体" w:cs="Times New Roman" w:hint="eastAsia"/>
          <w:kern w:val="0"/>
          <w:sz w:val="24"/>
          <w:szCs w:val="24"/>
        </w:rPr>
        <w:t>可能表现出比</w:t>
      </w:r>
      <w:r w:rsidRPr="007D05D5">
        <w:rPr>
          <w:rFonts w:ascii="Calibri" w:eastAsia="宋体" w:hAnsi="宋体" w:cs="Times New Roman" w:hint="eastAsia"/>
          <w:kern w:val="0"/>
          <w:sz w:val="24"/>
          <w:szCs w:val="24"/>
        </w:rPr>
        <w:t>A</w:t>
      </w:r>
      <w:r w:rsidRPr="007D05D5">
        <w:rPr>
          <w:rFonts w:ascii="Calibri" w:eastAsia="宋体" w:hAnsi="宋体" w:cs="Times New Roman" w:hint="eastAsia"/>
          <w:kern w:val="0"/>
          <w:sz w:val="24"/>
          <w:szCs w:val="24"/>
        </w:rPr>
        <w:t>股更为剧烈的股价波动</w:t>
      </w:r>
      <w:r w:rsidRPr="003D603E">
        <w:rPr>
          <w:rFonts w:ascii="Calibri" w:eastAsia="宋体" w:hAnsi="宋体" w:cs="Times New Roman" w:hint="eastAsia"/>
          <w:kern w:val="0"/>
          <w:sz w:val="24"/>
          <w:szCs w:val="24"/>
        </w:rPr>
        <w:t>；</w:t>
      </w:r>
    </w:p>
    <w:p w:rsidR="009B4310" w:rsidRPr="003D603E" w:rsidRDefault="009B4310" w:rsidP="009B4310">
      <w:pPr>
        <w:widowControl/>
        <w:adjustRightInd w:val="0"/>
        <w:snapToGrid w:val="0"/>
        <w:spacing w:line="360" w:lineRule="auto"/>
        <w:ind w:firstLineChars="200" w:firstLine="480"/>
        <w:rPr>
          <w:rFonts w:ascii="Calibri" w:eastAsia="宋体" w:hAnsi="宋体" w:cs="Times New Roman"/>
          <w:kern w:val="0"/>
          <w:sz w:val="24"/>
          <w:szCs w:val="24"/>
        </w:rPr>
      </w:pPr>
      <w:r w:rsidRPr="003D603E">
        <w:rPr>
          <w:rFonts w:ascii="Calibri" w:eastAsia="宋体" w:hAnsi="宋体" w:cs="Times New Roman" w:hint="eastAsia"/>
          <w:kern w:val="0"/>
          <w:sz w:val="24"/>
          <w:szCs w:val="24"/>
        </w:rPr>
        <w:t>b</w:t>
      </w:r>
      <w:r w:rsidRPr="003D603E">
        <w:rPr>
          <w:rFonts w:ascii="Calibri" w:eastAsia="宋体" w:hAnsi="宋体" w:cs="Times New Roman" w:hint="eastAsia"/>
          <w:kern w:val="0"/>
          <w:sz w:val="24"/>
          <w:szCs w:val="24"/>
        </w:rPr>
        <w:t>）只有沪港两地均为交易日且能够满足结算安排的交易日才为港股通交易日</w:t>
      </w:r>
      <w:r>
        <w:rPr>
          <w:rFonts w:ascii="Calibri" w:eastAsia="宋体" w:hAnsi="宋体" w:cs="Times New Roman" w:hint="eastAsia"/>
          <w:kern w:val="0"/>
          <w:sz w:val="24"/>
          <w:szCs w:val="24"/>
        </w:rPr>
        <w:t>，</w:t>
      </w:r>
      <w:r w:rsidRPr="007D05D5">
        <w:rPr>
          <w:rFonts w:ascii="Calibri" w:eastAsia="宋体" w:hAnsi="宋体" w:cs="Times New Roman" w:hint="eastAsia"/>
          <w:kern w:val="0"/>
          <w:sz w:val="24"/>
          <w:szCs w:val="24"/>
        </w:rPr>
        <w:t>存在港股通交易日不连贯的情形（如内地市场因放假等原因休市而香港市场照常交易或内地</w:t>
      </w:r>
      <w:r>
        <w:rPr>
          <w:rFonts w:ascii="Calibri" w:eastAsia="宋体" w:hAnsi="宋体" w:cs="Times New Roman" w:hint="eastAsia"/>
          <w:kern w:val="0"/>
          <w:sz w:val="24"/>
          <w:szCs w:val="24"/>
        </w:rPr>
        <w:t>市场</w:t>
      </w:r>
      <w:r w:rsidRPr="007D05D5">
        <w:rPr>
          <w:rFonts w:ascii="Calibri" w:eastAsia="宋体" w:hAnsi="宋体" w:cs="Times New Roman" w:hint="eastAsia"/>
          <w:kern w:val="0"/>
          <w:sz w:val="24"/>
          <w:szCs w:val="24"/>
        </w:rPr>
        <w:t>开市香港</w:t>
      </w:r>
      <w:r>
        <w:rPr>
          <w:rFonts w:ascii="Calibri" w:eastAsia="宋体" w:hAnsi="宋体" w:cs="Times New Roman" w:hint="eastAsia"/>
          <w:kern w:val="0"/>
          <w:sz w:val="24"/>
          <w:szCs w:val="24"/>
        </w:rPr>
        <w:t>市场</w:t>
      </w:r>
      <w:r w:rsidRPr="007D05D5">
        <w:rPr>
          <w:rFonts w:ascii="Calibri" w:eastAsia="宋体" w:hAnsi="宋体" w:cs="Times New Roman" w:hint="eastAsia"/>
          <w:kern w:val="0"/>
          <w:sz w:val="24"/>
          <w:szCs w:val="24"/>
        </w:rPr>
        <w:t>休市但港股通不能如常进行交易），而导致港股不能及时卖出带来一定的流动性风险</w:t>
      </w:r>
      <w:r>
        <w:rPr>
          <w:rFonts w:ascii="Calibri" w:eastAsia="宋体" w:hAnsi="宋体" w:cs="Times New Roman" w:hint="eastAsia"/>
          <w:kern w:val="0"/>
          <w:sz w:val="24"/>
          <w:szCs w:val="24"/>
        </w:rPr>
        <w:t>；</w:t>
      </w:r>
      <w:r w:rsidRPr="007D05D5">
        <w:rPr>
          <w:rFonts w:ascii="Calibri" w:eastAsia="宋体" w:hAnsi="宋体" w:cs="Times New Roman" w:hint="eastAsia"/>
          <w:kern w:val="0"/>
          <w:sz w:val="24"/>
          <w:szCs w:val="24"/>
        </w:rPr>
        <w:t>以及基金所持的港股组合在后续港股通交易日开市交易中集中体现市场反应而造成其价格波动骤然增大，进而导致本基金所持港股组合在资产估值上出现波动增大的风险</w:t>
      </w:r>
      <w:r w:rsidRPr="003D603E">
        <w:rPr>
          <w:rFonts w:ascii="Calibri" w:eastAsia="宋体" w:hAnsi="宋体" w:cs="Times New Roman" w:hint="eastAsia"/>
          <w:kern w:val="0"/>
          <w:sz w:val="24"/>
          <w:szCs w:val="24"/>
        </w:rPr>
        <w:t>；</w:t>
      </w:r>
    </w:p>
    <w:p w:rsidR="00BB18FD" w:rsidRDefault="00BB18FD" w:rsidP="009B4310">
      <w:pPr>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lastRenderedPageBreak/>
        <w:t>5</w:t>
      </w:r>
      <w:r w:rsidR="009B4310">
        <w:rPr>
          <w:rFonts w:asciiTheme="minorEastAsia" w:hAnsiTheme="minorEastAsia" w:cs="Times New Roman" w:hint="eastAsia"/>
          <w:b/>
          <w:color w:val="000000"/>
          <w:kern w:val="0"/>
          <w:sz w:val="24"/>
        </w:rPr>
        <w:t>、“</w:t>
      </w:r>
      <w:r w:rsidR="009B4310" w:rsidRPr="009B4310">
        <w:rPr>
          <w:rFonts w:asciiTheme="minorEastAsia" w:hAnsiTheme="minorEastAsia" w:cs="Times New Roman" w:hint="eastAsia"/>
          <w:b/>
          <w:color w:val="000000"/>
          <w:kern w:val="0"/>
          <w:sz w:val="24"/>
        </w:rPr>
        <w:t>十七、风险揭示</w:t>
      </w:r>
      <w:r w:rsidR="009B4310">
        <w:rPr>
          <w:rFonts w:asciiTheme="minorEastAsia" w:hAnsiTheme="minorEastAsia" w:cs="Times New Roman" w:hint="eastAsia"/>
          <w:b/>
          <w:color w:val="000000"/>
          <w:kern w:val="0"/>
          <w:sz w:val="24"/>
        </w:rPr>
        <w:t>”中“</w:t>
      </w:r>
      <w:r w:rsidR="009B4310" w:rsidRPr="009B4310">
        <w:rPr>
          <w:rFonts w:asciiTheme="minorEastAsia" w:hAnsiTheme="minorEastAsia" w:cs="Times New Roman" w:hint="eastAsia"/>
          <w:b/>
          <w:color w:val="000000"/>
          <w:kern w:val="0"/>
          <w:sz w:val="24"/>
        </w:rPr>
        <w:t>（五）本基金投资策略所特有的风险</w:t>
      </w:r>
      <w:r w:rsidR="009B4310">
        <w:rPr>
          <w:rFonts w:asciiTheme="minorEastAsia" w:hAnsiTheme="minorEastAsia" w:cs="Times New Roman" w:hint="eastAsia"/>
          <w:b/>
          <w:color w:val="000000"/>
          <w:kern w:val="0"/>
          <w:sz w:val="24"/>
        </w:rPr>
        <w:t>”</w:t>
      </w:r>
    </w:p>
    <w:p w:rsidR="009B4310" w:rsidRPr="00BB18FD" w:rsidRDefault="00BB18FD" w:rsidP="00BB18FD">
      <w:pPr>
        <w:spacing w:line="360" w:lineRule="auto"/>
        <w:ind w:firstLineChars="200" w:firstLine="482"/>
        <w:rPr>
          <w:rFonts w:asciiTheme="minorEastAsia" w:hAnsiTheme="minorEastAsia" w:cs="Times New Roman"/>
          <w:b/>
          <w:color w:val="000000"/>
          <w:kern w:val="0"/>
          <w:sz w:val="24"/>
        </w:rPr>
      </w:pPr>
      <w:r>
        <w:rPr>
          <w:rFonts w:asciiTheme="minorEastAsia" w:hAnsiTheme="minorEastAsia" w:cs="Times New Roman" w:hint="eastAsia"/>
          <w:b/>
          <w:color w:val="000000"/>
          <w:kern w:val="0"/>
          <w:sz w:val="24"/>
        </w:rPr>
        <w:t>新增如下内容：</w:t>
      </w:r>
    </w:p>
    <w:p w:rsidR="009B4310" w:rsidRPr="003C507C" w:rsidRDefault="009B4310" w:rsidP="009B4310">
      <w:pPr>
        <w:widowControl/>
        <w:adjustRightInd w:val="0"/>
        <w:snapToGrid w:val="0"/>
        <w:spacing w:line="360" w:lineRule="auto"/>
        <w:ind w:firstLineChars="200" w:firstLine="480"/>
        <w:rPr>
          <w:rFonts w:ascii="Calibri" w:eastAsia="宋体" w:hAnsi="宋体" w:cs="Times New Roman"/>
          <w:kern w:val="0"/>
          <w:sz w:val="24"/>
          <w:szCs w:val="24"/>
        </w:rPr>
      </w:pPr>
      <w:r>
        <w:rPr>
          <w:rFonts w:ascii="Calibri" w:eastAsia="宋体" w:hAnsi="宋体" w:cs="Times New Roman" w:hint="eastAsia"/>
          <w:kern w:val="0"/>
          <w:sz w:val="24"/>
          <w:szCs w:val="24"/>
        </w:rPr>
        <w:t>（</w:t>
      </w:r>
      <w:r>
        <w:rPr>
          <w:rFonts w:ascii="Calibri" w:eastAsia="宋体" w:hAnsi="宋体" w:cs="Times New Roman"/>
          <w:kern w:val="0"/>
          <w:sz w:val="24"/>
          <w:szCs w:val="24"/>
        </w:rPr>
        <w:t>4</w:t>
      </w:r>
      <w:r>
        <w:rPr>
          <w:rFonts w:ascii="Calibri" w:eastAsia="宋体" w:hAnsi="宋体" w:cs="Times New Roman" w:hint="eastAsia"/>
          <w:kern w:val="0"/>
          <w:sz w:val="24"/>
          <w:szCs w:val="24"/>
        </w:rPr>
        <w:t>）</w:t>
      </w:r>
      <w:r w:rsidRPr="007D05D5">
        <w:rPr>
          <w:rFonts w:ascii="Calibri" w:eastAsia="宋体" w:hAnsi="宋体" w:cs="Times New Roman" w:hint="eastAsia"/>
          <w:kern w:val="0"/>
          <w:sz w:val="24"/>
          <w:szCs w:val="24"/>
        </w:rPr>
        <w:t>本基金名为“沪港深”基金，</w:t>
      </w:r>
      <w:r>
        <w:rPr>
          <w:rFonts w:ascii="Calibri" w:eastAsia="宋体" w:hAnsi="宋体" w:cs="Times New Roman" w:hint="eastAsia"/>
          <w:kern w:val="0"/>
          <w:sz w:val="24"/>
          <w:szCs w:val="24"/>
        </w:rPr>
        <w:t>但</w:t>
      </w:r>
      <w:r w:rsidRPr="007D05D5">
        <w:rPr>
          <w:rFonts w:ascii="Calibri" w:eastAsia="宋体" w:hAnsi="宋体" w:cs="Times New Roman" w:hint="eastAsia"/>
          <w:kern w:val="0"/>
          <w:sz w:val="24"/>
          <w:szCs w:val="24"/>
        </w:rPr>
        <w:t>基金名称仅表明基金可以通过港股通机制投资港股，</w:t>
      </w:r>
      <w:r>
        <w:rPr>
          <w:rFonts w:ascii="Calibri" w:eastAsia="宋体" w:hAnsi="Calibri" w:cs="Times New Roman" w:hint="eastAsia"/>
          <w:bCs/>
          <w:sz w:val="24"/>
        </w:rPr>
        <w:t>本基金可根据投资策略需要或不同配置地市场环境的变化，选择将部分基金资产投资于港股或选择不将基金资产投资于港股，基金资产并非必然投资港股。</w:t>
      </w:r>
    </w:p>
    <w:p w:rsidR="00653BDA" w:rsidRPr="008D7FC3" w:rsidRDefault="00653BDA" w:rsidP="00374829">
      <w:pPr>
        <w:widowControl/>
        <w:adjustRightInd w:val="0"/>
        <w:snapToGrid w:val="0"/>
        <w:spacing w:line="360" w:lineRule="auto"/>
        <w:ind w:firstLineChars="200" w:firstLine="480"/>
        <w:rPr>
          <w:rFonts w:asciiTheme="minorEastAsia" w:hAnsiTheme="minorEastAsia" w:cs="Times New Roman"/>
          <w:color w:val="000000"/>
          <w:kern w:val="0"/>
          <w:sz w:val="24"/>
        </w:rPr>
      </w:pPr>
    </w:p>
    <w:p w:rsidR="009E6919" w:rsidRPr="008D7FC3" w:rsidRDefault="009E6919" w:rsidP="009E6919">
      <w:pPr>
        <w:pStyle w:val="a5"/>
        <w:spacing w:before="0" w:beforeAutospacing="0" w:after="0" w:afterAutospacing="0" w:line="360" w:lineRule="auto"/>
        <w:ind w:firstLineChars="200" w:firstLine="480"/>
        <w:jc w:val="both"/>
        <w:rPr>
          <w:rFonts w:asciiTheme="minorEastAsia" w:eastAsiaTheme="minorEastAsia" w:hAnsiTheme="minorEastAsia" w:cs="Times New Roman"/>
          <w:color w:val="000000"/>
        </w:rPr>
      </w:pPr>
      <w:r w:rsidRPr="008D7FC3">
        <w:rPr>
          <w:rFonts w:asciiTheme="minorEastAsia" w:eastAsiaTheme="minorEastAsia" w:hAnsiTheme="minorEastAsia" w:cs="Times New Roman"/>
          <w:color w:val="000000"/>
        </w:rPr>
        <w:t>重要提示：</w:t>
      </w:r>
    </w:p>
    <w:p w:rsidR="009E6919" w:rsidRPr="008D7FC3" w:rsidRDefault="009E6919" w:rsidP="009E6919">
      <w:pPr>
        <w:pStyle w:val="a5"/>
        <w:spacing w:before="0" w:beforeAutospacing="0" w:after="0" w:afterAutospacing="0" w:line="360" w:lineRule="auto"/>
        <w:ind w:firstLineChars="200" w:firstLine="480"/>
        <w:jc w:val="both"/>
        <w:rPr>
          <w:rFonts w:asciiTheme="minorEastAsia" w:eastAsiaTheme="minorEastAsia" w:hAnsiTheme="minorEastAsia" w:cs="Times New Roman"/>
          <w:color w:val="000000"/>
        </w:rPr>
      </w:pPr>
      <w:r w:rsidRPr="008D7FC3">
        <w:rPr>
          <w:rFonts w:asciiTheme="minorEastAsia" w:eastAsiaTheme="minorEastAsia" w:hAnsiTheme="minorEastAsia" w:cs="Times New Roman"/>
          <w:color w:val="000000"/>
        </w:rPr>
        <w:t>1、上述修改为遵照法律法规、中国证监会的相关规定和基金合同的约定所作出的修改，对基金份额持有人利益无实质性不利影响，可不经基金份额持有人大会表决。</w:t>
      </w:r>
    </w:p>
    <w:p w:rsidR="009E6919" w:rsidRPr="008D7FC3" w:rsidRDefault="009E6919" w:rsidP="009E6919">
      <w:pPr>
        <w:pStyle w:val="a5"/>
        <w:spacing w:before="0" w:beforeAutospacing="0" w:after="0" w:afterAutospacing="0" w:line="360" w:lineRule="auto"/>
        <w:ind w:firstLineChars="200" w:firstLine="480"/>
        <w:jc w:val="both"/>
        <w:rPr>
          <w:rFonts w:asciiTheme="minorEastAsia" w:eastAsiaTheme="minorEastAsia" w:hAnsiTheme="minorEastAsia" w:cs="Times New Roman"/>
          <w:color w:val="000000"/>
        </w:rPr>
      </w:pPr>
      <w:r w:rsidRPr="008D7FC3">
        <w:rPr>
          <w:rFonts w:asciiTheme="minorEastAsia" w:eastAsiaTheme="minorEastAsia" w:hAnsiTheme="minorEastAsia" w:cs="Times New Roman"/>
          <w:color w:val="000000"/>
        </w:rPr>
        <w:t>2、本基金管理人将在网站上公布经修改后的</w:t>
      </w:r>
      <w:r w:rsidR="00171CB5" w:rsidRPr="008D7FC3">
        <w:rPr>
          <w:rFonts w:asciiTheme="minorEastAsia" w:eastAsiaTheme="minorEastAsia" w:hAnsiTheme="minorEastAsia" w:cs="Times New Roman"/>
          <w:color w:val="000000"/>
        </w:rPr>
        <w:t>基金合同</w:t>
      </w:r>
      <w:r w:rsidR="00BB18FD">
        <w:rPr>
          <w:rFonts w:asciiTheme="minorEastAsia" w:eastAsiaTheme="minorEastAsia" w:hAnsiTheme="minorEastAsia" w:cs="Times New Roman" w:hint="eastAsia"/>
          <w:color w:val="000000"/>
        </w:rPr>
        <w:t>和</w:t>
      </w:r>
      <w:r w:rsidR="00635225" w:rsidRPr="008D7FC3">
        <w:rPr>
          <w:rFonts w:asciiTheme="minorEastAsia" w:eastAsiaTheme="minorEastAsia" w:hAnsiTheme="minorEastAsia" w:cs="Times New Roman"/>
          <w:color w:val="000000"/>
        </w:rPr>
        <w:t>更新基金招募说明书。</w:t>
      </w:r>
    </w:p>
    <w:p w:rsidR="00A76A8C" w:rsidRDefault="009E6919">
      <w:pPr>
        <w:pStyle w:val="a5"/>
        <w:spacing w:before="0" w:beforeAutospacing="0" w:after="0" w:afterAutospacing="0" w:line="360" w:lineRule="auto"/>
        <w:ind w:firstLineChars="200" w:firstLine="480"/>
        <w:jc w:val="both"/>
        <w:rPr>
          <w:rFonts w:asciiTheme="minorEastAsia" w:eastAsiaTheme="minorEastAsia" w:hAnsiTheme="minorEastAsia" w:cs="Times New Roman"/>
          <w:color w:val="000000"/>
        </w:rPr>
      </w:pPr>
      <w:r w:rsidRPr="008D7FC3">
        <w:rPr>
          <w:rFonts w:asciiTheme="minorEastAsia" w:eastAsiaTheme="minorEastAsia" w:hAnsiTheme="minorEastAsia" w:cs="Times New Roman"/>
          <w:color w:val="000000"/>
        </w:rPr>
        <w:t>3、投资者可登录本基金管理人网站（</w:t>
      </w:r>
      <w:r w:rsidR="002360B1" w:rsidRPr="008D7FC3">
        <w:rPr>
          <w:rFonts w:asciiTheme="minorEastAsia" w:eastAsiaTheme="minorEastAsia" w:hAnsiTheme="minorEastAsia" w:cs="Times New Roman"/>
          <w:color w:val="000000"/>
        </w:rPr>
        <w:t>www.fund001.com，www.bocomschroder.com</w:t>
      </w:r>
      <w:r w:rsidRPr="008D7FC3">
        <w:rPr>
          <w:rFonts w:asciiTheme="minorEastAsia" w:eastAsiaTheme="minorEastAsia" w:hAnsiTheme="minorEastAsia" w:cs="Times New Roman"/>
          <w:color w:val="000000"/>
        </w:rPr>
        <w:t>）或拨打本基金管理人的客户服务电话400-700-5000（免长途话费），（021）61055000进行咨询、查询。</w:t>
      </w:r>
    </w:p>
    <w:p w:rsidR="009E6919" w:rsidRPr="008D7FC3" w:rsidRDefault="009E6919" w:rsidP="009E6919">
      <w:pPr>
        <w:pStyle w:val="a5"/>
        <w:spacing w:line="360" w:lineRule="auto"/>
        <w:ind w:firstLineChars="200" w:firstLine="480"/>
        <w:rPr>
          <w:rFonts w:asciiTheme="minorEastAsia" w:eastAsiaTheme="minorEastAsia" w:hAnsiTheme="minorEastAsia" w:cs="Times New Roman"/>
          <w:color w:val="000000"/>
        </w:rPr>
      </w:pPr>
      <w:r w:rsidRPr="008D7FC3">
        <w:rPr>
          <w:rFonts w:asciiTheme="minorEastAsia" w:eastAsiaTheme="minorEastAsia" w:hAnsiTheme="minorEastAsia" w:cs="Times New Roman"/>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9E6919" w:rsidRPr="008D7FC3" w:rsidRDefault="009E6919" w:rsidP="008E55B0">
      <w:pPr>
        <w:pStyle w:val="a5"/>
        <w:spacing w:before="0" w:beforeAutospacing="0" w:after="0" w:afterAutospacing="0" w:line="360" w:lineRule="auto"/>
        <w:ind w:firstLineChars="200" w:firstLine="480"/>
        <w:rPr>
          <w:rFonts w:asciiTheme="minorEastAsia" w:eastAsiaTheme="minorEastAsia" w:hAnsiTheme="minorEastAsia" w:cs="Times New Roman"/>
          <w:color w:val="000000"/>
        </w:rPr>
      </w:pPr>
      <w:r w:rsidRPr="008D7FC3">
        <w:rPr>
          <w:rFonts w:asciiTheme="minorEastAsia" w:eastAsiaTheme="minorEastAsia" w:hAnsiTheme="minorEastAsia" w:cs="Times New Roman"/>
          <w:color w:val="000000"/>
        </w:rPr>
        <w:t>特此公告。</w:t>
      </w:r>
    </w:p>
    <w:p w:rsidR="00C24746" w:rsidRPr="005E45FF" w:rsidRDefault="00C24746" w:rsidP="009E6919">
      <w:pPr>
        <w:pStyle w:val="a5"/>
        <w:spacing w:line="360" w:lineRule="auto"/>
        <w:jc w:val="right"/>
        <w:rPr>
          <w:rFonts w:asciiTheme="minorEastAsia" w:eastAsiaTheme="minorEastAsia" w:hAnsiTheme="minorEastAsia" w:cs="Times New Roman"/>
          <w:color w:val="000000"/>
        </w:rPr>
      </w:pPr>
      <w:r w:rsidRPr="008D7FC3">
        <w:rPr>
          <w:rFonts w:asciiTheme="minorEastAsia" w:eastAsiaTheme="minorEastAsia" w:hAnsiTheme="minorEastAsia" w:cs="Times New Roman"/>
          <w:color w:val="000000"/>
        </w:rPr>
        <w:t>  </w:t>
      </w:r>
      <w:r w:rsidR="00C93C94" w:rsidRPr="008D7FC3">
        <w:rPr>
          <w:rFonts w:asciiTheme="minorEastAsia" w:eastAsiaTheme="minorEastAsia" w:hAnsiTheme="minorEastAsia" w:cs="Times New Roman"/>
          <w:color w:val="000000"/>
        </w:rPr>
        <w:t>交银</w:t>
      </w:r>
      <w:r w:rsidR="00C93C94" w:rsidRPr="005E45FF">
        <w:rPr>
          <w:rFonts w:asciiTheme="minorEastAsia" w:eastAsiaTheme="minorEastAsia" w:hAnsiTheme="minorEastAsia" w:cs="Times New Roman"/>
          <w:color w:val="000000"/>
        </w:rPr>
        <w:t>施罗德</w:t>
      </w:r>
      <w:r w:rsidRPr="005E45FF">
        <w:rPr>
          <w:rFonts w:asciiTheme="minorEastAsia" w:eastAsiaTheme="minorEastAsia" w:hAnsiTheme="minorEastAsia" w:cs="Times New Roman"/>
          <w:color w:val="000000"/>
        </w:rPr>
        <w:t>基金管理有限公司</w:t>
      </w:r>
    </w:p>
    <w:p w:rsidR="00C24746" w:rsidRPr="008D7FC3" w:rsidRDefault="00A76A8C" w:rsidP="00D60C56">
      <w:pPr>
        <w:pStyle w:val="a5"/>
        <w:spacing w:line="360" w:lineRule="auto"/>
        <w:jc w:val="right"/>
        <w:rPr>
          <w:rFonts w:asciiTheme="minorEastAsia" w:eastAsiaTheme="minorEastAsia" w:hAnsiTheme="minorEastAsia" w:cs="Times New Roman"/>
        </w:rPr>
      </w:pPr>
      <w:r>
        <w:rPr>
          <w:rFonts w:asciiTheme="minorEastAsia" w:eastAsiaTheme="minorEastAsia" w:hAnsiTheme="minorEastAsia" w:cs="Times New Roman"/>
          <w:color w:val="000000"/>
        </w:rPr>
        <w:t>  </w:t>
      </w:r>
      <w:r w:rsidR="00B73E48" w:rsidRPr="005E45FF">
        <w:rPr>
          <w:rFonts w:asciiTheme="minorEastAsia" w:eastAsiaTheme="minorEastAsia" w:hAnsiTheme="minorEastAsia" w:cs="Times New Roman"/>
          <w:color w:val="000000"/>
        </w:rPr>
        <w:t>二〇一</w:t>
      </w:r>
      <w:r w:rsidR="00BB18FD" w:rsidRPr="005E45FF">
        <w:rPr>
          <w:rFonts w:asciiTheme="minorEastAsia" w:eastAsiaTheme="minorEastAsia" w:hAnsiTheme="minorEastAsia" w:cs="Times New Roman" w:hint="eastAsia"/>
          <w:color w:val="000000"/>
        </w:rPr>
        <w:t>七</w:t>
      </w:r>
      <w:r w:rsidR="00B73E48" w:rsidRPr="005E45FF">
        <w:rPr>
          <w:rFonts w:asciiTheme="minorEastAsia" w:eastAsiaTheme="minorEastAsia" w:hAnsiTheme="minorEastAsia" w:cs="Times New Roman"/>
          <w:color w:val="000000"/>
        </w:rPr>
        <w:t>年</w:t>
      </w:r>
      <w:r w:rsidR="00BB18FD" w:rsidRPr="005E45FF">
        <w:rPr>
          <w:rFonts w:asciiTheme="minorEastAsia" w:eastAsiaTheme="minorEastAsia" w:hAnsiTheme="minorEastAsia" w:cs="Times New Roman" w:hint="eastAsia"/>
          <w:color w:val="000000"/>
        </w:rPr>
        <w:t>七</w:t>
      </w:r>
      <w:r w:rsidR="000358EF" w:rsidRPr="005E45FF">
        <w:rPr>
          <w:rFonts w:asciiTheme="minorEastAsia" w:eastAsiaTheme="minorEastAsia" w:hAnsiTheme="minorEastAsia" w:cs="Times New Roman"/>
          <w:color w:val="000000"/>
        </w:rPr>
        <w:t>月</w:t>
      </w:r>
      <w:r w:rsidR="00BB18FD" w:rsidRPr="005E45FF">
        <w:rPr>
          <w:rFonts w:asciiTheme="minorEastAsia" w:eastAsiaTheme="minorEastAsia" w:hAnsiTheme="minorEastAsia" w:cs="Times New Roman" w:hint="eastAsia"/>
          <w:color w:val="000000"/>
        </w:rPr>
        <w:t>二十</w:t>
      </w:r>
      <w:r w:rsidR="00B73E48" w:rsidRPr="005E45FF">
        <w:rPr>
          <w:rFonts w:asciiTheme="minorEastAsia" w:eastAsiaTheme="minorEastAsia" w:hAnsiTheme="minorEastAsia" w:cs="Times New Roman"/>
          <w:color w:val="000000"/>
        </w:rPr>
        <w:t>日</w:t>
      </w:r>
    </w:p>
    <w:sectPr w:rsidR="00C24746" w:rsidRPr="008D7FC3" w:rsidSect="00592E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291" w:rsidRDefault="005F7291" w:rsidP="00C24746">
      <w:r>
        <w:separator/>
      </w:r>
    </w:p>
  </w:endnote>
  <w:endnote w:type="continuationSeparator" w:id="0">
    <w:p w:rsidR="005F7291" w:rsidRDefault="005F7291" w:rsidP="00C24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291" w:rsidRDefault="005F7291" w:rsidP="00C24746">
      <w:r>
        <w:separator/>
      </w:r>
    </w:p>
  </w:footnote>
  <w:footnote w:type="continuationSeparator" w:id="0">
    <w:p w:rsidR="005F7291" w:rsidRDefault="005F7291" w:rsidP="00C247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C893F07"/>
    <w:multiLevelType w:val="hybridMultilevel"/>
    <w:tmpl w:val="6E9494FA"/>
    <w:lvl w:ilvl="0" w:tplc="857432C4">
      <w:start w:val="1"/>
      <w:numFmt w:val="decimalEnclosedCircle"/>
      <w:lvlText w:val="%1"/>
      <w:lvlJc w:val="left"/>
      <w:pPr>
        <w:tabs>
          <w:tab w:val="num" w:pos="840"/>
        </w:tabs>
        <w:ind w:left="840" w:hanging="360"/>
      </w:pPr>
      <w:rPr>
        <w:rFonts w:hint="default"/>
      </w:rPr>
    </w:lvl>
    <w:lvl w:ilvl="1" w:tplc="04090019" w:tentative="1">
      <w:start w:val="1"/>
      <w:numFmt w:val="lowerLetter"/>
      <w:lvlText w:val="%2)"/>
      <w:lvlJc w:val="left"/>
      <w:pPr>
        <w:tabs>
          <w:tab w:val="num" w:pos="900"/>
        </w:tabs>
        <w:ind w:left="900" w:hanging="420"/>
      </w:pPr>
    </w:lvl>
    <w:lvl w:ilvl="2" w:tplc="0409001B" w:tentative="1">
      <w:start w:val="1"/>
      <w:numFmt w:val="lowerRoman"/>
      <w:lvlText w:val="%3."/>
      <w:lvlJc w:val="righ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9" w:tentative="1">
      <w:start w:val="1"/>
      <w:numFmt w:val="lowerLetter"/>
      <w:lvlText w:val="%5)"/>
      <w:lvlJc w:val="left"/>
      <w:pPr>
        <w:tabs>
          <w:tab w:val="num" w:pos="2160"/>
        </w:tabs>
        <w:ind w:left="2160" w:hanging="420"/>
      </w:pPr>
    </w:lvl>
    <w:lvl w:ilvl="5" w:tplc="0409001B" w:tentative="1">
      <w:start w:val="1"/>
      <w:numFmt w:val="lowerRoman"/>
      <w:lvlText w:val="%6."/>
      <w:lvlJc w:val="righ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9" w:tentative="1">
      <w:start w:val="1"/>
      <w:numFmt w:val="lowerLetter"/>
      <w:lvlText w:val="%8)"/>
      <w:lvlJc w:val="left"/>
      <w:pPr>
        <w:tabs>
          <w:tab w:val="num" w:pos="3420"/>
        </w:tabs>
        <w:ind w:left="3420" w:hanging="420"/>
      </w:pPr>
    </w:lvl>
    <w:lvl w:ilvl="8" w:tplc="0409001B" w:tentative="1">
      <w:start w:val="1"/>
      <w:numFmt w:val="lowerRoman"/>
      <w:lvlText w:val="%9."/>
      <w:lvlJc w:val="right"/>
      <w:pPr>
        <w:tabs>
          <w:tab w:val="num" w:pos="3840"/>
        </w:tabs>
        <w:ind w:left="384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links">
    <w15:presenceInfo w15:providerId="None" w15:userId="Llink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4746"/>
    <w:rsid w:val="000036BE"/>
    <w:rsid w:val="000068D4"/>
    <w:rsid w:val="00011212"/>
    <w:rsid w:val="00012BFD"/>
    <w:rsid w:val="000242D4"/>
    <w:rsid w:val="00025F27"/>
    <w:rsid w:val="00031078"/>
    <w:rsid w:val="00034218"/>
    <w:rsid w:val="000358EF"/>
    <w:rsid w:val="000458A4"/>
    <w:rsid w:val="00046B64"/>
    <w:rsid w:val="00047752"/>
    <w:rsid w:val="00055C5D"/>
    <w:rsid w:val="00055F04"/>
    <w:rsid w:val="0006140E"/>
    <w:rsid w:val="00061F8F"/>
    <w:rsid w:val="00062D97"/>
    <w:rsid w:val="00063809"/>
    <w:rsid w:val="00064928"/>
    <w:rsid w:val="0006726F"/>
    <w:rsid w:val="000677D9"/>
    <w:rsid w:val="000708CC"/>
    <w:rsid w:val="00070BFB"/>
    <w:rsid w:val="00072602"/>
    <w:rsid w:val="000748A9"/>
    <w:rsid w:val="000817E9"/>
    <w:rsid w:val="00081B92"/>
    <w:rsid w:val="000873ED"/>
    <w:rsid w:val="000910C2"/>
    <w:rsid w:val="00091121"/>
    <w:rsid w:val="00093888"/>
    <w:rsid w:val="00097C70"/>
    <w:rsid w:val="000A36D6"/>
    <w:rsid w:val="000A3905"/>
    <w:rsid w:val="000A4172"/>
    <w:rsid w:val="000B4BB5"/>
    <w:rsid w:val="000C453D"/>
    <w:rsid w:val="000D00C7"/>
    <w:rsid w:val="000D0917"/>
    <w:rsid w:val="000D284F"/>
    <w:rsid w:val="000D2DE7"/>
    <w:rsid w:val="000D4906"/>
    <w:rsid w:val="000D77E7"/>
    <w:rsid w:val="000D7BDD"/>
    <w:rsid w:val="000E0655"/>
    <w:rsid w:val="000E7512"/>
    <w:rsid w:val="000E77C6"/>
    <w:rsid w:val="000F5D4F"/>
    <w:rsid w:val="000F7AFD"/>
    <w:rsid w:val="00105F43"/>
    <w:rsid w:val="00106181"/>
    <w:rsid w:val="001126EF"/>
    <w:rsid w:val="001174DE"/>
    <w:rsid w:val="0012117C"/>
    <w:rsid w:val="00121287"/>
    <w:rsid w:val="00122BFF"/>
    <w:rsid w:val="00123111"/>
    <w:rsid w:val="00124702"/>
    <w:rsid w:val="001278EA"/>
    <w:rsid w:val="0013040F"/>
    <w:rsid w:val="00134359"/>
    <w:rsid w:val="001346B4"/>
    <w:rsid w:val="00134CC8"/>
    <w:rsid w:val="001369E9"/>
    <w:rsid w:val="0015115E"/>
    <w:rsid w:val="00152996"/>
    <w:rsid w:val="00154213"/>
    <w:rsid w:val="00171CB5"/>
    <w:rsid w:val="00180E03"/>
    <w:rsid w:val="001832EB"/>
    <w:rsid w:val="00184885"/>
    <w:rsid w:val="0018656D"/>
    <w:rsid w:val="00191075"/>
    <w:rsid w:val="00194AF7"/>
    <w:rsid w:val="0019608D"/>
    <w:rsid w:val="001A017E"/>
    <w:rsid w:val="001A15E3"/>
    <w:rsid w:val="001A1AD5"/>
    <w:rsid w:val="001A46D6"/>
    <w:rsid w:val="001A4E85"/>
    <w:rsid w:val="001B3BB5"/>
    <w:rsid w:val="001B3FF1"/>
    <w:rsid w:val="001B40BA"/>
    <w:rsid w:val="001B52BD"/>
    <w:rsid w:val="001B54B6"/>
    <w:rsid w:val="001C2429"/>
    <w:rsid w:val="001C5444"/>
    <w:rsid w:val="001D1B87"/>
    <w:rsid w:val="001D5666"/>
    <w:rsid w:val="001D5BEF"/>
    <w:rsid w:val="001D68B5"/>
    <w:rsid w:val="001D6BA1"/>
    <w:rsid w:val="001E1FE3"/>
    <w:rsid w:val="001E735D"/>
    <w:rsid w:val="001F78B4"/>
    <w:rsid w:val="00205CD6"/>
    <w:rsid w:val="0021332B"/>
    <w:rsid w:val="00215388"/>
    <w:rsid w:val="002226B9"/>
    <w:rsid w:val="00225E75"/>
    <w:rsid w:val="00227080"/>
    <w:rsid w:val="002308FC"/>
    <w:rsid w:val="002360B1"/>
    <w:rsid w:val="00236CAB"/>
    <w:rsid w:val="00245008"/>
    <w:rsid w:val="00246885"/>
    <w:rsid w:val="00250F42"/>
    <w:rsid w:val="00255441"/>
    <w:rsid w:val="0025749D"/>
    <w:rsid w:val="00261460"/>
    <w:rsid w:val="00267310"/>
    <w:rsid w:val="002708EF"/>
    <w:rsid w:val="00280ECD"/>
    <w:rsid w:val="00282FFB"/>
    <w:rsid w:val="00290567"/>
    <w:rsid w:val="002919BC"/>
    <w:rsid w:val="00292E7A"/>
    <w:rsid w:val="00297699"/>
    <w:rsid w:val="002A0074"/>
    <w:rsid w:val="002A0338"/>
    <w:rsid w:val="002A0BEF"/>
    <w:rsid w:val="002A129A"/>
    <w:rsid w:val="002A1523"/>
    <w:rsid w:val="002A6F38"/>
    <w:rsid w:val="002B0FEC"/>
    <w:rsid w:val="002B67E5"/>
    <w:rsid w:val="002B7C2A"/>
    <w:rsid w:val="002C2715"/>
    <w:rsid w:val="002C29FF"/>
    <w:rsid w:val="002C353D"/>
    <w:rsid w:val="002D289C"/>
    <w:rsid w:val="002D35CA"/>
    <w:rsid w:val="002D42F5"/>
    <w:rsid w:val="002F09AC"/>
    <w:rsid w:val="002F1720"/>
    <w:rsid w:val="002F4C1B"/>
    <w:rsid w:val="003068EE"/>
    <w:rsid w:val="00306A2C"/>
    <w:rsid w:val="0031643B"/>
    <w:rsid w:val="003179B9"/>
    <w:rsid w:val="00320090"/>
    <w:rsid w:val="0032437C"/>
    <w:rsid w:val="0032585B"/>
    <w:rsid w:val="00326D55"/>
    <w:rsid w:val="00333C76"/>
    <w:rsid w:val="00335252"/>
    <w:rsid w:val="00335482"/>
    <w:rsid w:val="00335E45"/>
    <w:rsid w:val="0033739A"/>
    <w:rsid w:val="003415CF"/>
    <w:rsid w:val="0034401E"/>
    <w:rsid w:val="00344347"/>
    <w:rsid w:val="00347819"/>
    <w:rsid w:val="0035120B"/>
    <w:rsid w:val="00352F5F"/>
    <w:rsid w:val="0035725F"/>
    <w:rsid w:val="00357B02"/>
    <w:rsid w:val="00370D0A"/>
    <w:rsid w:val="00373957"/>
    <w:rsid w:val="00374829"/>
    <w:rsid w:val="00377E18"/>
    <w:rsid w:val="0038243B"/>
    <w:rsid w:val="00387972"/>
    <w:rsid w:val="0039059A"/>
    <w:rsid w:val="003919E2"/>
    <w:rsid w:val="00393004"/>
    <w:rsid w:val="00397215"/>
    <w:rsid w:val="003974DD"/>
    <w:rsid w:val="00397E87"/>
    <w:rsid w:val="003A0688"/>
    <w:rsid w:val="003A3CAD"/>
    <w:rsid w:val="003A6A9D"/>
    <w:rsid w:val="003B049C"/>
    <w:rsid w:val="003B19AF"/>
    <w:rsid w:val="003B4E5B"/>
    <w:rsid w:val="003C0774"/>
    <w:rsid w:val="003D0ABE"/>
    <w:rsid w:val="003E08D2"/>
    <w:rsid w:val="003E2D35"/>
    <w:rsid w:val="003F4D35"/>
    <w:rsid w:val="004000FD"/>
    <w:rsid w:val="00400960"/>
    <w:rsid w:val="00401F35"/>
    <w:rsid w:val="00406C7A"/>
    <w:rsid w:val="00416BF0"/>
    <w:rsid w:val="004268DC"/>
    <w:rsid w:val="0043285A"/>
    <w:rsid w:val="0043744B"/>
    <w:rsid w:val="00441ADF"/>
    <w:rsid w:val="0044452E"/>
    <w:rsid w:val="0044463C"/>
    <w:rsid w:val="00444B21"/>
    <w:rsid w:val="004503BD"/>
    <w:rsid w:val="00451B45"/>
    <w:rsid w:val="00457ADE"/>
    <w:rsid w:val="00461813"/>
    <w:rsid w:val="004621C1"/>
    <w:rsid w:val="00464E02"/>
    <w:rsid w:val="0047240A"/>
    <w:rsid w:val="0047420B"/>
    <w:rsid w:val="0047470B"/>
    <w:rsid w:val="00480D08"/>
    <w:rsid w:val="00481828"/>
    <w:rsid w:val="004920EA"/>
    <w:rsid w:val="00495473"/>
    <w:rsid w:val="00496E28"/>
    <w:rsid w:val="004A3EB7"/>
    <w:rsid w:val="004B134F"/>
    <w:rsid w:val="004B1FED"/>
    <w:rsid w:val="004B6E26"/>
    <w:rsid w:val="004C336F"/>
    <w:rsid w:val="004D05DD"/>
    <w:rsid w:val="004D11AD"/>
    <w:rsid w:val="004D756A"/>
    <w:rsid w:val="004E2AF7"/>
    <w:rsid w:val="004E6EC2"/>
    <w:rsid w:val="004F2B6D"/>
    <w:rsid w:val="004F2EC1"/>
    <w:rsid w:val="004F4396"/>
    <w:rsid w:val="00506E2C"/>
    <w:rsid w:val="00511ADC"/>
    <w:rsid w:val="00511B61"/>
    <w:rsid w:val="00512939"/>
    <w:rsid w:val="005139AA"/>
    <w:rsid w:val="005221F2"/>
    <w:rsid w:val="00522A33"/>
    <w:rsid w:val="00523E72"/>
    <w:rsid w:val="00526BD0"/>
    <w:rsid w:val="00527244"/>
    <w:rsid w:val="0053055F"/>
    <w:rsid w:val="00530EA2"/>
    <w:rsid w:val="00534D44"/>
    <w:rsid w:val="00535456"/>
    <w:rsid w:val="00551466"/>
    <w:rsid w:val="00551C87"/>
    <w:rsid w:val="00551CE4"/>
    <w:rsid w:val="00552487"/>
    <w:rsid w:val="0055311F"/>
    <w:rsid w:val="00566B1C"/>
    <w:rsid w:val="005677C2"/>
    <w:rsid w:val="00567F28"/>
    <w:rsid w:val="00577656"/>
    <w:rsid w:val="0057774E"/>
    <w:rsid w:val="005828E6"/>
    <w:rsid w:val="00583B5E"/>
    <w:rsid w:val="0058674E"/>
    <w:rsid w:val="00587071"/>
    <w:rsid w:val="00587DEF"/>
    <w:rsid w:val="005926A3"/>
    <w:rsid w:val="00592E50"/>
    <w:rsid w:val="005A1702"/>
    <w:rsid w:val="005A1D7A"/>
    <w:rsid w:val="005A4570"/>
    <w:rsid w:val="005A7965"/>
    <w:rsid w:val="005B0E95"/>
    <w:rsid w:val="005B5654"/>
    <w:rsid w:val="005C34D0"/>
    <w:rsid w:val="005C4CDB"/>
    <w:rsid w:val="005D1CBA"/>
    <w:rsid w:val="005D2876"/>
    <w:rsid w:val="005D3259"/>
    <w:rsid w:val="005E45FF"/>
    <w:rsid w:val="005F0590"/>
    <w:rsid w:val="005F13D6"/>
    <w:rsid w:val="005F2AF7"/>
    <w:rsid w:val="005F7291"/>
    <w:rsid w:val="005F76B4"/>
    <w:rsid w:val="0060060C"/>
    <w:rsid w:val="00602F37"/>
    <w:rsid w:val="00603B9C"/>
    <w:rsid w:val="00606E3C"/>
    <w:rsid w:val="00607631"/>
    <w:rsid w:val="00614BA6"/>
    <w:rsid w:val="0062023F"/>
    <w:rsid w:val="00622E1C"/>
    <w:rsid w:val="00630CF3"/>
    <w:rsid w:val="00631FC4"/>
    <w:rsid w:val="00633B38"/>
    <w:rsid w:val="00635225"/>
    <w:rsid w:val="006413CB"/>
    <w:rsid w:val="00643583"/>
    <w:rsid w:val="00644D20"/>
    <w:rsid w:val="00646F06"/>
    <w:rsid w:val="00653BDA"/>
    <w:rsid w:val="0065514F"/>
    <w:rsid w:val="00660E52"/>
    <w:rsid w:val="006627D1"/>
    <w:rsid w:val="00662937"/>
    <w:rsid w:val="00667F9F"/>
    <w:rsid w:val="00671D42"/>
    <w:rsid w:val="0067627B"/>
    <w:rsid w:val="006878E4"/>
    <w:rsid w:val="00696384"/>
    <w:rsid w:val="00696762"/>
    <w:rsid w:val="00696AC2"/>
    <w:rsid w:val="006A012B"/>
    <w:rsid w:val="006A1BCB"/>
    <w:rsid w:val="006A3C1D"/>
    <w:rsid w:val="006A44A3"/>
    <w:rsid w:val="006A7856"/>
    <w:rsid w:val="006A7BC8"/>
    <w:rsid w:val="006B429D"/>
    <w:rsid w:val="006B57B5"/>
    <w:rsid w:val="006B62F0"/>
    <w:rsid w:val="006C2149"/>
    <w:rsid w:val="006D5D9E"/>
    <w:rsid w:val="006E1DEB"/>
    <w:rsid w:val="006E2BB4"/>
    <w:rsid w:val="006E59B4"/>
    <w:rsid w:val="006F0809"/>
    <w:rsid w:val="00702655"/>
    <w:rsid w:val="00703B67"/>
    <w:rsid w:val="00703BD7"/>
    <w:rsid w:val="00712D98"/>
    <w:rsid w:val="00713CC8"/>
    <w:rsid w:val="00722154"/>
    <w:rsid w:val="00723FA5"/>
    <w:rsid w:val="007248C7"/>
    <w:rsid w:val="007339C7"/>
    <w:rsid w:val="0073563B"/>
    <w:rsid w:val="00735789"/>
    <w:rsid w:val="00737256"/>
    <w:rsid w:val="00737CA6"/>
    <w:rsid w:val="007426CB"/>
    <w:rsid w:val="00745F29"/>
    <w:rsid w:val="00746DBC"/>
    <w:rsid w:val="007519DB"/>
    <w:rsid w:val="00751E2D"/>
    <w:rsid w:val="00751F60"/>
    <w:rsid w:val="00753E68"/>
    <w:rsid w:val="00753FDD"/>
    <w:rsid w:val="0076454E"/>
    <w:rsid w:val="00765E78"/>
    <w:rsid w:val="0076603A"/>
    <w:rsid w:val="00770880"/>
    <w:rsid w:val="00771C26"/>
    <w:rsid w:val="00772AEA"/>
    <w:rsid w:val="00781DAA"/>
    <w:rsid w:val="00783A06"/>
    <w:rsid w:val="00793B59"/>
    <w:rsid w:val="007A340D"/>
    <w:rsid w:val="007A4CA7"/>
    <w:rsid w:val="007A57D1"/>
    <w:rsid w:val="007B138F"/>
    <w:rsid w:val="007C0CC2"/>
    <w:rsid w:val="007C234F"/>
    <w:rsid w:val="007C5C0D"/>
    <w:rsid w:val="007C6FC2"/>
    <w:rsid w:val="007E0BE6"/>
    <w:rsid w:val="007E3956"/>
    <w:rsid w:val="007F2052"/>
    <w:rsid w:val="007F2C93"/>
    <w:rsid w:val="007F32D7"/>
    <w:rsid w:val="007F4A23"/>
    <w:rsid w:val="00815AE7"/>
    <w:rsid w:val="00817F37"/>
    <w:rsid w:val="00825504"/>
    <w:rsid w:val="0083006A"/>
    <w:rsid w:val="008326DD"/>
    <w:rsid w:val="008345DC"/>
    <w:rsid w:val="00843C9D"/>
    <w:rsid w:val="0085079C"/>
    <w:rsid w:val="00853791"/>
    <w:rsid w:val="00856C32"/>
    <w:rsid w:val="0086018E"/>
    <w:rsid w:val="0086045F"/>
    <w:rsid w:val="00866923"/>
    <w:rsid w:val="0087001C"/>
    <w:rsid w:val="008756B2"/>
    <w:rsid w:val="008777F8"/>
    <w:rsid w:val="00882351"/>
    <w:rsid w:val="0088314E"/>
    <w:rsid w:val="00893F10"/>
    <w:rsid w:val="0089532B"/>
    <w:rsid w:val="008A401F"/>
    <w:rsid w:val="008A69A1"/>
    <w:rsid w:val="008B09A3"/>
    <w:rsid w:val="008C1BA3"/>
    <w:rsid w:val="008C3678"/>
    <w:rsid w:val="008D08F5"/>
    <w:rsid w:val="008D14BA"/>
    <w:rsid w:val="008D3272"/>
    <w:rsid w:val="008D33B8"/>
    <w:rsid w:val="008D409D"/>
    <w:rsid w:val="008D7FC3"/>
    <w:rsid w:val="008E3B48"/>
    <w:rsid w:val="008E4757"/>
    <w:rsid w:val="008E55B0"/>
    <w:rsid w:val="008E798C"/>
    <w:rsid w:val="008F71CF"/>
    <w:rsid w:val="00902C56"/>
    <w:rsid w:val="00903C1C"/>
    <w:rsid w:val="00911785"/>
    <w:rsid w:val="0091518A"/>
    <w:rsid w:val="00924724"/>
    <w:rsid w:val="009260BE"/>
    <w:rsid w:val="0092655A"/>
    <w:rsid w:val="009269AF"/>
    <w:rsid w:val="00926FE8"/>
    <w:rsid w:val="009276D8"/>
    <w:rsid w:val="009514ED"/>
    <w:rsid w:val="009518D0"/>
    <w:rsid w:val="00952868"/>
    <w:rsid w:val="00954559"/>
    <w:rsid w:val="009601FB"/>
    <w:rsid w:val="00970432"/>
    <w:rsid w:val="00970BC0"/>
    <w:rsid w:val="0097492E"/>
    <w:rsid w:val="009762B9"/>
    <w:rsid w:val="00983304"/>
    <w:rsid w:val="00986C22"/>
    <w:rsid w:val="0098777C"/>
    <w:rsid w:val="009A7AEE"/>
    <w:rsid w:val="009B0DC3"/>
    <w:rsid w:val="009B4310"/>
    <w:rsid w:val="009C18D0"/>
    <w:rsid w:val="009C6F2F"/>
    <w:rsid w:val="009D07E4"/>
    <w:rsid w:val="009D7CD0"/>
    <w:rsid w:val="009E2573"/>
    <w:rsid w:val="009E6919"/>
    <w:rsid w:val="009E7DA1"/>
    <w:rsid w:val="009F2BE1"/>
    <w:rsid w:val="00A03552"/>
    <w:rsid w:val="00A06D25"/>
    <w:rsid w:val="00A07DA5"/>
    <w:rsid w:val="00A127CC"/>
    <w:rsid w:val="00A1589D"/>
    <w:rsid w:val="00A207AF"/>
    <w:rsid w:val="00A21B18"/>
    <w:rsid w:val="00A247EA"/>
    <w:rsid w:val="00A27A85"/>
    <w:rsid w:val="00A27BCC"/>
    <w:rsid w:val="00A40AA4"/>
    <w:rsid w:val="00A40BCD"/>
    <w:rsid w:val="00A40C80"/>
    <w:rsid w:val="00A4149A"/>
    <w:rsid w:val="00A42A8E"/>
    <w:rsid w:val="00A43B5E"/>
    <w:rsid w:val="00A43C8D"/>
    <w:rsid w:val="00A477F0"/>
    <w:rsid w:val="00A50C6D"/>
    <w:rsid w:val="00A548DA"/>
    <w:rsid w:val="00A55FAE"/>
    <w:rsid w:val="00A560F2"/>
    <w:rsid w:val="00A57543"/>
    <w:rsid w:val="00A57D2B"/>
    <w:rsid w:val="00A61226"/>
    <w:rsid w:val="00A65DE7"/>
    <w:rsid w:val="00A76382"/>
    <w:rsid w:val="00A7643A"/>
    <w:rsid w:val="00A76A8C"/>
    <w:rsid w:val="00A837E1"/>
    <w:rsid w:val="00A95A4B"/>
    <w:rsid w:val="00AA2F03"/>
    <w:rsid w:val="00AA416A"/>
    <w:rsid w:val="00AB2F05"/>
    <w:rsid w:val="00AB4FF5"/>
    <w:rsid w:val="00AB713A"/>
    <w:rsid w:val="00AC4346"/>
    <w:rsid w:val="00AC63CC"/>
    <w:rsid w:val="00AE03FE"/>
    <w:rsid w:val="00AF45F9"/>
    <w:rsid w:val="00AF6355"/>
    <w:rsid w:val="00B00B8E"/>
    <w:rsid w:val="00B04921"/>
    <w:rsid w:val="00B063E7"/>
    <w:rsid w:val="00B11669"/>
    <w:rsid w:val="00B128C1"/>
    <w:rsid w:val="00B163E8"/>
    <w:rsid w:val="00B221C5"/>
    <w:rsid w:val="00B2556D"/>
    <w:rsid w:val="00B30EEC"/>
    <w:rsid w:val="00B332FF"/>
    <w:rsid w:val="00B3747E"/>
    <w:rsid w:val="00B40DDD"/>
    <w:rsid w:val="00B41DA1"/>
    <w:rsid w:val="00B5038D"/>
    <w:rsid w:val="00B5546A"/>
    <w:rsid w:val="00B55A93"/>
    <w:rsid w:val="00B5637A"/>
    <w:rsid w:val="00B574D0"/>
    <w:rsid w:val="00B61ABC"/>
    <w:rsid w:val="00B64CF0"/>
    <w:rsid w:val="00B7286B"/>
    <w:rsid w:val="00B73E48"/>
    <w:rsid w:val="00B74A57"/>
    <w:rsid w:val="00B75F39"/>
    <w:rsid w:val="00B8047E"/>
    <w:rsid w:val="00B8055E"/>
    <w:rsid w:val="00B84BC8"/>
    <w:rsid w:val="00B90092"/>
    <w:rsid w:val="00B97E46"/>
    <w:rsid w:val="00BA21DD"/>
    <w:rsid w:val="00BB18FD"/>
    <w:rsid w:val="00BB2067"/>
    <w:rsid w:val="00BB3339"/>
    <w:rsid w:val="00BB4E10"/>
    <w:rsid w:val="00BC47BF"/>
    <w:rsid w:val="00BC4AA5"/>
    <w:rsid w:val="00BC535A"/>
    <w:rsid w:val="00BD208B"/>
    <w:rsid w:val="00BD63CF"/>
    <w:rsid w:val="00BE1BED"/>
    <w:rsid w:val="00BE67A5"/>
    <w:rsid w:val="00BF1D0F"/>
    <w:rsid w:val="00BF323E"/>
    <w:rsid w:val="00BF35FB"/>
    <w:rsid w:val="00C02027"/>
    <w:rsid w:val="00C021CA"/>
    <w:rsid w:val="00C03283"/>
    <w:rsid w:val="00C034CB"/>
    <w:rsid w:val="00C05537"/>
    <w:rsid w:val="00C101B0"/>
    <w:rsid w:val="00C12E52"/>
    <w:rsid w:val="00C1585B"/>
    <w:rsid w:val="00C21200"/>
    <w:rsid w:val="00C232E4"/>
    <w:rsid w:val="00C23710"/>
    <w:rsid w:val="00C24746"/>
    <w:rsid w:val="00C2514E"/>
    <w:rsid w:val="00C329B4"/>
    <w:rsid w:val="00C479F6"/>
    <w:rsid w:val="00C47CE1"/>
    <w:rsid w:val="00C50C4C"/>
    <w:rsid w:val="00C52778"/>
    <w:rsid w:val="00C61123"/>
    <w:rsid w:val="00C63130"/>
    <w:rsid w:val="00C643C3"/>
    <w:rsid w:val="00C735BE"/>
    <w:rsid w:val="00C8308E"/>
    <w:rsid w:val="00C83D95"/>
    <w:rsid w:val="00C877DF"/>
    <w:rsid w:val="00C92F29"/>
    <w:rsid w:val="00C937B9"/>
    <w:rsid w:val="00C93C94"/>
    <w:rsid w:val="00CA11F3"/>
    <w:rsid w:val="00CA1758"/>
    <w:rsid w:val="00CA211E"/>
    <w:rsid w:val="00CB0D8B"/>
    <w:rsid w:val="00CB268A"/>
    <w:rsid w:val="00CB442E"/>
    <w:rsid w:val="00CC103C"/>
    <w:rsid w:val="00CC77B2"/>
    <w:rsid w:val="00CD7D2A"/>
    <w:rsid w:val="00CE246E"/>
    <w:rsid w:val="00CE2C69"/>
    <w:rsid w:val="00CE3AB5"/>
    <w:rsid w:val="00CE3B06"/>
    <w:rsid w:val="00CF6CDF"/>
    <w:rsid w:val="00D017A6"/>
    <w:rsid w:val="00D05701"/>
    <w:rsid w:val="00D07423"/>
    <w:rsid w:val="00D12A9B"/>
    <w:rsid w:val="00D17437"/>
    <w:rsid w:val="00D3030B"/>
    <w:rsid w:val="00D32D71"/>
    <w:rsid w:val="00D333B3"/>
    <w:rsid w:val="00D33C0B"/>
    <w:rsid w:val="00D340B4"/>
    <w:rsid w:val="00D361CE"/>
    <w:rsid w:val="00D430C1"/>
    <w:rsid w:val="00D433F5"/>
    <w:rsid w:val="00D4370C"/>
    <w:rsid w:val="00D457B8"/>
    <w:rsid w:val="00D45DD7"/>
    <w:rsid w:val="00D54C40"/>
    <w:rsid w:val="00D558C5"/>
    <w:rsid w:val="00D60C56"/>
    <w:rsid w:val="00D633B5"/>
    <w:rsid w:val="00D651D5"/>
    <w:rsid w:val="00D6675A"/>
    <w:rsid w:val="00D66E36"/>
    <w:rsid w:val="00D73B93"/>
    <w:rsid w:val="00D82225"/>
    <w:rsid w:val="00D82C4F"/>
    <w:rsid w:val="00D85978"/>
    <w:rsid w:val="00D859A0"/>
    <w:rsid w:val="00D85A41"/>
    <w:rsid w:val="00D85E06"/>
    <w:rsid w:val="00D90AED"/>
    <w:rsid w:val="00D90BFA"/>
    <w:rsid w:val="00D90F47"/>
    <w:rsid w:val="00D93410"/>
    <w:rsid w:val="00DA1170"/>
    <w:rsid w:val="00DA5909"/>
    <w:rsid w:val="00DB077C"/>
    <w:rsid w:val="00DB1CAB"/>
    <w:rsid w:val="00DC058F"/>
    <w:rsid w:val="00DC2063"/>
    <w:rsid w:val="00DC314F"/>
    <w:rsid w:val="00DC6C35"/>
    <w:rsid w:val="00DD104D"/>
    <w:rsid w:val="00DD5A3F"/>
    <w:rsid w:val="00DE1BDA"/>
    <w:rsid w:val="00DE2E1A"/>
    <w:rsid w:val="00DE3CC6"/>
    <w:rsid w:val="00DF0A87"/>
    <w:rsid w:val="00DF0AC7"/>
    <w:rsid w:val="00DF34A5"/>
    <w:rsid w:val="00E0547E"/>
    <w:rsid w:val="00E06E33"/>
    <w:rsid w:val="00E07E77"/>
    <w:rsid w:val="00E14AAF"/>
    <w:rsid w:val="00E15CA3"/>
    <w:rsid w:val="00E15FCD"/>
    <w:rsid w:val="00E16769"/>
    <w:rsid w:val="00E172ED"/>
    <w:rsid w:val="00E1770E"/>
    <w:rsid w:val="00E21C02"/>
    <w:rsid w:val="00E26CCF"/>
    <w:rsid w:val="00E27DAD"/>
    <w:rsid w:val="00E307C8"/>
    <w:rsid w:val="00E33314"/>
    <w:rsid w:val="00E33421"/>
    <w:rsid w:val="00E359EA"/>
    <w:rsid w:val="00E407E4"/>
    <w:rsid w:val="00E432C9"/>
    <w:rsid w:val="00E43B75"/>
    <w:rsid w:val="00E4458B"/>
    <w:rsid w:val="00E44E54"/>
    <w:rsid w:val="00E47687"/>
    <w:rsid w:val="00E506A2"/>
    <w:rsid w:val="00E51BDE"/>
    <w:rsid w:val="00E52F6E"/>
    <w:rsid w:val="00E5377B"/>
    <w:rsid w:val="00E6079F"/>
    <w:rsid w:val="00E607D2"/>
    <w:rsid w:val="00E71407"/>
    <w:rsid w:val="00E7211D"/>
    <w:rsid w:val="00E73EE8"/>
    <w:rsid w:val="00E746EF"/>
    <w:rsid w:val="00E77765"/>
    <w:rsid w:val="00E802D0"/>
    <w:rsid w:val="00E81ADC"/>
    <w:rsid w:val="00E8560F"/>
    <w:rsid w:val="00E92A3C"/>
    <w:rsid w:val="00EA52FE"/>
    <w:rsid w:val="00EA5D98"/>
    <w:rsid w:val="00EB4847"/>
    <w:rsid w:val="00EB4B26"/>
    <w:rsid w:val="00EB5DEA"/>
    <w:rsid w:val="00EB7781"/>
    <w:rsid w:val="00EC159D"/>
    <w:rsid w:val="00EC294E"/>
    <w:rsid w:val="00EC2D7F"/>
    <w:rsid w:val="00ED04C9"/>
    <w:rsid w:val="00ED1C9B"/>
    <w:rsid w:val="00ED2D75"/>
    <w:rsid w:val="00ED4ADC"/>
    <w:rsid w:val="00EE2F36"/>
    <w:rsid w:val="00EE6F50"/>
    <w:rsid w:val="00EE7AF1"/>
    <w:rsid w:val="00EF0226"/>
    <w:rsid w:val="00EF4017"/>
    <w:rsid w:val="00F02245"/>
    <w:rsid w:val="00F03DEE"/>
    <w:rsid w:val="00F04F77"/>
    <w:rsid w:val="00F07E60"/>
    <w:rsid w:val="00F10752"/>
    <w:rsid w:val="00F10754"/>
    <w:rsid w:val="00F232A6"/>
    <w:rsid w:val="00F2465A"/>
    <w:rsid w:val="00F26475"/>
    <w:rsid w:val="00F2798C"/>
    <w:rsid w:val="00F332E6"/>
    <w:rsid w:val="00F4620B"/>
    <w:rsid w:val="00F51BE3"/>
    <w:rsid w:val="00F55003"/>
    <w:rsid w:val="00F55C65"/>
    <w:rsid w:val="00F57D67"/>
    <w:rsid w:val="00F64426"/>
    <w:rsid w:val="00F67CE2"/>
    <w:rsid w:val="00F72B4C"/>
    <w:rsid w:val="00F74533"/>
    <w:rsid w:val="00F7540C"/>
    <w:rsid w:val="00F7740E"/>
    <w:rsid w:val="00F81507"/>
    <w:rsid w:val="00F85C7B"/>
    <w:rsid w:val="00FA1839"/>
    <w:rsid w:val="00FB230F"/>
    <w:rsid w:val="00FB280B"/>
    <w:rsid w:val="00FB4613"/>
    <w:rsid w:val="00FC2991"/>
    <w:rsid w:val="00FC3A51"/>
    <w:rsid w:val="00FC7B3B"/>
    <w:rsid w:val="00FD3CD5"/>
    <w:rsid w:val="00FE0852"/>
    <w:rsid w:val="00FF309A"/>
    <w:rsid w:val="00FF61DF"/>
    <w:rsid w:val="00FF7F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E50"/>
    <w:pPr>
      <w:widowControl w:val="0"/>
      <w:jc w:val="both"/>
    </w:pPr>
  </w:style>
  <w:style w:type="paragraph" w:styleId="2">
    <w:name w:val="heading 2"/>
    <w:basedOn w:val="a"/>
    <w:next w:val="a"/>
    <w:link w:val="2Char"/>
    <w:qFormat/>
    <w:rsid w:val="00025F27"/>
    <w:pPr>
      <w:keepNext/>
      <w:keepLines/>
      <w:spacing w:before="200" w:after="200" w:line="360" w:lineRule="auto"/>
      <w:outlineLvl w:val="1"/>
    </w:pPr>
    <w:rPr>
      <w:rFonts w:ascii="Arial" w:eastAsia="宋体" w:hAnsi="Arial" w:cs="Times New Roman"/>
      <w:b/>
      <w:sz w:val="24"/>
      <w:szCs w:val="20"/>
    </w:rPr>
  </w:style>
  <w:style w:type="paragraph" w:styleId="3">
    <w:name w:val="heading 3"/>
    <w:aliases w:val="标题样式1"/>
    <w:basedOn w:val="a"/>
    <w:next w:val="a"/>
    <w:link w:val="3Char"/>
    <w:qFormat/>
    <w:rsid w:val="00025F27"/>
    <w:pPr>
      <w:spacing w:before="120" w:after="120" w:line="360" w:lineRule="auto"/>
      <w:ind w:left="2709"/>
      <w:outlineLvl w:val="2"/>
    </w:pPr>
    <w:rPr>
      <w:rFonts w:ascii="宋体" w:eastAsia="宋体" w:hAnsi="Times New Roman" w:cs="Times New Roman"/>
      <w:b/>
      <w:szCs w:val="20"/>
    </w:rPr>
  </w:style>
  <w:style w:type="paragraph" w:styleId="4">
    <w:name w:val="heading 4"/>
    <w:basedOn w:val="a"/>
    <w:next w:val="a"/>
    <w:link w:val="4Char"/>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rsid w:val="00025F27"/>
    <w:pPr>
      <w:keepNext/>
      <w:keepLines/>
      <w:adjustRightInd w:val="0"/>
      <w:snapToGrid w:val="0"/>
      <w:spacing w:line="360" w:lineRule="auto"/>
      <w:ind w:left="2709"/>
      <w:outlineLvl w:val="4"/>
    </w:pPr>
    <w:rPr>
      <w:rFonts w:ascii="Times New Roman" w:eastAsia="宋体" w:hAnsi="Times New Roman" w:cs="Times New Roman"/>
      <w:szCs w:val="20"/>
    </w:rPr>
  </w:style>
  <w:style w:type="paragraph" w:styleId="6">
    <w:name w:val="heading 6"/>
    <w:basedOn w:val="a"/>
    <w:next w:val="a"/>
    <w:link w:val="6Char"/>
    <w:qFormat/>
    <w:rsid w:val="00025F27"/>
    <w:pPr>
      <w:keepNext/>
      <w:keepLines/>
      <w:spacing w:before="240" w:after="64" w:line="320" w:lineRule="auto"/>
      <w:ind w:left="2709"/>
      <w:outlineLvl w:val="5"/>
    </w:pPr>
    <w:rPr>
      <w:rFonts w:ascii="Arial" w:eastAsia="黑体" w:hAnsi="Arial" w:cs="Times New Roman"/>
      <w:b/>
      <w:sz w:val="24"/>
      <w:szCs w:val="20"/>
    </w:rPr>
  </w:style>
  <w:style w:type="paragraph" w:styleId="7">
    <w:name w:val="heading 7"/>
    <w:basedOn w:val="a"/>
    <w:next w:val="a"/>
    <w:link w:val="7Char"/>
    <w:qFormat/>
    <w:rsid w:val="00025F27"/>
    <w:pPr>
      <w:keepNext/>
      <w:keepLines/>
      <w:spacing w:before="240" w:after="64" w:line="320" w:lineRule="auto"/>
      <w:ind w:left="2709"/>
      <w:outlineLvl w:val="6"/>
    </w:pPr>
    <w:rPr>
      <w:rFonts w:ascii="Times New Roman" w:eastAsia="宋体" w:hAnsi="Times New Roman" w:cs="Times New Roman"/>
      <w:b/>
      <w:sz w:val="24"/>
      <w:szCs w:val="20"/>
    </w:rPr>
  </w:style>
  <w:style w:type="paragraph" w:styleId="8">
    <w:name w:val="heading 8"/>
    <w:basedOn w:val="a"/>
    <w:next w:val="a"/>
    <w:link w:val="8Char"/>
    <w:qFormat/>
    <w:rsid w:val="00025F27"/>
    <w:pPr>
      <w:keepNext/>
      <w:keepLines/>
      <w:spacing w:before="240" w:after="64" w:line="320" w:lineRule="auto"/>
      <w:ind w:left="2709"/>
      <w:outlineLvl w:val="7"/>
    </w:pPr>
    <w:rPr>
      <w:rFonts w:ascii="Arial" w:eastAsia="黑体" w:hAnsi="Arial" w:cs="Times New Roman"/>
      <w:sz w:val="24"/>
      <w:szCs w:val="20"/>
    </w:rPr>
  </w:style>
  <w:style w:type="paragraph" w:styleId="9">
    <w:name w:val="heading 9"/>
    <w:basedOn w:val="a"/>
    <w:next w:val="a"/>
    <w:link w:val="9Char"/>
    <w:qFormat/>
    <w:rsid w:val="00025F27"/>
    <w:pPr>
      <w:keepNext/>
      <w:keepLines/>
      <w:spacing w:before="240" w:after="64" w:line="320" w:lineRule="auto"/>
      <w:ind w:left="2709"/>
      <w:outlineLvl w:val="8"/>
    </w:pPr>
    <w:rPr>
      <w:rFonts w:ascii="Arial" w:eastAsia="黑体"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4746"/>
    <w:rPr>
      <w:sz w:val="18"/>
      <w:szCs w:val="18"/>
    </w:rPr>
  </w:style>
  <w:style w:type="paragraph" w:styleId="a4">
    <w:name w:val="footer"/>
    <w:basedOn w:val="a"/>
    <w:link w:val="Char0"/>
    <w:uiPriority w:val="99"/>
    <w:unhideWhenUsed/>
    <w:rsid w:val="00C24746"/>
    <w:pPr>
      <w:tabs>
        <w:tab w:val="center" w:pos="4153"/>
        <w:tab w:val="right" w:pos="8306"/>
      </w:tabs>
      <w:snapToGrid w:val="0"/>
      <w:jc w:val="left"/>
    </w:pPr>
    <w:rPr>
      <w:sz w:val="18"/>
      <w:szCs w:val="18"/>
    </w:rPr>
  </w:style>
  <w:style w:type="character" w:customStyle="1" w:styleId="Char0">
    <w:name w:val="页脚 Char"/>
    <w:basedOn w:val="a0"/>
    <w:link w:val="a4"/>
    <w:uiPriority w:val="99"/>
    <w:rsid w:val="00C24746"/>
    <w:rPr>
      <w:sz w:val="18"/>
      <w:szCs w:val="18"/>
    </w:rPr>
  </w:style>
  <w:style w:type="paragraph" w:styleId="a5">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C93C94"/>
    <w:rPr>
      <w:sz w:val="18"/>
      <w:szCs w:val="18"/>
    </w:rPr>
  </w:style>
  <w:style w:type="character" w:customStyle="1" w:styleId="Char1">
    <w:name w:val="批注框文本 Char"/>
    <w:basedOn w:val="a0"/>
    <w:link w:val="a6"/>
    <w:uiPriority w:val="99"/>
    <w:semiHidden/>
    <w:rsid w:val="00C93C94"/>
    <w:rPr>
      <w:sz w:val="18"/>
      <w:szCs w:val="18"/>
    </w:rPr>
  </w:style>
  <w:style w:type="character" w:styleId="a7">
    <w:name w:val="annotation reference"/>
    <w:basedOn w:val="a0"/>
    <w:uiPriority w:val="99"/>
    <w:unhideWhenUsed/>
    <w:rsid w:val="00C93C94"/>
    <w:rPr>
      <w:sz w:val="21"/>
      <w:szCs w:val="21"/>
    </w:rPr>
  </w:style>
  <w:style w:type="paragraph" w:styleId="a8">
    <w:name w:val="annotation text"/>
    <w:basedOn w:val="a"/>
    <w:link w:val="Char2"/>
    <w:unhideWhenUsed/>
    <w:rsid w:val="00C93C94"/>
    <w:pPr>
      <w:jc w:val="left"/>
    </w:pPr>
  </w:style>
  <w:style w:type="character" w:customStyle="1" w:styleId="Char2">
    <w:name w:val="批注文字 Char"/>
    <w:basedOn w:val="a0"/>
    <w:link w:val="a8"/>
    <w:rsid w:val="00C93C94"/>
  </w:style>
  <w:style w:type="paragraph" w:styleId="a9">
    <w:name w:val="annotation subject"/>
    <w:basedOn w:val="a8"/>
    <w:next w:val="a8"/>
    <w:link w:val="Char3"/>
    <w:uiPriority w:val="99"/>
    <w:semiHidden/>
    <w:unhideWhenUsed/>
    <w:rsid w:val="00C93C94"/>
    <w:rPr>
      <w:b/>
      <w:bCs/>
    </w:rPr>
  </w:style>
  <w:style w:type="character" w:customStyle="1" w:styleId="Char3">
    <w:name w:val="批注主题 Char"/>
    <w:basedOn w:val="Char2"/>
    <w:link w:val="a9"/>
    <w:uiPriority w:val="99"/>
    <w:semiHidden/>
    <w:rsid w:val="00C93C94"/>
    <w:rPr>
      <w:b/>
      <w:bCs/>
    </w:rPr>
  </w:style>
  <w:style w:type="paragraph" w:styleId="aa">
    <w:name w:val="Revision"/>
    <w:hidden/>
    <w:uiPriority w:val="99"/>
    <w:semiHidden/>
    <w:rsid w:val="00C93C94"/>
  </w:style>
  <w:style w:type="paragraph" w:styleId="ab">
    <w:name w:val="Document Map"/>
    <w:basedOn w:val="a"/>
    <w:link w:val="Char4"/>
    <w:uiPriority w:val="99"/>
    <w:semiHidden/>
    <w:unhideWhenUsed/>
    <w:rsid w:val="00A7643A"/>
    <w:rPr>
      <w:rFonts w:ascii="宋体" w:eastAsia="宋体"/>
      <w:sz w:val="18"/>
      <w:szCs w:val="18"/>
    </w:rPr>
  </w:style>
  <w:style w:type="character" w:customStyle="1" w:styleId="Char4">
    <w:name w:val="文档结构图 Char"/>
    <w:basedOn w:val="a0"/>
    <w:link w:val="ab"/>
    <w:uiPriority w:val="99"/>
    <w:semiHidden/>
    <w:rsid w:val="00A7643A"/>
    <w:rPr>
      <w:rFonts w:ascii="宋体" w:eastAsia="宋体"/>
      <w:sz w:val="18"/>
      <w:szCs w:val="18"/>
    </w:rPr>
  </w:style>
  <w:style w:type="paragraph" w:customStyle="1" w:styleId="Char5">
    <w:name w:val="Char"/>
    <w:basedOn w:val="a"/>
    <w:rsid w:val="00154213"/>
    <w:rPr>
      <w:rFonts w:ascii="Times New Roman" w:eastAsia="宋体" w:hAnsi="Times New Roman" w:cs="Times New Roman"/>
      <w:szCs w:val="24"/>
    </w:rPr>
  </w:style>
  <w:style w:type="paragraph" w:customStyle="1" w:styleId="ac">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Char">
    <w:name w:val="标题 4 Char"/>
    <w:basedOn w:val="a0"/>
    <w:link w:val="4"/>
    <w:uiPriority w:val="9"/>
    <w:semiHidden/>
    <w:rsid w:val="00184885"/>
    <w:rPr>
      <w:rFonts w:asciiTheme="majorHAnsi" w:eastAsiaTheme="majorEastAsia" w:hAnsiTheme="majorHAnsi" w:cstheme="majorBidi"/>
      <w:b/>
      <w:bCs/>
      <w:sz w:val="28"/>
      <w:szCs w:val="28"/>
    </w:rPr>
  </w:style>
  <w:style w:type="paragraph" w:styleId="ad">
    <w:name w:val="List Paragraph"/>
    <w:basedOn w:val="a"/>
    <w:uiPriority w:val="34"/>
    <w:qFormat/>
    <w:rsid w:val="00ED1C9B"/>
    <w:pPr>
      <w:ind w:firstLineChars="200" w:firstLine="420"/>
    </w:pPr>
  </w:style>
  <w:style w:type="character" w:styleId="ae">
    <w:name w:val="Hyperlink"/>
    <w:uiPriority w:val="99"/>
    <w:rsid w:val="002D289C"/>
    <w:rPr>
      <w:color w:val="0000FF"/>
      <w:u w:val="single"/>
    </w:rPr>
  </w:style>
  <w:style w:type="paragraph" w:styleId="af">
    <w:name w:val="Normal Indent"/>
    <w:aliases w:val="特点,表正文,正文非缩进,段1"/>
    <w:basedOn w:val="a"/>
    <w:rsid w:val="002B67E5"/>
    <w:pPr>
      <w:ind w:firstLineChars="200" w:firstLine="420"/>
    </w:pPr>
    <w:rPr>
      <w:rFonts w:ascii="Times New Roman" w:eastAsia="宋体" w:hAnsi="Times New Roman" w:cs="Times New Roman"/>
      <w:szCs w:val="24"/>
    </w:rPr>
  </w:style>
  <w:style w:type="paragraph" w:customStyle="1" w:styleId="ParaCharCharCharCharCharChar">
    <w:name w:val="默认段落字体 Para Char Char Char Char Char Char"/>
    <w:basedOn w:val="a"/>
    <w:autoRedefine/>
    <w:rsid w:val="003A6A9D"/>
    <w:pPr>
      <w:tabs>
        <w:tab w:val="num" w:pos="840"/>
      </w:tabs>
      <w:ind w:left="840" w:hanging="360"/>
    </w:pPr>
    <w:rPr>
      <w:rFonts w:ascii="Times New Roman" w:eastAsia="宋体" w:hAnsi="Times New Roman" w:cs="Times New Roman"/>
      <w:sz w:val="24"/>
      <w:szCs w:val="24"/>
    </w:rPr>
  </w:style>
  <w:style w:type="character" w:customStyle="1" w:styleId="2Char">
    <w:name w:val="标题 2 Char"/>
    <w:basedOn w:val="a0"/>
    <w:link w:val="2"/>
    <w:rsid w:val="00025F27"/>
    <w:rPr>
      <w:rFonts w:ascii="Arial" w:eastAsia="宋体" w:hAnsi="Arial" w:cs="Times New Roman"/>
      <w:b/>
      <w:sz w:val="24"/>
      <w:szCs w:val="20"/>
    </w:rPr>
  </w:style>
  <w:style w:type="character" w:customStyle="1" w:styleId="3Char">
    <w:name w:val="标题 3 Char"/>
    <w:aliases w:val="标题样式1 Char"/>
    <w:basedOn w:val="a0"/>
    <w:link w:val="3"/>
    <w:rsid w:val="00025F27"/>
    <w:rPr>
      <w:rFonts w:ascii="宋体" w:eastAsia="宋体" w:hAnsi="Times New Roman" w:cs="Times New Roman"/>
      <w:b/>
      <w:szCs w:val="20"/>
    </w:rPr>
  </w:style>
  <w:style w:type="character" w:customStyle="1" w:styleId="5Char">
    <w:name w:val="标题 5 Char"/>
    <w:basedOn w:val="a0"/>
    <w:link w:val="5"/>
    <w:rsid w:val="00025F27"/>
    <w:rPr>
      <w:rFonts w:ascii="Times New Roman" w:eastAsia="宋体" w:hAnsi="Times New Roman" w:cs="Times New Roman"/>
      <w:szCs w:val="20"/>
    </w:rPr>
  </w:style>
  <w:style w:type="character" w:customStyle="1" w:styleId="6Char">
    <w:name w:val="标题 6 Char"/>
    <w:basedOn w:val="a0"/>
    <w:link w:val="6"/>
    <w:rsid w:val="00025F27"/>
    <w:rPr>
      <w:rFonts w:ascii="Arial" w:eastAsia="黑体" w:hAnsi="Arial" w:cs="Times New Roman"/>
      <w:b/>
      <w:sz w:val="24"/>
      <w:szCs w:val="20"/>
    </w:rPr>
  </w:style>
  <w:style w:type="character" w:customStyle="1" w:styleId="7Char">
    <w:name w:val="标题 7 Char"/>
    <w:basedOn w:val="a0"/>
    <w:link w:val="7"/>
    <w:rsid w:val="00025F27"/>
    <w:rPr>
      <w:rFonts w:ascii="Times New Roman" w:eastAsia="宋体" w:hAnsi="Times New Roman" w:cs="Times New Roman"/>
      <w:b/>
      <w:sz w:val="24"/>
      <w:szCs w:val="20"/>
    </w:rPr>
  </w:style>
  <w:style w:type="character" w:customStyle="1" w:styleId="8Char">
    <w:name w:val="标题 8 Char"/>
    <w:basedOn w:val="a0"/>
    <w:link w:val="8"/>
    <w:rsid w:val="00025F27"/>
    <w:rPr>
      <w:rFonts w:ascii="Arial" w:eastAsia="黑体" w:hAnsi="Arial" w:cs="Times New Roman"/>
      <w:sz w:val="24"/>
      <w:szCs w:val="20"/>
    </w:rPr>
  </w:style>
  <w:style w:type="character" w:customStyle="1" w:styleId="9Char">
    <w:name w:val="标题 9 Char"/>
    <w:basedOn w:val="a0"/>
    <w:link w:val="9"/>
    <w:rsid w:val="00025F27"/>
    <w:rPr>
      <w:rFonts w:ascii="Arial" w:eastAsia="黑体" w:hAnsi="Arial" w:cs="Times New Roman"/>
      <w:szCs w:val="20"/>
    </w:rPr>
  </w:style>
</w:styles>
</file>

<file path=word/webSettings.xml><?xml version="1.0" encoding="utf-8"?>
<w:webSettings xmlns:r="http://schemas.openxmlformats.org/officeDocument/2006/relationships" xmlns:w="http://schemas.openxmlformats.org/wordprocessingml/2006/main">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E2A86-8179-4D7A-B997-73472E8CD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519</Words>
  <Characters>2962</Characters>
  <Application>Microsoft Office Word</Application>
  <DocSecurity>0</DocSecurity>
  <Lines>24</Lines>
  <Paragraphs>6</Paragraphs>
  <ScaleCrop>false</ScaleCrop>
  <Company>wind</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刘晨晨</cp:lastModifiedBy>
  <cp:revision>6</cp:revision>
  <cp:lastPrinted>2016-03-30T05:56:00Z</cp:lastPrinted>
  <dcterms:created xsi:type="dcterms:W3CDTF">2017-07-12T02:43:00Z</dcterms:created>
  <dcterms:modified xsi:type="dcterms:W3CDTF">2017-07-18T07:17:00Z</dcterms:modified>
</cp:coreProperties>
</file>