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75438" w:rsidRDefault="004B7958">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75438" w:rsidRDefault="004B7958">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75438" w:rsidRDefault="004B7958">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75438" w:rsidRDefault="004B7958">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75438" w:rsidRDefault="004B7958">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2,007,048,446.51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2,729,973.24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2,004,318,473.27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4B7958">
        <w:trPr>
          <w:jc w:val="center"/>
        </w:trPr>
        <w:tc>
          <w:tcPr>
            <w:tcW w:w="3606"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52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4B7958">
        <w:trPr>
          <w:jc w:val="center"/>
        </w:trPr>
        <w:tc>
          <w:tcPr>
            <w:tcW w:w="3606" w:type="dxa"/>
            <w:vMerge/>
            <w:vAlign w:val="center"/>
          </w:tcPr>
          <w:p w:rsidR="00F31380" w:rsidRPr="000E4C40" w:rsidRDefault="00F31380" w:rsidP="00281564">
            <w:pPr>
              <w:adjustRightInd w:val="0"/>
              <w:spacing w:before="29" w:line="288" w:lineRule="auto"/>
              <w:ind w:left="17"/>
              <w:jc w:val="center"/>
              <w:rPr>
                <w:kern w:val="0"/>
                <w:sz w:val="24"/>
              </w:rPr>
            </w:pPr>
          </w:p>
        </w:tc>
        <w:tc>
          <w:tcPr>
            <w:tcW w:w="263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63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4B7958">
        <w:trPr>
          <w:trHeight w:val="840"/>
          <w:jc w:val="center"/>
        </w:trPr>
        <w:tc>
          <w:tcPr>
            <w:tcW w:w="3606"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63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17,298.70</w:t>
            </w:r>
          </w:p>
        </w:tc>
        <w:tc>
          <w:tcPr>
            <w:tcW w:w="263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5,636,509.15</w:t>
            </w:r>
          </w:p>
        </w:tc>
      </w:tr>
      <w:tr w:rsidR="00E8309D" w:rsidRPr="000E4C40" w:rsidTr="004B7958">
        <w:trPr>
          <w:jc w:val="center"/>
        </w:trPr>
        <w:tc>
          <w:tcPr>
            <w:tcW w:w="3606"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63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17,298.70</w:t>
            </w:r>
          </w:p>
        </w:tc>
        <w:tc>
          <w:tcPr>
            <w:tcW w:w="263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5,636,509.15</w:t>
            </w:r>
          </w:p>
        </w:tc>
      </w:tr>
      <w:tr w:rsidR="00E8309D" w:rsidRPr="000E4C40" w:rsidTr="004B7958">
        <w:trPr>
          <w:jc w:val="center"/>
        </w:trPr>
        <w:tc>
          <w:tcPr>
            <w:tcW w:w="3606"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63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2,729,973.24</w:t>
            </w:r>
          </w:p>
        </w:tc>
        <w:tc>
          <w:tcPr>
            <w:tcW w:w="263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2,004,318,473.27</w:t>
            </w:r>
          </w:p>
        </w:tc>
      </w:tr>
    </w:tbl>
    <w:p w:rsidR="004B7958" w:rsidRPr="004B7958" w:rsidRDefault="004B7958" w:rsidP="004B7958">
      <w:pPr>
        <w:autoSpaceDE w:val="0"/>
        <w:autoSpaceDN w:val="0"/>
        <w:adjustRightInd w:val="0"/>
        <w:spacing w:before="29" w:line="288" w:lineRule="auto"/>
        <w:jc w:val="left"/>
        <w:rPr>
          <w:color w:val="000000"/>
          <w:sz w:val="24"/>
        </w:rPr>
      </w:pPr>
      <w:r w:rsidRPr="004B7958">
        <w:rPr>
          <w:rFonts w:hint="eastAsia"/>
          <w:color w:val="000000"/>
          <w:sz w:val="24"/>
        </w:rPr>
        <w:t>注：</w:t>
      </w:r>
      <w:r w:rsidRPr="004B7958">
        <w:rPr>
          <w:color w:val="000000"/>
          <w:sz w:val="24"/>
        </w:rPr>
        <w:t>1</w:t>
      </w:r>
      <w:r w:rsidRPr="004B7958">
        <w:rPr>
          <w:rFonts w:hint="eastAsia"/>
          <w:color w:val="000000"/>
          <w:sz w:val="24"/>
        </w:rPr>
        <w:t>、本基金实行销售服务费分类收费方式，分设两类基金份额：</w:t>
      </w:r>
      <w:r w:rsidRPr="004B7958">
        <w:rPr>
          <w:color w:val="000000"/>
          <w:sz w:val="24"/>
        </w:rPr>
        <w:t>A</w:t>
      </w:r>
      <w:r w:rsidRPr="004B7958">
        <w:rPr>
          <w:rFonts w:hint="eastAsia"/>
          <w:color w:val="000000"/>
          <w:sz w:val="24"/>
        </w:rPr>
        <w:t>类基金份额和</w:t>
      </w:r>
      <w:r w:rsidRPr="004B7958">
        <w:rPr>
          <w:color w:val="000000"/>
          <w:sz w:val="24"/>
        </w:rPr>
        <w:t>E</w:t>
      </w:r>
      <w:r w:rsidRPr="004B7958">
        <w:rPr>
          <w:rFonts w:hint="eastAsia"/>
          <w:color w:val="000000"/>
          <w:sz w:val="24"/>
        </w:rPr>
        <w:t>类基金份额。</w:t>
      </w:r>
      <w:r w:rsidRPr="004B7958">
        <w:rPr>
          <w:color w:val="000000"/>
          <w:sz w:val="24"/>
        </w:rPr>
        <w:t>A</w:t>
      </w:r>
      <w:r w:rsidRPr="004B7958">
        <w:rPr>
          <w:rFonts w:hint="eastAsia"/>
          <w:color w:val="000000"/>
          <w:sz w:val="24"/>
        </w:rPr>
        <w:t>类基金份额与</w:t>
      </w:r>
      <w:r w:rsidRPr="004B7958">
        <w:rPr>
          <w:color w:val="000000"/>
          <w:sz w:val="24"/>
        </w:rPr>
        <w:t>E</w:t>
      </w:r>
      <w:r w:rsidRPr="004B7958">
        <w:rPr>
          <w:rFonts w:hint="eastAsia"/>
          <w:color w:val="000000"/>
          <w:sz w:val="24"/>
        </w:rPr>
        <w:t>类基金份额的管理费、托管费相同，</w:t>
      </w:r>
      <w:r w:rsidRPr="004B7958">
        <w:rPr>
          <w:color w:val="000000"/>
          <w:sz w:val="24"/>
        </w:rPr>
        <w:t>A</w:t>
      </w:r>
      <w:r w:rsidRPr="004B7958">
        <w:rPr>
          <w:rFonts w:hint="eastAsia"/>
          <w:color w:val="000000"/>
          <w:sz w:val="24"/>
        </w:rPr>
        <w:t>类基金份额按照</w:t>
      </w:r>
      <w:r w:rsidRPr="004B7958">
        <w:rPr>
          <w:color w:val="000000"/>
          <w:sz w:val="24"/>
        </w:rPr>
        <w:t>0.25%</w:t>
      </w:r>
      <w:r w:rsidRPr="004B7958">
        <w:rPr>
          <w:rFonts w:hint="eastAsia"/>
          <w:color w:val="000000"/>
          <w:sz w:val="24"/>
        </w:rPr>
        <w:t>的年费率计提销售服务费，</w:t>
      </w:r>
      <w:r w:rsidRPr="004B7958">
        <w:rPr>
          <w:color w:val="000000"/>
          <w:sz w:val="24"/>
        </w:rPr>
        <w:t>E</w:t>
      </w:r>
      <w:r w:rsidRPr="004B7958">
        <w:rPr>
          <w:rFonts w:hint="eastAsia"/>
          <w:color w:val="000000"/>
          <w:sz w:val="24"/>
        </w:rPr>
        <w:t>类基金份额按照</w:t>
      </w:r>
      <w:r w:rsidRPr="004B7958">
        <w:rPr>
          <w:color w:val="000000"/>
          <w:sz w:val="24"/>
        </w:rPr>
        <w:t>0.01%</w:t>
      </w:r>
      <w:r w:rsidRPr="004B7958">
        <w:rPr>
          <w:rFonts w:hint="eastAsia"/>
          <w:color w:val="000000"/>
          <w:sz w:val="24"/>
        </w:rPr>
        <w:t>的年费率计提销售服务费。</w:t>
      </w:r>
    </w:p>
    <w:p w:rsidR="00902E3F" w:rsidRDefault="004B7958" w:rsidP="004B7958">
      <w:pPr>
        <w:autoSpaceDE w:val="0"/>
        <w:autoSpaceDN w:val="0"/>
        <w:adjustRightInd w:val="0"/>
        <w:spacing w:before="29" w:line="288" w:lineRule="auto"/>
        <w:jc w:val="left"/>
        <w:rPr>
          <w:color w:val="000000"/>
          <w:sz w:val="24"/>
        </w:rPr>
      </w:pPr>
      <w:r w:rsidRPr="004B7958">
        <w:rPr>
          <w:color w:val="000000"/>
          <w:sz w:val="24"/>
        </w:rPr>
        <w:t xml:space="preserve">   2</w:t>
      </w:r>
      <w:r w:rsidRPr="004B7958">
        <w:rPr>
          <w:rFonts w:hint="eastAsia"/>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4B7958" w:rsidRPr="000E4C40" w:rsidRDefault="004B7958" w:rsidP="004B7958">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4B7958">
        <w:trPr>
          <w:jc w:val="center"/>
        </w:trPr>
        <w:tc>
          <w:tcPr>
            <w:tcW w:w="1266"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75438">
        <w:trPr>
          <w:jc w:val="center"/>
        </w:trPr>
        <w:tc>
          <w:tcPr>
            <w:tcW w:w="1266" w:type="dxa"/>
            <w:vAlign w:val="center"/>
          </w:tcPr>
          <w:p w:rsidR="00675438" w:rsidRDefault="004B7958">
            <w:pPr>
              <w:jc w:val="left"/>
            </w:pPr>
            <w:r>
              <w:rPr>
                <w:color w:val="000000"/>
              </w:rPr>
              <w:lastRenderedPageBreak/>
              <w:t>过去三个月</w:t>
            </w:r>
          </w:p>
        </w:tc>
        <w:tc>
          <w:tcPr>
            <w:tcW w:w="1267" w:type="dxa"/>
            <w:vAlign w:val="center"/>
          </w:tcPr>
          <w:p w:rsidR="00675438" w:rsidRDefault="004B7958">
            <w:pPr>
              <w:jc w:val="center"/>
            </w:pPr>
            <w:r>
              <w:rPr>
                <w:color w:val="000000"/>
              </w:rPr>
              <w:t>0.6823%</w:t>
            </w:r>
          </w:p>
        </w:tc>
        <w:tc>
          <w:tcPr>
            <w:tcW w:w="1267" w:type="dxa"/>
            <w:vAlign w:val="center"/>
          </w:tcPr>
          <w:p w:rsidR="00675438" w:rsidRDefault="004B7958">
            <w:pPr>
              <w:jc w:val="center"/>
            </w:pPr>
            <w:r>
              <w:rPr>
                <w:color w:val="000000"/>
              </w:rPr>
              <w:t>0.0052%</w:t>
            </w:r>
          </w:p>
        </w:tc>
        <w:tc>
          <w:tcPr>
            <w:tcW w:w="1267" w:type="dxa"/>
            <w:vAlign w:val="center"/>
          </w:tcPr>
          <w:p w:rsidR="00675438" w:rsidRDefault="004B7958">
            <w:pPr>
              <w:jc w:val="center"/>
            </w:pPr>
            <w:r>
              <w:rPr>
                <w:color w:val="000000"/>
              </w:rPr>
              <w:t>0.0863%</w:t>
            </w:r>
          </w:p>
        </w:tc>
        <w:tc>
          <w:tcPr>
            <w:tcW w:w="1267" w:type="dxa"/>
            <w:vAlign w:val="center"/>
          </w:tcPr>
          <w:p w:rsidR="00675438" w:rsidRDefault="004B7958">
            <w:pPr>
              <w:jc w:val="center"/>
            </w:pPr>
            <w:r>
              <w:rPr>
                <w:color w:val="000000"/>
              </w:rPr>
              <w:t>0.0000%</w:t>
            </w:r>
          </w:p>
        </w:tc>
        <w:tc>
          <w:tcPr>
            <w:tcW w:w="1267" w:type="dxa"/>
            <w:vAlign w:val="center"/>
          </w:tcPr>
          <w:p w:rsidR="00675438" w:rsidRDefault="004B7958">
            <w:pPr>
              <w:jc w:val="center"/>
            </w:pPr>
            <w:r>
              <w:rPr>
                <w:color w:val="000000"/>
              </w:rPr>
              <w:t>0.5960%</w:t>
            </w:r>
          </w:p>
        </w:tc>
        <w:tc>
          <w:tcPr>
            <w:tcW w:w="1267" w:type="dxa"/>
            <w:vAlign w:val="center"/>
          </w:tcPr>
          <w:p w:rsidR="00675438" w:rsidRDefault="004B7958">
            <w:pPr>
              <w:jc w:val="center"/>
            </w:pPr>
            <w:r>
              <w:rPr>
                <w:color w:val="000000"/>
              </w:rPr>
              <w:t>0.0052%</w:t>
            </w:r>
          </w:p>
        </w:tc>
      </w:tr>
    </w:tbl>
    <w:p w:rsidR="004B7958" w:rsidRDefault="004B7958" w:rsidP="004B7958">
      <w:pPr>
        <w:autoSpaceDE w:val="0"/>
        <w:autoSpaceDN w:val="0"/>
        <w:adjustRightInd w:val="0"/>
        <w:spacing w:before="29" w:line="288" w:lineRule="auto"/>
        <w:jc w:val="left"/>
        <w:rPr>
          <w:color w:val="000000"/>
          <w:sz w:val="24"/>
        </w:rPr>
      </w:pPr>
      <w:r w:rsidRPr="004B7958">
        <w:rPr>
          <w:rFonts w:hint="eastAsia"/>
          <w:color w:val="000000"/>
          <w:sz w:val="24"/>
        </w:rPr>
        <w:t>注：本基金收益分配按日结转份额。</w:t>
      </w:r>
    </w:p>
    <w:p w:rsidR="00186667" w:rsidRPr="004B7958"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4B7958">
        <w:trPr>
          <w:jc w:val="center"/>
        </w:trPr>
        <w:tc>
          <w:tcPr>
            <w:tcW w:w="1266"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75438">
        <w:trPr>
          <w:jc w:val="center"/>
        </w:trPr>
        <w:tc>
          <w:tcPr>
            <w:tcW w:w="1266" w:type="dxa"/>
            <w:vAlign w:val="center"/>
          </w:tcPr>
          <w:p w:rsidR="00675438" w:rsidRDefault="004B7958">
            <w:pPr>
              <w:jc w:val="left"/>
            </w:pPr>
            <w:r>
              <w:rPr>
                <w:color w:val="000000"/>
              </w:rPr>
              <w:t>过去三个月</w:t>
            </w:r>
          </w:p>
        </w:tc>
        <w:tc>
          <w:tcPr>
            <w:tcW w:w="1267" w:type="dxa"/>
            <w:vAlign w:val="center"/>
          </w:tcPr>
          <w:p w:rsidR="00675438" w:rsidRDefault="004B7958">
            <w:pPr>
              <w:jc w:val="center"/>
            </w:pPr>
            <w:r>
              <w:rPr>
                <w:color w:val="000000"/>
              </w:rPr>
              <w:t>0.7409%</w:t>
            </w:r>
          </w:p>
        </w:tc>
        <w:tc>
          <w:tcPr>
            <w:tcW w:w="1267" w:type="dxa"/>
            <w:vAlign w:val="center"/>
          </w:tcPr>
          <w:p w:rsidR="00675438" w:rsidRDefault="004B7958">
            <w:pPr>
              <w:jc w:val="center"/>
            </w:pPr>
            <w:r>
              <w:rPr>
                <w:color w:val="000000"/>
              </w:rPr>
              <w:t>0.0051%</w:t>
            </w:r>
          </w:p>
        </w:tc>
        <w:tc>
          <w:tcPr>
            <w:tcW w:w="1267" w:type="dxa"/>
            <w:vAlign w:val="center"/>
          </w:tcPr>
          <w:p w:rsidR="00675438" w:rsidRDefault="004B7958">
            <w:pPr>
              <w:jc w:val="center"/>
            </w:pPr>
            <w:r>
              <w:rPr>
                <w:color w:val="000000"/>
              </w:rPr>
              <w:t>0.0863%</w:t>
            </w:r>
          </w:p>
        </w:tc>
        <w:tc>
          <w:tcPr>
            <w:tcW w:w="1267" w:type="dxa"/>
            <w:vAlign w:val="center"/>
          </w:tcPr>
          <w:p w:rsidR="00675438" w:rsidRDefault="004B7958">
            <w:pPr>
              <w:jc w:val="center"/>
            </w:pPr>
            <w:r>
              <w:rPr>
                <w:color w:val="000000"/>
              </w:rPr>
              <w:t>0.0000%</w:t>
            </w:r>
          </w:p>
        </w:tc>
        <w:tc>
          <w:tcPr>
            <w:tcW w:w="1267" w:type="dxa"/>
            <w:vAlign w:val="center"/>
          </w:tcPr>
          <w:p w:rsidR="00675438" w:rsidRDefault="004B7958">
            <w:pPr>
              <w:jc w:val="center"/>
            </w:pPr>
            <w:r>
              <w:rPr>
                <w:color w:val="000000"/>
              </w:rPr>
              <w:t>0.6546%</w:t>
            </w:r>
          </w:p>
        </w:tc>
        <w:tc>
          <w:tcPr>
            <w:tcW w:w="1267" w:type="dxa"/>
            <w:vAlign w:val="center"/>
          </w:tcPr>
          <w:p w:rsidR="00675438" w:rsidRDefault="004B7958">
            <w:pPr>
              <w:jc w:val="center"/>
            </w:pPr>
            <w:r>
              <w:rPr>
                <w:color w:val="000000"/>
              </w:rPr>
              <w:t>0.0051%</w:t>
            </w:r>
          </w:p>
        </w:tc>
      </w:tr>
    </w:tbl>
    <w:p w:rsidR="004B7958" w:rsidRDefault="004B7958" w:rsidP="004B7958">
      <w:pPr>
        <w:autoSpaceDE w:val="0"/>
        <w:autoSpaceDN w:val="0"/>
        <w:adjustRightInd w:val="0"/>
        <w:spacing w:before="29" w:line="288" w:lineRule="auto"/>
        <w:jc w:val="left"/>
        <w:rPr>
          <w:color w:val="000000"/>
          <w:sz w:val="24"/>
        </w:rPr>
      </w:pPr>
      <w:r w:rsidRPr="004B7958">
        <w:rPr>
          <w:rFonts w:hint="eastAsia"/>
          <w:color w:val="000000"/>
          <w:sz w:val="24"/>
        </w:rPr>
        <w:t>注：本基金收益分配按日结转份额。</w:t>
      </w:r>
    </w:p>
    <w:p w:rsidR="001F0286" w:rsidRPr="004B7958"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75438">
        <w:trPr>
          <w:jc w:val="center"/>
        </w:trPr>
        <w:tc>
          <w:tcPr>
            <w:tcW w:w="945" w:type="dxa"/>
            <w:vAlign w:val="center"/>
          </w:tcPr>
          <w:p w:rsidR="00675438" w:rsidRDefault="004B7958">
            <w:pPr>
              <w:jc w:val="center"/>
            </w:pPr>
            <w:r>
              <w:rPr>
                <w:color w:val="000000"/>
                <w:sz w:val="24"/>
              </w:rPr>
              <w:t>黄莹洁</w:t>
            </w:r>
          </w:p>
        </w:tc>
        <w:tc>
          <w:tcPr>
            <w:tcW w:w="1589" w:type="dxa"/>
            <w:vAlign w:val="center"/>
          </w:tcPr>
          <w:p w:rsidR="00675438" w:rsidRDefault="004B7958">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675438" w:rsidRDefault="004B7958">
            <w:pPr>
              <w:jc w:val="center"/>
            </w:pPr>
            <w:r>
              <w:rPr>
                <w:color w:val="000000"/>
                <w:sz w:val="24"/>
              </w:rPr>
              <w:lastRenderedPageBreak/>
              <w:t>2016-12-07</w:t>
            </w:r>
          </w:p>
        </w:tc>
        <w:tc>
          <w:tcPr>
            <w:tcW w:w="1478" w:type="dxa"/>
            <w:vAlign w:val="center"/>
          </w:tcPr>
          <w:p w:rsidR="00675438" w:rsidRDefault="004B7958">
            <w:pPr>
              <w:jc w:val="center"/>
            </w:pPr>
            <w:r>
              <w:rPr>
                <w:color w:val="000000"/>
                <w:sz w:val="24"/>
              </w:rPr>
              <w:t>-</w:t>
            </w:r>
          </w:p>
        </w:tc>
        <w:tc>
          <w:tcPr>
            <w:tcW w:w="986" w:type="dxa"/>
            <w:vAlign w:val="center"/>
          </w:tcPr>
          <w:p w:rsidR="00675438" w:rsidRDefault="004B7958">
            <w:pPr>
              <w:jc w:val="center"/>
            </w:pPr>
            <w:r>
              <w:rPr>
                <w:color w:val="000000"/>
                <w:sz w:val="24"/>
              </w:rPr>
              <w:t>9</w:t>
            </w:r>
            <w:r>
              <w:rPr>
                <w:color w:val="000000"/>
                <w:sz w:val="24"/>
              </w:rPr>
              <w:t>年</w:t>
            </w:r>
          </w:p>
        </w:tc>
        <w:tc>
          <w:tcPr>
            <w:tcW w:w="2392" w:type="dxa"/>
            <w:vAlign w:val="center"/>
          </w:tcPr>
          <w:p w:rsidR="00675438" w:rsidRDefault="004B795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675438">
        <w:trPr>
          <w:jc w:val="center"/>
        </w:trPr>
        <w:tc>
          <w:tcPr>
            <w:tcW w:w="945" w:type="dxa"/>
            <w:vAlign w:val="center"/>
          </w:tcPr>
          <w:p w:rsidR="00675438" w:rsidRDefault="004B7958">
            <w:pPr>
              <w:jc w:val="center"/>
            </w:pPr>
            <w:r>
              <w:rPr>
                <w:color w:val="000000"/>
                <w:sz w:val="24"/>
              </w:rPr>
              <w:lastRenderedPageBreak/>
              <w:t>连端清</w:t>
            </w:r>
          </w:p>
        </w:tc>
        <w:tc>
          <w:tcPr>
            <w:tcW w:w="1589" w:type="dxa"/>
            <w:vAlign w:val="center"/>
          </w:tcPr>
          <w:p w:rsidR="00675438" w:rsidRDefault="004B795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w:t>
            </w:r>
            <w:bookmarkStart w:id="0" w:name="_GoBack"/>
            <w:r w:rsidR="000C6982">
              <w:rPr>
                <w:color w:val="000000"/>
                <w:sz w:val="24"/>
              </w:rPr>
              <w:t>债券</w:t>
            </w:r>
            <w:bookmarkEnd w:id="0"/>
            <w:r>
              <w:rPr>
                <w:color w:val="000000"/>
                <w:sz w:val="24"/>
              </w:rPr>
              <w:t>、交银裕隆纯债债券、交银天鑫宝货币、交银天益宝货币、交银境尚收益债券的基金经理</w:t>
            </w:r>
          </w:p>
        </w:tc>
        <w:tc>
          <w:tcPr>
            <w:tcW w:w="1478" w:type="dxa"/>
            <w:vAlign w:val="center"/>
          </w:tcPr>
          <w:p w:rsidR="00675438" w:rsidRDefault="004B7958">
            <w:pPr>
              <w:jc w:val="center"/>
            </w:pPr>
            <w:r>
              <w:rPr>
                <w:color w:val="000000"/>
                <w:sz w:val="24"/>
              </w:rPr>
              <w:t>2016-12-07</w:t>
            </w:r>
          </w:p>
        </w:tc>
        <w:tc>
          <w:tcPr>
            <w:tcW w:w="1478" w:type="dxa"/>
            <w:vAlign w:val="center"/>
          </w:tcPr>
          <w:p w:rsidR="00675438" w:rsidRDefault="004B7958">
            <w:pPr>
              <w:jc w:val="center"/>
            </w:pPr>
            <w:r>
              <w:rPr>
                <w:color w:val="000000"/>
                <w:sz w:val="24"/>
              </w:rPr>
              <w:t>-</w:t>
            </w:r>
          </w:p>
        </w:tc>
        <w:tc>
          <w:tcPr>
            <w:tcW w:w="986" w:type="dxa"/>
            <w:vAlign w:val="center"/>
          </w:tcPr>
          <w:p w:rsidR="00675438" w:rsidRDefault="004B7958">
            <w:pPr>
              <w:jc w:val="center"/>
            </w:pPr>
            <w:r>
              <w:rPr>
                <w:color w:val="000000"/>
                <w:sz w:val="24"/>
              </w:rPr>
              <w:t>4</w:t>
            </w:r>
            <w:r>
              <w:rPr>
                <w:color w:val="000000"/>
                <w:sz w:val="24"/>
              </w:rPr>
              <w:t>年</w:t>
            </w:r>
          </w:p>
        </w:tc>
        <w:tc>
          <w:tcPr>
            <w:tcW w:w="2392" w:type="dxa"/>
            <w:vAlign w:val="center"/>
          </w:tcPr>
          <w:p w:rsidR="00675438" w:rsidRDefault="004B795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675438" w:rsidRDefault="004B795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75438" w:rsidRDefault="004B795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w:t>
      </w:r>
      <w:r w:rsidRPr="000E4C40">
        <w:rPr>
          <w:color w:val="000000"/>
          <w:sz w:val="24"/>
        </w:rPr>
        <w:lastRenderedPageBreak/>
        <w:t>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75438" w:rsidRDefault="004B795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75438" w:rsidRDefault="004B795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75438" w:rsidRDefault="004B795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75438" w:rsidRDefault="004B7958">
      <w:pPr>
        <w:spacing w:before="29" w:line="288" w:lineRule="auto"/>
        <w:ind w:firstLineChars="200" w:firstLine="480"/>
        <w:rPr>
          <w:color w:val="000000"/>
          <w:sz w:val="24"/>
        </w:rPr>
      </w:pPr>
      <w:r>
        <w:rPr>
          <w:color w:val="000000"/>
          <w:sz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Pr>
          <w:color w:val="000000"/>
          <w:sz w:val="24"/>
        </w:rPr>
        <w:t>MLF</w:t>
      </w:r>
      <w:r>
        <w:rPr>
          <w:color w:val="000000"/>
          <w:sz w:val="24"/>
        </w:rPr>
        <w:t>的利率。在去杠杆背景下，</w:t>
      </w:r>
      <w:r>
        <w:rPr>
          <w:color w:val="000000"/>
          <w:sz w:val="24"/>
        </w:rPr>
        <w:lastRenderedPageBreak/>
        <w:t>叠加</w:t>
      </w:r>
      <w:r>
        <w:rPr>
          <w:color w:val="000000"/>
          <w:sz w:val="24"/>
        </w:rPr>
        <w:t>MPA</w:t>
      </w:r>
      <w:r>
        <w:rPr>
          <w:color w:val="000000"/>
          <w:sz w:val="24"/>
        </w:rPr>
        <w:t>考核改革且从严的情况下，银行间市场流动性总体偏紧，货币市场工具利率维持较高水平。</w:t>
      </w:r>
    </w:p>
    <w:p w:rsidR="00675438" w:rsidRDefault="004B7958">
      <w:pPr>
        <w:spacing w:before="29" w:line="288" w:lineRule="auto"/>
        <w:ind w:firstLineChars="200" w:firstLine="480"/>
        <w:rPr>
          <w:color w:val="000000"/>
          <w:sz w:val="24"/>
        </w:rPr>
      </w:pPr>
      <w:r>
        <w:rPr>
          <w:color w:val="000000"/>
          <w:sz w:val="24"/>
        </w:rPr>
        <w:t>基金操作方面，由于组合规模有所增长，我们择机配置了高收益的信用债与同业存单，提高了组合收益。</w:t>
      </w:r>
    </w:p>
    <w:p w:rsidR="00675438" w:rsidRDefault="004B7958">
      <w:pPr>
        <w:spacing w:before="29" w:line="288" w:lineRule="auto"/>
        <w:ind w:firstLineChars="200" w:firstLine="480"/>
        <w:rPr>
          <w:color w:val="000000"/>
          <w:sz w:val="24"/>
        </w:rPr>
      </w:pPr>
      <w:r>
        <w:rPr>
          <w:color w:val="000000"/>
          <w:sz w:val="24"/>
        </w:rPr>
        <w:t>展望二季度，三月季末考核过后，短期资金面有望阶段性改善，但在金融去杠杆以及金融监管升级的大背景下，预计流动性的压力始终存在。</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力争严格控制信用风险、流动性风险和利率风险，努力为持有人创造较为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本报告期内，交银天鑫宝</w:t>
      </w:r>
      <w:r w:rsidRPr="000E4C40">
        <w:rPr>
          <w:color w:val="000000"/>
          <w:sz w:val="24"/>
        </w:rPr>
        <w:t>A</w:t>
      </w:r>
      <w:r w:rsidRPr="000E4C40">
        <w:rPr>
          <w:color w:val="000000"/>
          <w:sz w:val="24"/>
        </w:rPr>
        <w:t>净值收益率为</w:t>
      </w:r>
      <w:r w:rsidRPr="000E4C40">
        <w:rPr>
          <w:color w:val="000000"/>
          <w:sz w:val="24"/>
        </w:rPr>
        <w:t>0.6823%</w:t>
      </w:r>
      <w:r w:rsidRPr="000E4C40">
        <w:rPr>
          <w:color w:val="000000"/>
          <w:sz w:val="24"/>
        </w:rPr>
        <w:t>，同期业绩比较基准收益率为</w:t>
      </w:r>
      <w:r w:rsidRPr="000E4C40">
        <w:rPr>
          <w:color w:val="000000"/>
          <w:sz w:val="24"/>
        </w:rPr>
        <w:t>0.0863%</w:t>
      </w:r>
      <w:r w:rsidRPr="000E4C40">
        <w:rPr>
          <w:color w:val="000000"/>
          <w:sz w:val="24"/>
        </w:rPr>
        <w:t>；交银天鑫宝</w:t>
      </w:r>
      <w:r w:rsidRPr="000E4C40">
        <w:rPr>
          <w:color w:val="000000"/>
          <w:sz w:val="24"/>
        </w:rPr>
        <w:t>E</w:t>
      </w:r>
      <w:r w:rsidRPr="000E4C40">
        <w:rPr>
          <w:color w:val="000000"/>
          <w:sz w:val="24"/>
        </w:rPr>
        <w:t>净值收益率为</w:t>
      </w:r>
      <w:r w:rsidRPr="000E4C40">
        <w:rPr>
          <w:color w:val="000000"/>
          <w:sz w:val="24"/>
        </w:rPr>
        <w:t>0.7409%</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1,889,437,665.76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1,889,437,665.76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102,600,381.90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22,353,433.13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1,201,999.49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2,015,593,480.28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4B7958" w:rsidRPr="004B7958" w:rsidRDefault="004B7958" w:rsidP="004B7958">
      <w:pPr>
        <w:autoSpaceDE w:val="0"/>
        <w:autoSpaceDN w:val="0"/>
        <w:adjustRightInd w:val="0"/>
        <w:spacing w:before="29" w:line="288" w:lineRule="auto"/>
        <w:jc w:val="left"/>
        <w:rPr>
          <w:color w:val="000000"/>
          <w:sz w:val="24"/>
        </w:rPr>
      </w:pPr>
      <w:r w:rsidRPr="004B7958">
        <w:rPr>
          <w:rFonts w:hint="eastAsia"/>
          <w:color w:val="000000"/>
          <w:sz w:val="24"/>
        </w:rPr>
        <w:t>注：报告期内债券回购融资余额占基金资产净值的比例为报告期内每个银行间市场交易日融资余额占资产净值比例的简单平均值。</w:t>
      </w:r>
    </w:p>
    <w:p w:rsidR="004B7958" w:rsidRPr="004B7958" w:rsidRDefault="004B7958" w:rsidP="004B7958">
      <w:pPr>
        <w:autoSpaceDE w:val="0"/>
        <w:autoSpaceDN w:val="0"/>
        <w:adjustRightInd w:val="0"/>
        <w:spacing w:before="29" w:line="288" w:lineRule="auto"/>
        <w:jc w:val="left"/>
        <w:rPr>
          <w:color w:val="000000"/>
          <w:sz w:val="24"/>
        </w:rPr>
      </w:pPr>
    </w:p>
    <w:p w:rsidR="004B7958" w:rsidRPr="004B7958" w:rsidRDefault="004B7958" w:rsidP="004B7958">
      <w:pPr>
        <w:spacing w:before="29" w:line="288" w:lineRule="auto"/>
        <w:rPr>
          <w:b/>
          <w:color w:val="000000"/>
          <w:kern w:val="0"/>
          <w:sz w:val="24"/>
        </w:rPr>
      </w:pPr>
      <w:r w:rsidRPr="004B7958">
        <w:rPr>
          <w:rFonts w:hAnsi="宋体" w:hint="eastAsia"/>
          <w:b/>
          <w:color w:val="000000"/>
          <w:kern w:val="0"/>
          <w:sz w:val="24"/>
        </w:rPr>
        <w:t>债券正回购的资金余额超过基金资产净值的</w:t>
      </w:r>
      <w:r w:rsidRPr="004B7958">
        <w:rPr>
          <w:b/>
          <w:color w:val="000000"/>
          <w:kern w:val="0"/>
          <w:sz w:val="24"/>
        </w:rPr>
        <w:t>20</w:t>
      </w:r>
      <w:r w:rsidRPr="004B7958">
        <w:rPr>
          <w:rFonts w:hAnsi="宋体" w:hint="eastAsia"/>
          <w:b/>
          <w:color w:val="000000"/>
          <w:kern w:val="0"/>
          <w:sz w:val="24"/>
        </w:rPr>
        <w:t>％的说明</w:t>
      </w:r>
    </w:p>
    <w:p w:rsidR="00DB2873" w:rsidRPr="004B7958" w:rsidRDefault="004B7958" w:rsidP="004B7958">
      <w:pPr>
        <w:autoSpaceDE w:val="0"/>
        <w:autoSpaceDN w:val="0"/>
        <w:adjustRightInd w:val="0"/>
        <w:spacing w:before="29" w:line="288" w:lineRule="auto"/>
        <w:jc w:val="left"/>
        <w:rPr>
          <w:color w:val="000000"/>
          <w:sz w:val="24"/>
        </w:rPr>
      </w:pPr>
      <w:r w:rsidRPr="004B7958">
        <w:rPr>
          <w:rFonts w:hint="eastAsia"/>
          <w:color w:val="000000"/>
          <w:sz w:val="24"/>
        </w:rPr>
        <w:t>本基金本报告期内债券正回购的资金余额未超过资产净值的</w:t>
      </w:r>
      <w:r w:rsidRPr="004B7958">
        <w:rPr>
          <w:color w:val="000000"/>
          <w:sz w:val="24"/>
        </w:rPr>
        <w:t>20%</w:t>
      </w:r>
      <w:r w:rsidRPr="004B7958">
        <w:rPr>
          <w:rFonts w:hint="eastAsia"/>
          <w:color w:val="000000"/>
          <w:sz w:val="24"/>
        </w:rPr>
        <w:t>。</w:t>
      </w:r>
    </w:p>
    <w:p w:rsidR="004B7958" w:rsidRPr="000E4C40" w:rsidRDefault="004B7958" w:rsidP="00281564">
      <w:pPr>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w:t>
            </w:r>
          </w:p>
        </w:tc>
      </w:tr>
    </w:tbl>
    <w:p w:rsidR="004B7958" w:rsidRDefault="004B7958" w:rsidP="004B7958">
      <w:pPr>
        <w:spacing w:before="29" w:line="288" w:lineRule="auto"/>
        <w:rPr>
          <w:rFonts w:hAnsi="宋体"/>
          <w:b/>
          <w:color w:val="000000"/>
          <w:kern w:val="0"/>
          <w:sz w:val="24"/>
          <w:highlight w:val="yellow"/>
        </w:rPr>
      </w:pPr>
    </w:p>
    <w:p w:rsidR="004B7958" w:rsidRPr="004B7958" w:rsidRDefault="004B7958" w:rsidP="004B7958">
      <w:pPr>
        <w:spacing w:before="29" w:line="288" w:lineRule="auto"/>
        <w:rPr>
          <w:b/>
          <w:color w:val="000000"/>
          <w:kern w:val="0"/>
          <w:sz w:val="24"/>
        </w:rPr>
      </w:pPr>
      <w:r w:rsidRPr="004B7958">
        <w:rPr>
          <w:rFonts w:hAnsi="宋体" w:hint="eastAsia"/>
          <w:b/>
          <w:color w:val="000000"/>
          <w:kern w:val="0"/>
          <w:sz w:val="24"/>
        </w:rPr>
        <w:t>报告期内投资组合平均剩余期限超过</w:t>
      </w:r>
      <w:r w:rsidRPr="004B7958">
        <w:rPr>
          <w:b/>
          <w:color w:val="000000"/>
          <w:kern w:val="0"/>
          <w:sz w:val="24"/>
        </w:rPr>
        <w:t>120</w:t>
      </w:r>
      <w:r w:rsidRPr="004B7958">
        <w:rPr>
          <w:rFonts w:hAnsi="宋体" w:hint="eastAsia"/>
          <w:b/>
          <w:color w:val="000000"/>
          <w:kern w:val="0"/>
          <w:sz w:val="24"/>
        </w:rPr>
        <w:t>天情况说明</w:t>
      </w:r>
    </w:p>
    <w:p w:rsidR="004B7958" w:rsidRDefault="004B7958" w:rsidP="004B7958">
      <w:pPr>
        <w:adjustRightInd w:val="0"/>
        <w:spacing w:before="29" w:line="288" w:lineRule="auto"/>
        <w:rPr>
          <w:kern w:val="0"/>
          <w:sz w:val="24"/>
        </w:rPr>
      </w:pPr>
      <w:r w:rsidRPr="004B7958">
        <w:rPr>
          <w:rFonts w:hint="eastAsia"/>
          <w:kern w:val="0"/>
          <w:sz w:val="24"/>
        </w:rPr>
        <w:t>本基金本报告期内投资组合平均剩余期限未超过</w:t>
      </w:r>
      <w:r w:rsidRPr="004B7958">
        <w:rPr>
          <w:kern w:val="0"/>
          <w:sz w:val="24"/>
        </w:rPr>
        <w:t>120</w:t>
      </w:r>
      <w:r w:rsidRPr="004B7958">
        <w:rPr>
          <w:rFonts w:hint="eastAsia"/>
          <w:kern w:val="0"/>
          <w:sz w:val="24"/>
        </w:rPr>
        <w:t>天。</w:t>
      </w:r>
    </w:p>
    <w:p w:rsidR="007521F9" w:rsidRPr="004B7958" w:rsidRDefault="007521F9" w:rsidP="00281564">
      <w:pPr>
        <w:spacing w:before="29" w:line="288" w:lineRule="auto"/>
        <w:rPr>
          <w:b/>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26.10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0.40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5.45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39.40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29.40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100.37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0.40</w:t>
            </w:r>
          </w:p>
        </w:tc>
      </w:tr>
    </w:tbl>
    <w:p w:rsidR="00F046FB" w:rsidRDefault="00F046FB" w:rsidP="00281564">
      <w:pPr>
        <w:spacing w:before="29" w:line="288" w:lineRule="auto"/>
        <w:rPr>
          <w:color w:val="000000"/>
          <w:kern w:val="0"/>
          <w:sz w:val="24"/>
        </w:rPr>
      </w:pPr>
    </w:p>
    <w:p w:rsidR="00F046FB" w:rsidRDefault="00F046FB" w:rsidP="00F046FB">
      <w:pPr>
        <w:spacing w:line="360" w:lineRule="auto"/>
        <w:rPr>
          <w:rFonts w:ascii="宋体" w:hAnsi="宋体"/>
          <w:b/>
          <w:bCs/>
          <w:color w:val="00000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4B7958" w:rsidRPr="004B7958" w:rsidRDefault="004B7958" w:rsidP="004B7958">
      <w:pPr>
        <w:autoSpaceDE w:val="0"/>
        <w:autoSpaceDN w:val="0"/>
        <w:adjustRightInd w:val="0"/>
        <w:spacing w:line="360" w:lineRule="auto"/>
        <w:jc w:val="left"/>
        <w:rPr>
          <w:rFonts w:ascii="宋体" w:hAnsi="宋体"/>
          <w:color w:val="000000"/>
          <w:sz w:val="24"/>
        </w:rPr>
      </w:pPr>
      <w:r w:rsidRPr="004B7958">
        <w:rPr>
          <w:rFonts w:ascii="宋体" w:hAnsi="宋体" w:hint="eastAsia"/>
          <w:color w:val="000000"/>
          <w:sz w:val="24"/>
        </w:rPr>
        <w:t>本基金本报告期内投资组合平均剩余存续期未超过240天。</w:t>
      </w:r>
    </w:p>
    <w:p w:rsidR="004B7958" w:rsidRPr="00F046FB" w:rsidRDefault="004B7958" w:rsidP="00F046FB">
      <w:pPr>
        <w:spacing w:line="360" w:lineRule="auto"/>
        <w:rPr>
          <w:rFonts w:ascii="宋体" w:hAnsi="宋体" w:cs="Arial"/>
          <w:b/>
          <w:bCs/>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109,476,298.56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129,734,411.16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4B7958">
        <w:trPr>
          <w:jc w:val="center"/>
        </w:trPr>
        <w:tc>
          <w:tcPr>
            <w:tcW w:w="786" w:type="dxa"/>
            <w:vAlign w:val="center"/>
          </w:tcPr>
          <w:p w:rsidR="00F41AA6" w:rsidRPr="00432A2C" w:rsidRDefault="00F41AA6" w:rsidP="004B7958">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4B7958">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4B7958">
            <w:pPr>
              <w:spacing w:before="29" w:line="288" w:lineRule="auto"/>
              <w:ind w:left="17"/>
              <w:jc w:val="right"/>
              <w:rPr>
                <w:color w:val="000000"/>
                <w:sz w:val="24"/>
              </w:rPr>
            </w:pPr>
            <w:r w:rsidRPr="00432A2C">
              <w:rPr>
                <w:rFonts w:hint="eastAsia"/>
                <w:color w:val="000000"/>
                <w:sz w:val="24"/>
              </w:rPr>
              <w:t>1,650,226,956.04</w:t>
            </w:r>
          </w:p>
        </w:tc>
        <w:tc>
          <w:tcPr>
            <w:tcW w:w="1889" w:type="dxa"/>
            <w:vAlign w:val="center"/>
          </w:tcPr>
          <w:p w:rsidR="00F41AA6" w:rsidRPr="00432A2C" w:rsidRDefault="00F41AA6" w:rsidP="004B7958">
            <w:pPr>
              <w:spacing w:before="29" w:line="288" w:lineRule="auto"/>
              <w:ind w:left="17"/>
              <w:jc w:val="right"/>
              <w:rPr>
                <w:color w:val="000000"/>
                <w:sz w:val="24"/>
              </w:rPr>
            </w:pPr>
            <w:r w:rsidRPr="00432A2C">
              <w:rPr>
                <w:rFonts w:hint="eastAsia"/>
                <w:color w:val="000000"/>
                <w:sz w:val="24"/>
              </w:rPr>
              <w:t>82.22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1,889,437,665.76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94.14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w:t>
            </w:r>
            <w:r w:rsidRPr="000E4C40">
              <w:rPr>
                <w:rFonts w:hAnsi="宋体"/>
                <w:color w:val="000000"/>
                <w:sz w:val="24"/>
              </w:rPr>
              <w:lastRenderedPageBreak/>
              <w:t>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lastRenderedPageBreak/>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51"/>
        <w:gridCol w:w="1288"/>
        <w:gridCol w:w="1828"/>
        <w:gridCol w:w="1216"/>
        <w:gridCol w:w="2149"/>
        <w:gridCol w:w="143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75438">
        <w:trPr>
          <w:jc w:val="center"/>
        </w:trPr>
        <w:tc>
          <w:tcPr>
            <w:tcW w:w="0" w:type="auto"/>
            <w:vAlign w:val="center"/>
          </w:tcPr>
          <w:p w:rsidR="00675438" w:rsidRDefault="004B7958">
            <w:pPr>
              <w:jc w:val="center"/>
            </w:pPr>
            <w:r>
              <w:rPr>
                <w:color w:val="000000"/>
                <w:sz w:val="24"/>
              </w:rPr>
              <w:t>1</w:t>
            </w:r>
          </w:p>
        </w:tc>
        <w:tc>
          <w:tcPr>
            <w:tcW w:w="0" w:type="auto"/>
            <w:vAlign w:val="center"/>
          </w:tcPr>
          <w:p w:rsidR="00675438" w:rsidRDefault="004B7958">
            <w:pPr>
              <w:jc w:val="center"/>
            </w:pPr>
            <w:r>
              <w:rPr>
                <w:color w:val="000000"/>
                <w:sz w:val="24"/>
              </w:rPr>
              <w:t>111718006</w:t>
            </w:r>
          </w:p>
        </w:tc>
        <w:tc>
          <w:tcPr>
            <w:tcW w:w="0" w:type="auto"/>
            <w:vAlign w:val="center"/>
          </w:tcPr>
          <w:p w:rsidR="00675438" w:rsidRDefault="004B7958">
            <w:pPr>
              <w:jc w:val="center"/>
            </w:pPr>
            <w:r>
              <w:rPr>
                <w:color w:val="000000"/>
                <w:sz w:val="24"/>
              </w:rPr>
              <w:t>17</w:t>
            </w:r>
            <w:r>
              <w:rPr>
                <w:color w:val="000000"/>
                <w:sz w:val="24"/>
              </w:rPr>
              <w:t>华夏银行</w:t>
            </w:r>
            <w:r>
              <w:rPr>
                <w:color w:val="000000"/>
                <w:sz w:val="24"/>
              </w:rPr>
              <w:t>CD006</w:t>
            </w:r>
          </w:p>
        </w:tc>
        <w:tc>
          <w:tcPr>
            <w:tcW w:w="0" w:type="auto"/>
            <w:vAlign w:val="center"/>
          </w:tcPr>
          <w:p w:rsidR="00675438" w:rsidRDefault="004B7958">
            <w:pPr>
              <w:jc w:val="right"/>
            </w:pPr>
            <w:r>
              <w:rPr>
                <w:color w:val="000000"/>
                <w:sz w:val="24"/>
              </w:rPr>
              <w:t>4,000,000</w:t>
            </w:r>
          </w:p>
        </w:tc>
        <w:tc>
          <w:tcPr>
            <w:tcW w:w="0" w:type="auto"/>
            <w:vAlign w:val="center"/>
          </w:tcPr>
          <w:p w:rsidR="00675438" w:rsidRDefault="004B7958">
            <w:pPr>
              <w:jc w:val="right"/>
            </w:pPr>
            <w:r>
              <w:rPr>
                <w:color w:val="000000"/>
                <w:sz w:val="24"/>
              </w:rPr>
              <w:t>398,957,630.19</w:t>
            </w:r>
          </w:p>
        </w:tc>
        <w:tc>
          <w:tcPr>
            <w:tcW w:w="0" w:type="auto"/>
            <w:vAlign w:val="center"/>
          </w:tcPr>
          <w:p w:rsidR="00675438" w:rsidRDefault="004B7958">
            <w:pPr>
              <w:jc w:val="right"/>
            </w:pPr>
            <w:r>
              <w:rPr>
                <w:color w:val="000000"/>
                <w:sz w:val="24"/>
              </w:rPr>
              <w:t>19.88</w:t>
            </w:r>
          </w:p>
        </w:tc>
      </w:tr>
      <w:tr w:rsidR="00675438">
        <w:trPr>
          <w:jc w:val="center"/>
        </w:trPr>
        <w:tc>
          <w:tcPr>
            <w:tcW w:w="0" w:type="auto"/>
            <w:vAlign w:val="center"/>
          </w:tcPr>
          <w:p w:rsidR="00675438" w:rsidRDefault="004B7958">
            <w:pPr>
              <w:jc w:val="center"/>
            </w:pPr>
            <w:r>
              <w:rPr>
                <w:color w:val="000000"/>
                <w:sz w:val="24"/>
              </w:rPr>
              <w:t>2</w:t>
            </w:r>
          </w:p>
        </w:tc>
        <w:tc>
          <w:tcPr>
            <w:tcW w:w="0" w:type="auto"/>
            <w:vAlign w:val="center"/>
          </w:tcPr>
          <w:p w:rsidR="00675438" w:rsidRDefault="004B7958">
            <w:pPr>
              <w:jc w:val="center"/>
            </w:pPr>
            <w:r>
              <w:rPr>
                <w:color w:val="000000"/>
                <w:sz w:val="24"/>
              </w:rPr>
              <w:t>111716004</w:t>
            </w:r>
          </w:p>
        </w:tc>
        <w:tc>
          <w:tcPr>
            <w:tcW w:w="0" w:type="auto"/>
            <w:vAlign w:val="center"/>
          </w:tcPr>
          <w:p w:rsidR="00675438" w:rsidRDefault="004B7958">
            <w:pPr>
              <w:jc w:val="center"/>
            </w:pPr>
            <w:r>
              <w:rPr>
                <w:color w:val="000000"/>
                <w:sz w:val="24"/>
              </w:rPr>
              <w:t>17</w:t>
            </w:r>
            <w:r>
              <w:rPr>
                <w:color w:val="000000"/>
                <w:sz w:val="24"/>
              </w:rPr>
              <w:t>上海银行</w:t>
            </w:r>
            <w:r>
              <w:rPr>
                <w:color w:val="000000"/>
                <w:sz w:val="24"/>
              </w:rPr>
              <w:t>CD004</w:t>
            </w:r>
          </w:p>
        </w:tc>
        <w:tc>
          <w:tcPr>
            <w:tcW w:w="0" w:type="auto"/>
            <w:vAlign w:val="center"/>
          </w:tcPr>
          <w:p w:rsidR="00675438" w:rsidRDefault="004B7958">
            <w:pPr>
              <w:jc w:val="right"/>
            </w:pPr>
            <w:r>
              <w:rPr>
                <w:color w:val="000000"/>
                <w:sz w:val="24"/>
              </w:rPr>
              <w:t>4,000,000</w:t>
            </w:r>
          </w:p>
        </w:tc>
        <w:tc>
          <w:tcPr>
            <w:tcW w:w="0" w:type="auto"/>
            <w:vAlign w:val="center"/>
          </w:tcPr>
          <w:p w:rsidR="00675438" w:rsidRDefault="004B7958">
            <w:pPr>
              <w:jc w:val="right"/>
            </w:pPr>
            <w:r>
              <w:rPr>
                <w:color w:val="000000"/>
                <w:sz w:val="24"/>
              </w:rPr>
              <w:t>395,215,205.85</w:t>
            </w:r>
          </w:p>
        </w:tc>
        <w:tc>
          <w:tcPr>
            <w:tcW w:w="0" w:type="auto"/>
            <w:vAlign w:val="center"/>
          </w:tcPr>
          <w:p w:rsidR="00675438" w:rsidRDefault="004B7958">
            <w:pPr>
              <w:jc w:val="right"/>
            </w:pPr>
            <w:r>
              <w:rPr>
                <w:color w:val="000000"/>
                <w:sz w:val="24"/>
              </w:rPr>
              <w:t>19.69</w:t>
            </w:r>
          </w:p>
        </w:tc>
      </w:tr>
      <w:tr w:rsidR="00675438">
        <w:trPr>
          <w:jc w:val="center"/>
        </w:trPr>
        <w:tc>
          <w:tcPr>
            <w:tcW w:w="0" w:type="auto"/>
            <w:vAlign w:val="center"/>
          </w:tcPr>
          <w:p w:rsidR="00675438" w:rsidRDefault="004B7958">
            <w:pPr>
              <w:jc w:val="center"/>
            </w:pPr>
            <w:r>
              <w:rPr>
                <w:color w:val="000000"/>
                <w:sz w:val="24"/>
              </w:rPr>
              <w:t>3</w:t>
            </w:r>
          </w:p>
        </w:tc>
        <w:tc>
          <w:tcPr>
            <w:tcW w:w="0" w:type="auto"/>
            <w:vAlign w:val="center"/>
          </w:tcPr>
          <w:p w:rsidR="00675438" w:rsidRDefault="004B7958">
            <w:pPr>
              <w:jc w:val="center"/>
            </w:pPr>
            <w:r>
              <w:rPr>
                <w:color w:val="000000"/>
                <w:sz w:val="24"/>
              </w:rPr>
              <w:t>111615258</w:t>
            </w:r>
          </w:p>
        </w:tc>
        <w:tc>
          <w:tcPr>
            <w:tcW w:w="0" w:type="auto"/>
            <w:vAlign w:val="center"/>
          </w:tcPr>
          <w:p w:rsidR="00675438" w:rsidRDefault="004B7958">
            <w:pPr>
              <w:jc w:val="center"/>
            </w:pPr>
            <w:r>
              <w:rPr>
                <w:color w:val="000000"/>
                <w:sz w:val="24"/>
              </w:rPr>
              <w:t>16</w:t>
            </w:r>
            <w:r>
              <w:rPr>
                <w:color w:val="000000"/>
                <w:sz w:val="24"/>
              </w:rPr>
              <w:t>民生</w:t>
            </w:r>
            <w:r>
              <w:rPr>
                <w:color w:val="000000"/>
                <w:sz w:val="24"/>
              </w:rPr>
              <w:t>CD258</w:t>
            </w:r>
          </w:p>
        </w:tc>
        <w:tc>
          <w:tcPr>
            <w:tcW w:w="0" w:type="auto"/>
            <w:vAlign w:val="center"/>
          </w:tcPr>
          <w:p w:rsidR="00675438" w:rsidRDefault="004B7958">
            <w:pPr>
              <w:jc w:val="right"/>
            </w:pPr>
            <w:r>
              <w:rPr>
                <w:color w:val="000000"/>
                <w:sz w:val="24"/>
              </w:rPr>
              <w:t>4,000,000</w:t>
            </w:r>
          </w:p>
        </w:tc>
        <w:tc>
          <w:tcPr>
            <w:tcW w:w="0" w:type="auto"/>
            <w:vAlign w:val="center"/>
          </w:tcPr>
          <w:p w:rsidR="00675438" w:rsidRDefault="004B7958">
            <w:pPr>
              <w:jc w:val="right"/>
            </w:pPr>
            <w:r>
              <w:rPr>
                <w:color w:val="000000"/>
                <w:sz w:val="24"/>
              </w:rPr>
              <w:t>391,845,051.54</w:t>
            </w:r>
          </w:p>
        </w:tc>
        <w:tc>
          <w:tcPr>
            <w:tcW w:w="0" w:type="auto"/>
            <w:vAlign w:val="center"/>
          </w:tcPr>
          <w:p w:rsidR="00675438" w:rsidRDefault="004B7958">
            <w:pPr>
              <w:jc w:val="right"/>
            </w:pPr>
            <w:r>
              <w:rPr>
                <w:color w:val="000000"/>
                <w:sz w:val="24"/>
              </w:rPr>
              <w:t>19.52</w:t>
            </w:r>
          </w:p>
        </w:tc>
      </w:tr>
      <w:tr w:rsidR="00675438">
        <w:trPr>
          <w:jc w:val="center"/>
        </w:trPr>
        <w:tc>
          <w:tcPr>
            <w:tcW w:w="0" w:type="auto"/>
            <w:vAlign w:val="center"/>
          </w:tcPr>
          <w:p w:rsidR="00675438" w:rsidRDefault="004B7958">
            <w:pPr>
              <w:jc w:val="center"/>
            </w:pPr>
            <w:r>
              <w:rPr>
                <w:color w:val="000000"/>
                <w:sz w:val="24"/>
              </w:rPr>
              <w:t>4</w:t>
            </w:r>
          </w:p>
        </w:tc>
        <w:tc>
          <w:tcPr>
            <w:tcW w:w="0" w:type="auto"/>
            <w:vAlign w:val="center"/>
          </w:tcPr>
          <w:p w:rsidR="00675438" w:rsidRDefault="004B7958">
            <w:pPr>
              <w:jc w:val="center"/>
            </w:pPr>
            <w:r>
              <w:rPr>
                <w:color w:val="000000"/>
                <w:sz w:val="24"/>
              </w:rPr>
              <w:t>111609249</w:t>
            </w:r>
          </w:p>
        </w:tc>
        <w:tc>
          <w:tcPr>
            <w:tcW w:w="0" w:type="auto"/>
            <w:vAlign w:val="center"/>
          </w:tcPr>
          <w:p w:rsidR="00675438" w:rsidRDefault="004B7958">
            <w:pPr>
              <w:jc w:val="center"/>
            </w:pPr>
            <w:r>
              <w:rPr>
                <w:color w:val="000000"/>
                <w:sz w:val="24"/>
              </w:rPr>
              <w:t>16</w:t>
            </w:r>
            <w:r>
              <w:rPr>
                <w:color w:val="000000"/>
                <w:sz w:val="24"/>
              </w:rPr>
              <w:t>浦发</w:t>
            </w:r>
            <w:r>
              <w:rPr>
                <w:color w:val="000000"/>
                <w:sz w:val="24"/>
              </w:rPr>
              <w:t>CD249</w:t>
            </w:r>
          </w:p>
        </w:tc>
        <w:tc>
          <w:tcPr>
            <w:tcW w:w="0" w:type="auto"/>
            <w:vAlign w:val="center"/>
          </w:tcPr>
          <w:p w:rsidR="00675438" w:rsidRDefault="004B7958">
            <w:pPr>
              <w:jc w:val="right"/>
            </w:pPr>
            <w:r>
              <w:rPr>
                <w:color w:val="000000"/>
                <w:sz w:val="24"/>
              </w:rPr>
              <w:t>3,250,000</w:t>
            </w:r>
          </w:p>
        </w:tc>
        <w:tc>
          <w:tcPr>
            <w:tcW w:w="0" w:type="auto"/>
            <w:vAlign w:val="center"/>
          </w:tcPr>
          <w:p w:rsidR="00675438" w:rsidRDefault="004B7958">
            <w:pPr>
              <w:jc w:val="right"/>
            </w:pPr>
            <w:r>
              <w:rPr>
                <w:color w:val="000000"/>
                <w:sz w:val="24"/>
              </w:rPr>
              <w:t>321,508,359.66</w:t>
            </w:r>
          </w:p>
        </w:tc>
        <w:tc>
          <w:tcPr>
            <w:tcW w:w="0" w:type="auto"/>
            <w:vAlign w:val="center"/>
          </w:tcPr>
          <w:p w:rsidR="00675438" w:rsidRDefault="004B7958">
            <w:pPr>
              <w:jc w:val="right"/>
            </w:pPr>
            <w:r>
              <w:rPr>
                <w:color w:val="000000"/>
                <w:sz w:val="24"/>
              </w:rPr>
              <w:t>16.02</w:t>
            </w:r>
          </w:p>
        </w:tc>
      </w:tr>
      <w:tr w:rsidR="00675438">
        <w:trPr>
          <w:jc w:val="center"/>
        </w:trPr>
        <w:tc>
          <w:tcPr>
            <w:tcW w:w="0" w:type="auto"/>
            <w:vAlign w:val="center"/>
          </w:tcPr>
          <w:p w:rsidR="00675438" w:rsidRDefault="004B7958">
            <w:pPr>
              <w:jc w:val="center"/>
            </w:pPr>
            <w:r>
              <w:rPr>
                <w:color w:val="000000"/>
                <w:sz w:val="24"/>
              </w:rPr>
              <w:t>5</w:t>
            </w:r>
          </w:p>
        </w:tc>
        <w:tc>
          <w:tcPr>
            <w:tcW w:w="0" w:type="auto"/>
            <w:vAlign w:val="center"/>
          </w:tcPr>
          <w:p w:rsidR="00675438" w:rsidRDefault="004B7958">
            <w:pPr>
              <w:jc w:val="center"/>
            </w:pPr>
            <w:r>
              <w:rPr>
                <w:color w:val="000000"/>
                <w:sz w:val="24"/>
              </w:rPr>
              <w:t>011698824</w:t>
            </w:r>
          </w:p>
        </w:tc>
        <w:tc>
          <w:tcPr>
            <w:tcW w:w="0" w:type="auto"/>
            <w:vAlign w:val="center"/>
          </w:tcPr>
          <w:p w:rsidR="00675438" w:rsidRDefault="004B7958">
            <w:pPr>
              <w:jc w:val="center"/>
            </w:pPr>
            <w:r>
              <w:rPr>
                <w:color w:val="000000"/>
                <w:sz w:val="24"/>
              </w:rPr>
              <w:t>16</w:t>
            </w:r>
            <w:r>
              <w:rPr>
                <w:color w:val="000000"/>
                <w:sz w:val="24"/>
              </w:rPr>
              <w:t>联通</w:t>
            </w:r>
            <w:r>
              <w:rPr>
                <w:color w:val="000000"/>
                <w:sz w:val="24"/>
              </w:rPr>
              <w:t>SCP005</w:t>
            </w:r>
          </w:p>
        </w:tc>
        <w:tc>
          <w:tcPr>
            <w:tcW w:w="0" w:type="auto"/>
            <w:vAlign w:val="center"/>
          </w:tcPr>
          <w:p w:rsidR="00675438" w:rsidRDefault="004B7958">
            <w:pPr>
              <w:jc w:val="right"/>
            </w:pPr>
            <w:r>
              <w:rPr>
                <w:color w:val="000000"/>
                <w:sz w:val="24"/>
              </w:rPr>
              <w:t>1,300,000</w:t>
            </w:r>
          </w:p>
        </w:tc>
        <w:tc>
          <w:tcPr>
            <w:tcW w:w="0" w:type="auto"/>
            <w:vAlign w:val="center"/>
          </w:tcPr>
          <w:p w:rsidR="00675438" w:rsidRDefault="004B7958">
            <w:pPr>
              <w:jc w:val="right"/>
            </w:pPr>
            <w:r>
              <w:rPr>
                <w:color w:val="000000"/>
                <w:sz w:val="24"/>
              </w:rPr>
              <w:t>129,734,411.16</w:t>
            </w:r>
          </w:p>
        </w:tc>
        <w:tc>
          <w:tcPr>
            <w:tcW w:w="0" w:type="auto"/>
            <w:vAlign w:val="center"/>
          </w:tcPr>
          <w:p w:rsidR="00675438" w:rsidRDefault="004B7958">
            <w:pPr>
              <w:jc w:val="right"/>
            </w:pPr>
            <w:r>
              <w:rPr>
                <w:color w:val="000000"/>
                <w:sz w:val="24"/>
              </w:rPr>
              <w:t>6.46</w:t>
            </w:r>
          </w:p>
        </w:tc>
      </w:tr>
      <w:tr w:rsidR="00675438">
        <w:trPr>
          <w:jc w:val="center"/>
        </w:trPr>
        <w:tc>
          <w:tcPr>
            <w:tcW w:w="0" w:type="auto"/>
            <w:vAlign w:val="center"/>
          </w:tcPr>
          <w:p w:rsidR="00675438" w:rsidRDefault="004B7958">
            <w:pPr>
              <w:jc w:val="center"/>
            </w:pPr>
            <w:r>
              <w:rPr>
                <w:color w:val="000000"/>
                <w:sz w:val="24"/>
              </w:rPr>
              <w:t>6</w:t>
            </w:r>
          </w:p>
        </w:tc>
        <w:tc>
          <w:tcPr>
            <w:tcW w:w="0" w:type="auto"/>
            <w:vAlign w:val="center"/>
          </w:tcPr>
          <w:p w:rsidR="00675438" w:rsidRDefault="004B7958">
            <w:pPr>
              <w:jc w:val="center"/>
            </w:pPr>
            <w:r>
              <w:rPr>
                <w:color w:val="000000"/>
                <w:sz w:val="24"/>
              </w:rPr>
              <w:t>020166</w:t>
            </w:r>
          </w:p>
        </w:tc>
        <w:tc>
          <w:tcPr>
            <w:tcW w:w="0" w:type="auto"/>
            <w:vAlign w:val="center"/>
          </w:tcPr>
          <w:p w:rsidR="00675438" w:rsidRDefault="004B7958">
            <w:pPr>
              <w:jc w:val="center"/>
            </w:pPr>
            <w:r>
              <w:rPr>
                <w:color w:val="000000"/>
                <w:sz w:val="24"/>
              </w:rPr>
              <w:t>17</w:t>
            </w:r>
            <w:r>
              <w:rPr>
                <w:color w:val="000000"/>
                <w:sz w:val="24"/>
              </w:rPr>
              <w:t>贴债</w:t>
            </w:r>
            <w:r>
              <w:rPr>
                <w:color w:val="000000"/>
                <w:sz w:val="24"/>
              </w:rPr>
              <w:t>10</w:t>
            </w:r>
          </w:p>
        </w:tc>
        <w:tc>
          <w:tcPr>
            <w:tcW w:w="0" w:type="auto"/>
            <w:vAlign w:val="center"/>
          </w:tcPr>
          <w:p w:rsidR="00675438" w:rsidRDefault="004B7958">
            <w:pPr>
              <w:jc w:val="right"/>
            </w:pPr>
            <w:r>
              <w:rPr>
                <w:color w:val="000000"/>
                <w:sz w:val="24"/>
              </w:rPr>
              <w:t>1,100,000</w:t>
            </w:r>
          </w:p>
        </w:tc>
        <w:tc>
          <w:tcPr>
            <w:tcW w:w="0" w:type="auto"/>
            <w:vAlign w:val="center"/>
          </w:tcPr>
          <w:p w:rsidR="00675438" w:rsidRDefault="004B7958">
            <w:pPr>
              <w:jc w:val="right"/>
            </w:pPr>
            <w:r>
              <w:rPr>
                <w:color w:val="000000"/>
                <w:sz w:val="24"/>
              </w:rPr>
              <w:t>109,476,298.56</w:t>
            </w:r>
          </w:p>
        </w:tc>
        <w:tc>
          <w:tcPr>
            <w:tcW w:w="0" w:type="auto"/>
            <w:vAlign w:val="center"/>
          </w:tcPr>
          <w:p w:rsidR="00675438" w:rsidRDefault="004B7958">
            <w:pPr>
              <w:jc w:val="right"/>
            </w:pPr>
            <w:r>
              <w:rPr>
                <w:color w:val="000000"/>
                <w:sz w:val="24"/>
              </w:rPr>
              <w:t>5.45</w:t>
            </w:r>
          </w:p>
        </w:tc>
      </w:tr>
      <w:tr w:rsidR="00675438">
        <w:trPr>
          <w:jc w:val="center"/>
        </w:trPr>
        <w:tc>
          <w:tcPr>
            <w:tcW w:w="0" w:type="auto"/>
            <w:vAlign w:val="center"/>
          </w:tcPr>
          <w:p w:rsidR="00675438" w:rsidRDefault="004B7958">
            <w:pPr>
              <w:jc w:val="center"/>
            </w:pPr>
            <w:r>
              <w:rPr>
                <w:color w:val="000000"/>
                <w:sz w:val="24"/>
              </w:rPr>
              <w:t>7</w:t>
            </w:r>
          </w:p>
        </w:tc>
        <w:tc>
          <w:tcPr>
            <w:tcW w:w="0" w:type="auto"/>
            <w:vAlign w:val="center"/>
          </w:tcPr>
          <w:p w:rsidR="00675438" w:rsidRDefault="004B7958">
            <w:pPr>
              <w:jc w:val="center"/>
            </w:pPr>
            <w:r>
              <w:rPr>
                <w:color w:val="000000"/>
                <w:sz w:val="24"/>
              </w:rPr>
              <w:t>111609260</w:t>
            </w:r>
          </w:p>
        </w:tc>
        <w:tc>
          <w:tcPr>
            <w:tcW w:w="0" w:type="auto"/>
            <w:vAlign w:val="center"/>
          </w:tcPr>
          <w:p w:rsidR="00675438" w:rsidRDefault="004B7958">
            <w:pPr>
              <w:jc w:val="center"/>
            </w:pPr>
            <w:r>
              <w:rPr>
                <w:color w:val="000000"/>
                <w:sz w:val="24"/>
              </w:rPr>
              <w:t>16</w:t>
            </w:r>
            <w:r>
              <w:rPr>
                <w:color w:val="000000"/>
                <w:sz w:val="24"/>
              </w:rPr>
              <w:t>浦发</w:t>
            </w:r>
            <w:r>
              <w:rPr>
                <w:color w:val="000000"/>
                <w:sz w:val="24"/>
              </w:rPr>
              <w:t>CD260</w:t>
            </w:r>
          </w:p>
        </w:tc>
        <w:tc>
          <w:tcPr>
            <w:tcW w:w="0" w:type="auto"/>
            <w:vAlign w:val="center"/>
          </w:tcPr>
          <w:p w:rsidR="00675438" w:rsidRDefault="004B7958">
            <w:pPr>
              <w:jc w:val="right"/>
            </w:pPr>
            <w:r>
              <w:rPr>
                <w:color w:val="000000"/>
                <w:sz w:val="24"/>
              </w:rPr>
              <w:t>750,000</w:t>
            </w:r>
          </w:p>
        </w:tc>
        <w:tc>
          <w:tcPr>
            <w:tcW w:w="0" w:type="auto"/>
            <w:vAlign w:val="center"/>
          </w:tcPr>
          <w:p w:rsidR="00675438" w:rsidRDefault="004B7958">
            <w:pPr>
              <w:jc w:val="right"/>
            </w:pPr>
            <w:r>
              <w:rPr>
                <w:color w:val="000000"/>
                <w:sz w:val="24"/>
              </w:rPr>
              <w:t>74,144,973.44</w:t>
            </w:r>
          </w:p>
        </w:tc>
        <w:tc>
          <w:tcPr>
            <w:tcW w:w="0" w:type="auto"/>
            <w:vAlign w:val="center"/>
          </w:tcPr>
          <w:p w:rsidR="00675438" w:rsidRDefault="004B7958">
            <w:pPr>
              <w:jc w:val="right"/>
            </w:pPr>
            <w:r>
              <w:rPr>
                <w:color w:val="000000"/>
                <w:sz w:val="24"/>
              </w:rPr>
              <w:t>3.69</w:t>
            </w:r>
          </w:p>
        </w:tc>
      </w:tr>
      <w:tr w:rsidR="00675438">
        <w:trPr>
          <w:jc w:val="center"/>
        </w:trPr>
        <w:tc>
          <w:tcPr>
            <w:tcW w:w="0" w:type="auto"/>
            <w:vAlign w:val="center"/>
          </w:tcPr>
          <w:p w:rsidR="00675438" w:rsidRDefault="004B7958">
            <w:pPr>
              <w:jc w:val="center"/>
            </w:pPr>
            <w:r>
              <w:rPr>
                <w:color w:val="000000"/>
                <w:sz w:val="24"/>
              </w:rPr>
              <w:t>8</w:t>
            </w:r>
          </w:p>
        </w:tc>
        <w:tc>
          <w:tcPr>
            <w:tcW w:w="0" w:type="auto"/>
            <w:vAlign w:val="center"/>
          </w:tcPr>
          <w:p w:rsidR="00675438" w:rsidRDefault="004B7958">
            <w:pPr>
              <w:jc w:val="center"/>
            </w:pPr>
            <w:r>
              <w:rPr>
                <w:color w:val="000000"/>
                <w:sz w:val="24"/>
              </w:rPr>
              <w:t>111617232</w:t>
            </w:r>
          </w:p>
        </w:tc>
        <w:tc>
          <w:tcPr>
            <w:tcW w:w="0" w:type="auto"/>
            <w:vAlign w:val="center"/>
          </w:tcPr>
          <w:p w:rsidR="00675438" w:rsidRDefault="004B7958">
            <w:pPr>
              <w:jc w:val="center"/>
            </w:pPr>
            <w:r>
              <w:rPr>
                <w:color w:val="000000"/>
                <w:sz w:val="24"/>
              </w:rPr>
              <w:t>16</w:t>
            </w:r>
            <w:r>
              <w:rPr>
                <w:color w:val="000000"/>
                <w:sz w:val="24"/>
              </w:rPr>
              <w:t>光大</w:t>
            </w:r>
            <w:r>
              <w:rPr>
                <w:color w:val="000000"/>
                <w:sz w:val="24"/>
              </w:rPr>
              <w:t>CD232</w:t>
            </w:r>
          </w:p>
        </w:tc>
        <w:tc>
          <w:tcPr>
            <w:tcW w:w="0" w:type="auto"/>
            <w:vAlign w:val="center"/>
          </w:tcPr>
          <w:p w:rsidR="00675438" w:rsidRDefault="004B7958">
            <w:pPr>
              <w:jc w:val="right"/>
            </w:pPr>
            <w:r>
              <w:rPr>
                <w:color w:val="000000"/>
                <w:sz w:val="24"/>
              </w:rPr>
              <w:t>700,000</w:t>
            </w:r>
          </w:p>
        </w:tc>
        <w:tc>
          <w:tcPr>
            <w:tcW w:w="0" w:type="auto"/>
            <w:vAlign w:val="center"/>
          </w:tcPr>
          <w:p w:rsidR="00675438" w:rsidRDefault="004B7958">
            <w:pPr>
              <w:jc w:val="right"/>
            </w:pPr>
            <w:r>
              <w:rPr>
                <w:color w:val="000000"/>
                <w:sz w:val="24"/>
              </w:rPr>
              <w:t>68,555,735.36</w:t>
            </w:r>
          </w:p>
        </w:tc>
        <w:tc>
          <w:tcPr>
            <w:tcW w:w="0" w:type="auto"/>
            <w:vAlign w:val="center"/>
          </w:tcPr>
          <w:p w:rsidR="00675438" w:rsidRDefault="004B7958">
            <w:pPr>
              <w:jc w:val="right"/>
            </w:pPr>
            <w:r>
              <w:rPr>
                <w:color w:val="000000"/>
                <w:sz w:val="24"/>
              </w:rPr>
              <w:t>3.42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-0.0032%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-0.0805%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4B7958" w:rsidP="00281564">
            <w:pPr>
              <w:spacing w:before="29" w:line="288" w:lineRule="auto"/>
              <w:jc w:val="right"/>
              <w:rPr>
                <w:sz w:val="24"/>
              </w:rPr>
            </w:pPr>
            <w:r w:rsidRPr="004B7958">
              <w:rPr>
                <w:color w:val="000000"/>
                <w:sz w:val="24"/>
              </w:rPr>
              <w:t>0.0093%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Default="002304D5" w:rsidP="002304D5">
      <w:pPr>
        <w:spacing w:line="360" w:lineRule="auto"/>
        <w:rPr>
          <w:rFonts w:ascii="宋体" w:hAnsi="宋体"/>
          <w:b/>
          <w:bCs/>
          <w:color w:val="000000"/>
          <w:sz w:val="24"/>
        </w:rPr>
      </w:pPr>
      <w:r w:rsidRPr="002304D5">
        <w:rPr>
          <w:rFonts w:ascii="宋体" w:hAnsi="宋体" w:hint="eastAsia"/>
          <w:b/>
          <w:bCs/>
          <w:color w:val="000000"/>
          <w:sz w:val="24"/>
        </w:rPr>
        <w:t>报告期内负偏离度的绝对值达到0.25%情况说明</w:t>
      </w:r>
    </w:p>
    <w:p w:rsidR="004B7958" w:rsidRPr="004B7958" w:rsidRDefault="004B7958" w:rsidP="004B7958">
      <w:pPr>
        <w:autoSpaceDE w:val="0"/>
        <w:autoSpaceDN w:val="0"/>
        <w:adjustRightInd w:val="0"/>
        <w:spacing w:line="360" w:lineRule="auto"/>
        <w:jc w:val="left"/>
        <w:rPr>
          <w:color w:val="000000"/>
          <w:sz w:val="24"/>
        </w:rPr>
      </w:pPr>
      <w:r w:rsidRPr="004B7958">
        <w:rPr>
          <w:color w:val="000000"/>
          <w:sz w:val="24"/>
        </w:rPr>
        <w:t>本基金本报告期内未存在负偏离度的绝对值达到</w:t>
      </w:r>
      <w:r w:rsidRPr="004B7958">
        <w:rPr>
          <w:color w:val="000000"/>
          <w:sz w:val="24"/>
        </w:rPr>
        <w:t>0.25%</w:t>
      </w:r>
      <w:r w:rsidRPr="004B7958">
        <w:rPr>
          <w:color w:val="000000"/>
          <w:sz w:val="24"/>
        </w:rPr>
        <w:t>情况。</w:t>
      </w:r>
    </w:p>
    <w:p w:rsidR="004B7958" w:rsidRPr="004B7958" w:rsidRDefault="004B7958" w:rsidP="002304D5">
      <w:pPr>
        <w:spacing w:line="360" w:lineRule="auto"/>
        <w:rPr>
          <w:rFonts w:ascii="宋体" w:hAnsi="宋体" w:cs="Arial"/>
          <w:b/>
          <w:bCs/>
          <w:color w:val="000000"/>
          <w:kern w:val="0"/>
          <w:sz w:val="24"/>
        </w:rPr>
      </w:pPr>
    </w:p>
    <w:p w:rsidR="002304D5" w:rsidRPr="004B7958" w:rsidRDefault="002304D5" w:rsidP="002304D5">
      <w:pPr>
        <w:spacing w:line="360" w:lineRule="auto"/>
        <w:rPr>
          <w:rFonts w:ascii="宋体" w:hAnsi="宋体"/>
          <w:b/>
          <w:bCs/>
          <w:color w:val="000000"/>
          <w:sz w:val="24"/>
        </w:rPr>
      </w:pPr>
      <w:r w:rsidRPr="004B7958">
        <w:rPr>
          <w:rFonts w:ascii="宋体" w:hAnsi="宋体" w:hint="eastAsia"/>
          <w:b/>
          <w:bCs/>
          <w:color w:val="000000"/>
          <w:sz w:val="24"/>
        </w:rPr>
        <w:t>报告期内正偏离度的绝对值达到0.5%情况说明</w:t>
      </w:r>
    </w:p>
    <w:p w:rsidR="004B7958" w:rsidRPr="002304D5" w:rsidRDefault="004B7958" w:rsidP="004B7958">
      <w:pPr>
        <w:autoSpaceDE w:val="0"/>
        <w:autoSpaceDN w:val="0"/>
        <w:adjustRightInd w:val="0"/>
        <w:spacing w:line="360" w:lineRule="auto"/>
        <w:jc w:val="left"/>
        <w:rPr>
          <w:color w:val="000000"/>
          <w:sz w:val="24"/>
        </w:rPr>
      </w:pPr>
      <w:r w:rsidRPr="004B7958">
        <w:rPr>
          <w:color w:val="000000"/>
          <w:sz w:val="24"/>
        </w:rPr>
        <w:t>本基金本报告期内未存在正偏离度的绝对值达到</w:t>
      </w:r>
      <w:r w:rsidRPr="004B7958">
        <w:rPr>
          <w:color w:val="000000"/>
          <w:sz w:val="24"/>
        </w:rPr>
        <w:t>0.5%</w:t>
      </w:r>
      <w:r w:rsidRPr="004B7958">
        <w:rPr>
          <w:color w:val="000000"/>
          <w:sz w:val="24"/>
        </w:rPr>
        <w:t>情况。</w:t>
      </w:r>
    </w:p>
    <w:p w:rsidR="004B7958" w:rsidRPr="004B7958" w:rsidRDefault="004B7958" w:rsidP="002304D5">
      <w:pPr>
        <w:spacing w:line="360" w:lineRule="auto"/>
        <w:rPr>
          <w:rFonts w:ascii="宋体" w:hAnsi="宋体" w:cs="Arial"/>
          <w:b/>
          <w:bCs/>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w:t>
      </w:r>
      <w:r w:rsidR="00902E3F" w:rsidRPr="000E4C40">
        <w:rPr>
          <w:rFonts w:hAnsi="宋体"/>
          <w:b/>
          <w:color w:val="000000"/>
          <w:kern w:val="0"/>
          <w:sz w:val="24"/>
        </w:rPr>
        <w:lastRenderedPageBreak/>
        <w:t>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C44BC3" w:rsidRPr="00A624DB" w:rsidRDefault="00C44BC3" w:rsidP="00C44BC3">
      <w:pPr>
        <w:spacing w:before="29" w:line="288" w:lineRule="auto"/>
        <w:rPr>
          <w:sz w:val="24"/>
        </w:rPr>
      </w:pPr>
      <w:r w:rsidRPr="00A624DB">
        <w:rPr>
          <w:rFonts w:hint="eastAsia"/>
          <w:sz w:val="24"/>
        </w:rPr>
        <w:t>本基金采用摊余成本法计价，即计价对象以买入成本列示，按票面利率或商定利率并考虑其买入时的溢价与折价，在其剩余期限内按照实际利率和摊余成本逐日摊销计算损益。</w:t>
      </w:r>
    </w:p>
    <w:p w:rsidR="00C44BC3" w:rsidRPr="00C44BC3" w:rsidRDefault="00C44BC3" w:rsidP="00281564">
      <w:pPr>
        <w:adjustRightInd w:val="0"/>
        <w:spacing w:before="29" w:line="288" w:lineRule="auto"/>
        <w:ind w:left="17"/>
        <w:rPr>
          <w:bCs/>
          <w:sz w:val="24"/>
        </w:rPr>
      </w:pP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1,186,399.49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15,600.00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1,201,999.49</w:t>
            </w:r>
          </w:p>
        </w:tc>
      </w:tr>
    </w:tbl>
    <w:p w:rsidR="00D1705E" w:rsidRDefault="00D1705E" w:rsidP="00281564">
      <w:pPr>
        <w:autoSpaceDE w:val="0"/>
        <w:autoSpaceDN w:val="0"/>
        <w:adjustRightInd w:val="0"/>
        <w:spacing w:before="29" w:line="288" w:lineRule="auto"/>
        <w:jc w:val="left"/>
        <w:rPr>
          <w:color w:val="000000"/>
          <w:sz w:val="24"/>
        </w:rPr>
      </w:pPr>
    </w:p>
    <w:p w:rsidR="004B7958" w:rsidRPr="004B7958" w:rsidRDefault="004B7958" w:rsidP="004B7958">
      <w:pPr>
        <w:spacing w:before="29" w:line="288" w:lineRule="auto"/>
        <w:rPr>
          <w:color w:val="000000"/>
          <w:kern w:val="0"/>
          <w:sz w:val="24"/>
        </w:rPr>
      </w:pPr>
      <w:r w:rsidRPr="004B7958">
        <w:rPr>
          <w:color w:val="000000"/>
          <w:kern w:val="0"/>
          <w:sz w:val="24"/>
        </w:rPr>
        <w:t xml:space="preserve">5.9.4 </w:t>
      </w:r>
      <w:r w:rsidRPr="004B7958">
        <w:rPr>
          <w:rFonts w:hAnsi="宋体"/>
          <w:color w:val="000000"/>
          <w:kern w:val="0"/>
          <w:sz w:val="24"/>
        </w:rPr>
        <w:t>投资组合报告附注的其他文字描述部分</w:t>
      </w:r>
    </w:p>
    <w:p w:rsidR="004B7958" w:rsidRPr="00080589" w:rsidRDefault="004B7958" w:rsidP="004B7958">
      <w:pPr>
        <w:spacing w:before="29" w:line="288" w:lineRule="auto"/>
        <w:rPr>
          <w:color w:val="000000"/>
          <w:sz w:val="24"/>
        </w:rPr>
      </w:pPr>
      <w:r w:rsidRPr="004B7958">
        <w:rPr>
          <w:color w:val="000000"/>
          <w:sz w:val="24"/>
        </w:rPr>
        <w:t>由于四舍五入的原因，分项之和与合计项之间可能存在尾差。</w:t>
      </w:r>
    </w:p>
    <w:p w:rsidR="004B7958" w:rsidRPr="004B7958" w:rsidRDefault="004B7958"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4B7958">
        <w:trPr>
          <w:jc w:val="center"/>
        </w:trPr>
        <w:tc>
          <w:tcPr>
            <w:tcW w:w="3668"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60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60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4B7958">
        <w:trPr>
          <w:jc w:val="center"/>
        </w:trPr>
        <w:tc>
          <w:tcPr>
            <w:tcW w:w="3668"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230,120.24</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200,444,301.68</w:t>
            </w:r>
          </w:p>
        </w:tc>
      </w:tr>
      <w:tr w:rsidR="000417E0" w:rsidRPr="000E4C40" w:rsidTr="004B7958">
        <w:trPr>
          <w:jc w:val="center"/>
        </w:trPr>
        <w:tc>
          <w:tcPr>
            <w:tcW w:w="3668"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5,950,964.62</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2,005,431,743.95</w:t>
            </w:r>
          </w:p>
        </w:tc>
      </w:tr>
      <w:tr w:rsidR="000417E0" w:rsidRPr="000E4C40" w:rsidTr="004B7958">
        <w:trPr>
          <w:jc w:val="center"/>
        </w:trPr>
        <w:tc>
          <w:tcPr>
            <w:tcW w:w="3668"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3,451,111.62</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201,557,572.36</w:t>
            </w:r>
          </w:p>
        </w:tc>
      </w:tr>
      <w:tr w:rsidR="000417E0" w:rsidRPr="000E4C40" w:rsidTr="004B7958">
        <w:trPr>
          <w:jc w:val="center"/>
        </w:trPr>
        <w:tc>
          <w:tcPr>
            <w:tcW w:w="3668"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报告期期末基金份额总额</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2,729,973.24</w:t>
            </w:r>
          </w:p>
        </w:tc>
        <w:tc>
          <w:tcPr>
            <w:tcW w:w="260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2,004,318,473.27</w:t>
            </w:r>
          </w:p>
        </w:tc>
      </w:tr>
    </w:tbl>
    <w:p w:rsidR="004B7958" w:rsidRPr="004B7958" w:rsidRDefault="004B7958" w:rsidP="004B7958">
      <w:pPr>
        <w:autoSpaceDE w:val="0"/>
        <w:autoSpaceDN w:val="0"/>
        <w:adjustRightInd w:val="0"/>
        <w:spacing w:before="29" w:line="288" w:lineRule="auto"/>
        <w:jc w:val="left"/>
        <w:rPr>
          <w:color w:val="000000"/>
          <w:sz w:val="24"/>
        </w:rPr>
      </w:pPr>
      <w:r w:rsidRPr="004B7958">
        <w:rPr>
          <w:color w:val="000000"/>
          <w:sz w:val="24"/>
        </w:rPr>
        <w:t>注：</w:t>
      </w:r>
      <w:r w:rsidRPr="004B7958">
        <w:rPr>
          <w:color w:val="000000"/>
          <w:sz w:val="24"/>
        </w:rPr>
        <w:t>1</w:t>
      </w:r>
      <w:r w:rsidRPr="004B7958">
        <w:rPr>
          <w:color w:val="000000"/>
          <w:sz w:val="24"/>
        </w:rPr>
        <w:t>、如果本报告期间发生转换入、份额类别调整、红利再投业务，则总申购份额中包含该业务；</w:t>
      </w:r>
      <w:r w:rsidRPr="004B7958">
        <w:rPr>
          <w:color w:val="000000"/>
          <w:sz w:val="24"/>
        </w:rPr>
        <w:t xml:space="preserve">     </w:t>
      </w:r>
    </w:p>
    <w:p w:rsidR="004B7958" w:rsidRPr="000E4C40" w:rsidRDefault="004B7958" w:rsidP="004B7958">
      <w:pPr>
        <w:autoSpaceDE w:val="0"/>
        <w:autoSpaceDN w:val="0"/>
        <w:adjustRightInd w:val="0"/>
        <w:spacing w:before="29" w:line="288" w:lineRule="auto"/>
        <w:jc w:val="left"/>
        <w:rPr>
          <w:color w:val="000000"/>
          <w:sz w:val="24"/>
        </w:rPr>
      </w:pPr>
      <w:r w:rsidRPr="004B7958">
        <w:rPr>
          <w:color w:val="000000"/>
          <w:sz w:val="24"/>
        </w:rPr>
        <w:t xml:space="preserve">    2</w:t>
      </w:r>
      <w:r w:rsidRPr="004B7958">
        <w:rPr>
          <w:color w:val="000000"/>
          <w:sz w:val="24"/>
        </w:rPr>
        <w:t>、如果本报告期间发生转换出、份额类别调整业务，则总赎回份额中包含该业务。</w:t>
      </w:r>
    </w:p>
    <w:p w:rsidR="006E2890" w:rsidRDefault="006E2890" w:rsidP="00281564">
      <w:pPr>
        <w:autoSpaceDE w:val="0"/>
        <w:autoSpaceDN w:val="0"/>
        <w:adjustRightInd w:val="0"/>
        <w:spacing w:before="29" w:line="288" w:lineRule="auto"/>
        <w:jc w:val="left"/>
        <w:rPr>
          <w:color w:val="000000"/>
          <w:sz w:val="24"/>
        </w:rPr>
      </w:pPr>
    </w:p>
    <w:p w:rsidR="004B7958" w:rsidRPr="004B7958" w:rsidRDefault="004B7958" w:rsidP="004B7958">
      <w:pPr>
        <w:pStyle w:val="1"/>
        <w:spacing w:beforeLines="100" w:before="312" w:afterLines="100" w:after="312" w:line="288" w:lineRule="auto"/>
        <w:jc w:val="center"/>
        <w:rPr>
          <w:color w:val="000000"/>
          <w:kern w:val="0"/>
          <w:sz w:val="24"/>
          <w:szCs w:val="24"/>
        </w:rPr>
      </w:pPr>
      <w:r w:rsidRPr="004B7958">
        <w:rPr>
          <w:color w:val="000000"/>
          <w:kern w:val="0"/>
          <w:sz w:val="24"/>
          <w:szCs w:val="24"/>
        </w:rPr>
        <w:t xml:space="preserve">§7  </w:t>
      </w:r>
      <w:r w:rsidRPr="004B7958">
        <w:rPr>
          <w:rFonts w:hAnsi="宋体" w:hint="eastAsia"/>
          <w:color w:val="000000"/>
          <w:kern w:val="0"/>
          <w:sz w:val="24"/>
          <w:szCs w:val="24"/>
        </w:rPr>
        <w:t>基金管理人运用固有资金投资本基金交易明细</w:t>
      </w:r>
    </w:p>
    <w:p w:rsidR="000666B4" w:rsidRDefault="000666B4" w:rsidP="000666B4">
      <w:pPr>
        <w:autoSpaceDE w:val="0"/>
        <w:autoSpaceDN w:val="0"/>
        <w:adjustRightInd w:val="0"/>
        <w:spacing w:before="29" w:line="288" w:lineRule="auto"/>
        <w:jc w:val="left"/>
        <w:rPr>
          <w:color w:val="000000"/>
          <w:sz w:val="24"/>
        </w:rPr>
      </w:pPr>
      <w:r w:rsidRPr="000666B4">
        <w:rPr>
          <w:rFonts w:hint="eastAsia"/>
          <w:color w:val="000000"/>
          <w:sz w:val="24"/>
        </w:rPr>
        <w:t>本基金管理人本报告期内未进行本基金的申购、赎回、红利再投等；本基金管理人本报告期末持有本基金份额</w:t>
      </w:r>
      <w:r w:rsidRPr="000666B4">
        <w:rPr>
          <w:color w:val="000000"/>
          <w:sz w:val="24"/>
        </w:rPr>
        <w:t>0.00</w:t>
      </w:r>
      <w:r w:rsidRPr="000666B4">
        <w:rPr>
          <w:rFonts w:hint="eastAsia"/>
          <w:color w:val="000000"/>
          <w:sz w:val="24"/>
        </w:rPr>
        <w:t>份，占本基金期末总份额的</w:t>
      </w:r>
      <w:r w:rsidRPr="000666B4">
        <w:rPr>
          <w:color w:val="000000"/>
          <w:sz w:val="24"/>
        </w:rPr>
        <w:t>0.00%</w:t>
      </w:r>
      <w:r w:rsidRPr="000666B4">
        <w:rPr>
          <w:rFonts w:hint="eastAsia"/>
          <w:color w:val="000000"/>
          <w:sz w:val="24"/>
        </w:rPr>
        <w:t>。</w:t>
      </w:r>
    </w:p>
    <w:p w:rsidR="00E157E3" w:rsidRDefault="00E157E3" w:rsidP="000666B4">
      <w:pPr>
        <w:autoSpaceDE w:val="0"/>
        <w:autoSpaceDN w:val="0"/>
        <w:adjustRightInd w:val="0"/>
        <w:spacing w:before="29" w:line="288" w:lineRule="auto"/>
        <w:jc w:val="left"/>
        <w:rPr>
          <w:color w:val="000000"/>
          <w:sz w:val="24"/>
        </w:rPr>
      </w:pPr>
    </w:p>
    <w:p w:rsidR="00DD7C72" w:rsidRPr="00DD7C72" w:rsidRDefault="00DD7C72" w:rsidP="00DD7C72">
      <w:pPr>
        <w:pStyle w:val="1"/>
        <w:spacing w:beforeLines="100" w:before="312" w:afterLines="100" w:after="312" w:line="288" w:lineRule="auto"/>
        <w:jc w:val="center"/>
        <w:rPr>
          <w:color w:val="000000"/>
          <w:kern w:val="0"/>
          <w:sz w:val="24"/>
          <w:szCs w:val="24"/>
        </w:rPr>
      </w:pPr>
      <w:r w:rsidRPr="00DD7C72">
        <w:rPr>
          <w:color w:val="000000"/>
          <w:kern w:val="0"/>
          <w:sz w:val="24"/>
          <w:szCs w:val="24"/>
        </w:rPr>
        <w:t xml:space="preserve">§8 </w:t>
      </w:r>
      <w:r w:rsidRPr="00DD7C72">
        <w:rPr>
          <w:color w:val="000000"/>
          <w:kern w:val="0"/>
          <w:sz w:val="24"/>
          <w:szCs w:val="24"/>
        </w:rPr>
        <w:t>影响投资者决策的其他重要信息</w:t>
      </w:r>
    </w:p>
    <w:p w:rsidR="00DD7C72" w:rsidRPr="00DD7C72" w:rsidRDefault="00DD7C72" w:rsidP="00DD7C72">
      <w:pPr>
        <w:autoSpaceDE w:val="0"/>
        <w:autoSpaceDN w:val="0"/>
        <w:adjustRightInd w:val="0"/>
        <w:spacing w:before="29" w:line="288" w:lineRule="auto"/>
        <w:jc w:val="left"/>
        <w:rPr>
          <w:b/>
          <w:color w:val="000000"/>
          <w:kern w:val="0"/>
          <w:sz w:val="24"/>
        </w:rPr>
      </w:pPr>
      <w:r w:rsidRPr="00DD7C72">
        <w:rPr>
          <w:b/>
          <w:color w:val="000000"/>
          <w:kern w:val="0"/>
          <w:sz w:val="24"/>
        </w:rPr>
        <w:t>8.</w:t>
      </w:r>
      <w:r w:rsidRPr="00DD7C72">
        <w:rPr>
          <w:rFonts w:hint="eastAsia"/>
          <w:b/>
          <w:color w:val="000000"/>
          <w:kern w:val="0"/>
          <w:sz w:val="24"/>
        </w:rPr>
        <w:t xml:space="preserve">1 </w:t>
      </w:r>
      <w:r w:rsidRPr="00DD7C72">
        <w:rPr>
          <w:rFonts w:hint="eastAsia"/>
          <w:b/>
          <w:color w:val="000000"/>
          <w:kern w:val="0"/>
          <w:sz w:val="24"/>
        </w:rPr>
        <w:t>报告期内单一投资者持有基金份额比例达到或超过</w:t>
      </w:r>
      <w:r w:rsidRPr="00DD7C72">
        <w:rPr>
          <w:rFonts w:hint="eastAsia"/>
          <w:b/>
          <w:color w:val="000000"/>
          <w:kern w:val="0"/>
          <w:sz w:val="24"/>
        </w:rPr>
        <w:t>20%</w:t>
      </w:r>
      <w:r w:rsidRPr="00DD7C72">
        <w:rPr>
          <w:rFonts w:hint="eastAsia"/>
          <w:b/>
          <w:color w:val="000000"/>
          <w:kern w:val="0"/>
          <w:sz w:val="24"/>
        </w:rPr>
        <w:t>的情况</w:t>
      </w:r>
    </w:p>
    <w:tbl>
      <w:tblPr>
        <w:tblStyle w:val="a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DD7C72" w:rsidTr="00D4552E">
        <w:tc>
          <w:tcPr>
            <w:tcW w:w="993" w:type="dxa"/>
            <w:vMerge w:val="restart"/>
            <w:vAlign w:val="center"/>
          </w:tcPr>
          <w:p w:rsidR="00DD7C72" w:rsidRDefault="00DD7C72" w:rsidP="00D4552E">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DD7C72" w:rsidRDefault="00DD7C72" w:rsidP="00D4552E">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DD7C72" w:rsidRDefault="00DD7C72" w:rsidP="00D4552E">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DD7C72" w:rsidTr="00D4552E">
        <w:tc>
          <w:tcPr>
            <w:tcW w:w="993" w:type="dxa"/>
            <w:vMerge/>
            <w:vAlign w:val="center"/>
          </w:tcPr>
          <w:p w:rsidR="00DD7C72" w:rsidRDefault="00DD7C72" w:rsidP="00D4552E">
            <w:pPr>
              <w:autoSpaceDE w:val="0"/>
              <w:autoSpaceDN w:val="0"/>
              <w:adjustRightInd w:val="0"/>
              <w:jc w:val="center"/>
              <w:rPr>
                <w:rFonts w:eastAsiaTheme="minorEastAsia"/>
                <w:b/>
                <w:bCs/>
                <w:color w:val="000000" w:themeColor="text1"/>
                <w:szCs w:val="21"/>
              </w:rPr>
            </w:pPr>
          </w:p>
        </w:tc>
        <w:tc>
          <w:tcPr>
            <w:tcW w:w="992" w:type="dxa"/>
            <w:vAlign w:val="center"/>
          </w:tcPr>
          <w:p w:rsidR="00DD7C72" w:rsidRDefault="00DD7C72" w:rsidP="00D4552E">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DD7C72" w:rsidRDefault="00DD7C72" w:rsidP="00D4552E">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DD7C72" w:rsidRDefault="00DD7C72" w:rsidP="00D4552E">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DD7C72" w:rsidRDefault="00DD7C72" w:rsidP="00D4552E">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DD7C72" w:rsidRDefault="00DD7C72" w:rsidP="00D4552E">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DD7C72" w:rsidRDefault="00DD7C72" w:rsidP="00D4552E">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DD7C72" w:rsidRDefault="00DD7C72" w:rsidP="00D4552E">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DD7C72" w:rsidTr="00D4552E">
        <w:tc>
          <w:tcPr>
            <w:tcW w:w="993" w:type="dxa"/>
            <w:vMerge w:val="restart"/>
          </w:tcPr>
          <w:p w:rsidR="00DD7C72" w:rsidRDefault="00DD7C72" w:rsidP="00D4552E"/>
          <w:p w:rsidR="00DD7C72" w:rsidRDefault="00DD7C72" w:rsidP="00D4552E">
            <w:r>
              <w:rPr>
                <w:rFonts w:eastAsiaTheme="minorEastAsia" w:hint="eastAsia"/>
                <w:bCs/>
                <w:color w:val="000000" w:themeColor="text1"/>
                <w:szCs w:val="21"/>
              </w:rPr>
              <w:t>机构</w:t>
            </w:r>
          </w:p>
        </w:tc>
        <w:tc>
          <w:tcPr>
            <w:tcW w:w="992" w:type="dxa"/>
            <w:vAlign w:val="center"/>
          </w:tcPr>
          <w:p w:rsidR="00DD7C72" w:rsidRDefault="00DD7C72" w:rsidP="00D4552E">
            <w:pPr>
              <w:jc w:val="center"/>
            </w:pPr>
            <w:r>
              <w:rPr>
                <w:color w:val="000000"/>
                <w:sz w:val="22"/>
              </w:rPr>
              <w:t>1</w:t>
            </w:r>
          </w:p>
        </w:tc>
        <w:tc>
          <w:tcPr>
            <w:tcW w:w="1843" w:type="dxa"/>
            <w:vAlign w:val="center"/>
          </w:tcPr>
          <w:p w:rsidR="00DD7C72" w:rsidRDefault="00DD7C72" w:rsidP="00D4552E">
            <w:pPr>
              <w:jc w:val="center"/>
            </w:pPr>
            <w:r>
              <w:rPr>
                <w:color w:val="000000"/>
                <w:sz w:val="22"/>
              </w:rPr>
              <w:t>2017/3/10-2017/3/31</w:t>
            </w:r>
          </w:p>
        </w:tc>
        <w:tc>
          <w:tcPr>
            <w:tcW w:w="851" w:type="dxa"/>
            <w:vAlign w:val="center"/>
          </w:tcPr>
          <w:p w:rsidR="00DD7C72" w:rsidRDefault="00DD7C72" w:rsidP="00D4552E">
            <w:pPr>
              <w:jc w:val="center"/>
            </w:pPr>
            <w:r>
              <w:rPr>
                <w:color w:val="000000"/>
                <w:sz w:val="22"/>
              </w:rPr>
              <w:t>-</w:t>
            </w:r>
          </w:p>
        </w:tc>
        <w:tc>
          <w:tcPr>
            <w:tcW w:w="850" w:type="dxa"/>
            <w:vAlign w:val="center"/>
          </w:tcPr>
          <w:p w:rsidR="00DD7C72" w:rsidRDefault="00DD7C72" w:rsidP="00D4552E">
            <w:pPr>
              <w:jc w:val="center"/>
            </w:pPr>
            <w:r>
              <w:rPr>
                <w:color w:val="000000"/>
                <w:sz w:val="22"/>
              </w:rPr>
              <w:t>2,004,318,473.27</w:t>
            </w:r>
          </w:p>
        </w:tc>
        <w:tc>
          <w:tcPr>
            <w:tcW w:w="1134" w:type="dxa"/>
            <w:vAlign w:val="center"/>
          </w:tcPr>
          <w:p w:rsidR="00DD7C72" w:rsidRDefault="00DD7C72" w:rsidP="00D4552E">
            <w:pPr>
              <w:jc w:val="center"/>
            </w:pPr>
            <w:r>
              <w:rPr>
                <w:color w:val="000000"/>
                <w:sz w:val="22"/>
              </w:rPr>
              <w:t>-</w:t>
            </w:r>
          </w:p>
        </w:tc>
        <w:tc>
          <w:tcPr>
            <w:tcW w:w="1419" w:type="dxa"/>
            <w:vAlign w:val="center"/>
          </w:tcPr>
          <w:p w:rsidR="00DD7C72" w:rsidRDefault="00DD7C72" w:rsidP="00D4552E">
            <w:pPr>
              <w:jc w:val="center"/>
            </w:pPr>
            <w:r>
              <w:rPr>
                <w:color w:val="000000"/>
                <w:sz w:val="22"/>
              </w:rPr>
              <w:t>2,004,318,473.27</w:t>
            </w:r>
          </w:p>
        </w:tc>
        <w:tc>
          <w:tcPr>
            <w:tcW w:w="1130" w:type="dxa"/>
            <w:vAlign w:val="center"/>
          </w:tcPr>
          <w:p w:rsidR="00DD7C72" w:rsidRDefault="00DD7C72" w:rsidP="00D4552E">
            <w:pPr>
              <w:jc w:val="center"/>
            </w:pPr>
            <w:r>
              <w:rPr>
                <w:color w:val="000000"/>
                <w:sz w:val="22"/>
              </w:rPr>
              <w:t>99.86%</w:t>
            </w:r>
          </w:p>
        </w:tc>
      </w:tr>
      <w:tr w:rsidR="00DD7C72" w:rsidTr="00D4552E">
        <w:tc>
          <w:tcPr>
            <w:tcW w:w="993" w:type="dxa"/>
            <w:vMerge/>
          </w:tcPr>
          <w:p w:rsidR="00DD7C72" w:rsidRDefault="00DD7C72" w:rsidP="00D4552E"/>
        </w:tc>
        <w:tc>
          <w:tcPr>
            <w:tcW w:w="992" w:type="dxa"/>
            <w:vAlign w:val="center"/>
          </w:tcPr>
          <w:p w:rsidR="00DD7C72" w:rsidRDefault="00DD7C72" w:rsidP="00D4552E">
            <w:pPr>
              <w:jc w:val="center"/>
            </w:pPr>
            <w:r>
              <w:rPr>
                <w:color w:val="000000"/>
                <w:sz w:val="22"/>
              </w:rPr>
              <w:t>2</w:t>
            </w:r>
          </w:p>
        </w:tc>
        <w:tc>
          <w:tcPr>
            <w:tcW w:w="1843" w:type="dxa"/>
            <w:vAlign w:val="center"/>
          </w:tcPr>
          <w:p w:rsidR="00DD7C72" w:rsidRDefault="00DD7C72" w:rsidP="00D4552E">
            <w:pPr>
              <w:jc w:val="center"/>
            </w:pPr>
            <w:r>
              <w:rPr>
                <w:color w:val="000000"/>
                <w:sz w:val="22"/>
              </w:rPr>
              <w:t>2017/1/1-2017/3/14</w:t>
            </w:r>
          </w:p>
        </w:tc>
        <w:tc>
          <w:tcPr>
            <w:tcW w:w="851" w:type="dxa"/>
            <w:vAlign w:val="center"/>
          </w:tcPr>
          <w:p w:rsidR="00DD7C72" w:rsidRDefault="00DD7C72" w:rsidP="00D4552E">
            <w:pPr>
              <w:jc w:val="center"/>
            </w:pPr>
            <w:r>
              <w:rPr>
                <w:color w:val="000000"/>
                <w:sz w:val="22"/>
              </w:rPr>
              <w:t>200,423,567.53</w:t>
            </w:r>
          </w:p>
        </w:tc>
        <w:tc>
          <w:tcPr>
            <w:tcW w:w="850" w:type="dxa"/>
            <w:vAlign w:val="center"/>
          </w:tcPr>
          <w:p w:rsidR="00DD7C72" w:rsidRDefault="00DD7C72" w:rsidP="00D4552E">
            <w:pPr>
              <w:jc w:val="center"/>
            </w:pPr>
            <w:r>
              <w:rPr>
                <w:color w:val="000000"/>
                <w:sz w:val="22"/>
              </w:rPr>
              <w:t>1,114,920.64</w:t>
            </w:r>
          </w:p>
        </w:tc>
        <w:tc>
          <w:tcPr>
            <w:tcW w:w="1134" w:type="dxa"/>
            <w:vAlign w:val="center"/>
          </w:tcPr>
          <w:p w:rsidR="00DD7C72" w:rsidRDefault="00DD7C72" w:rsidP="00D4552E">
            <w:pPr>
              <w:jc w:val="center"/>
            </w:pPr>
            <w:r>
              <w:rPr>
                <w:color w:val="000000"/>
                <w:sz w:val="22"/>
              </w:rPr>
              <w:t>201,538,488.17</w:t>
            </w:r>
          </w:p>
        </w:tc>
        <w:tc>
          <w:tcPr>
            <w:tcW w:w="1419" w:type="dxa"/>
            <w:vAlign w:val="center"/>
          </w:tcPr>
          <w:p w:rsidR="00DD7C72" w:rsidRDefault="00DD7C72" w:rsidP="00D4552E">
            <w:pPr>
              <w:jc w:val="center"/>
            </w:pPr>
            <w:r>
              <w:rPr>
                <w:color w:val="000000"/>
                <w:sz w:val="22"/>
              </w:rPr>
              <w:t>-</w:t>
            </w:r>
          </w:p>
        </w:tc>
        <w:tc>
          <w:tcPr>
            <w:tcW w:w="1130" w:type="dxa"/>
            <w:vAlign w:val="center"/>
          </w:tcPr>
          <w:p w:rsidR="00DD7C72" w:rsidRDefault="00DD7C72" w:rsidP="00D4552E">
            <w:pPr>
              <w:jc w:val="center"/>
            </w:pPr>
            <w:r>
              <w:rPr>
                <w:color w:val="000000"/>
                <w:sz w:val="22"/>
              </w:rPr>
              <w:t>-</w:t>
            </w:r>
          </w:p>
        </w:tc>
      </w:tr>
      <w:tr w:rsidR="00DD7C72" w:rsidRPr="0077692E" w:rsidTr="00D4552E">
        <w:tc>
          <w:tcPr>
            <w:tcW w:w="9212" w:type="dxa"/>
            <w:gridSpan w:val="8"/>
            <w:vAlign w:val="center"/>
          </w:tcPr>
          <w:p w:rsidR="00DD7C72" w:rsidRPr="0077692E" w:rsidRDefault="00DD7C72" w:rsidP="00D4552E">
            <w:pPr>
              <w:autoSpaceDE w:val="0"/>
              <w:autoSpaceDN w:val="0"/>
              <w:adjustRightInd w:val="0"/>
              <w:jc w:val="center"/>
              <w:rPr>
                <w:sz w:val="22"/>
              </w:rPr>
            </w:pPr>
            <w:r w:rsidRPr="0077692E">
              <w:rPr>
                <w:color w:val="000000"/>
                <w:sz w:val="22"/>
              </w:rPr>
              <w:t>产品特有风险</w:t>
            </w:r>
          </w:p>
        </w:tc>
      </w:tr>
      <w:tr w:rsidR="00DD7C72" w:rsidRPr="00EF20F9" w:rsidTr="00D4552E">
        <w:tc>
          <w:tcPr>
            <w:tcW w:w="9212" w:type="dxa"/>
            <w:gridSpan w:val="8"/>
            <w:vAlign w:val="center"/>
          </w:tcPr>
          <w:p w:rsidR="00DD7C72" w:rsidRPr="00EF20F9" w:rsidRDefault="00DD7C72" w:rsidP="00D4552E">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4B7958" w:rsidRPr="00DD7C72" w:rsidRDefault="004B7958" w:rsidP="00281564">
      <w:pPr>
        <w:autoSpaceDE w:val="0"/>
        <w:autoSpaceDN w:val="0"/>
        <w:adjustRightInd w:val="0"/>
        <w:spacing w:before="29" w:line="288" w:lineRule="auto"/>
        <w:jc w:val="left"/>
        <w:rPr>
          <w:color w:val="000000"/>
          <w:sz w:val="24"/>
        </w:rPr>
      </w:pPr>
    </w:p>
    <w:p w:rsidR="00C03EF8" w:rsidRPr="009268A2"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D7C72">
        <w:rPr>
          <w:rFonts w:hint="eastAsia"/>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D7C72" w:rsidP="00281564">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675438" w:rsidRDefault="004B7958">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675438" w:rsidRDefault="004B7958">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675438" w:rsidRDefault="004B7958">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675438" w:rsidRDefault="004B7958">
      <w:pPr>
        <w:spacing w:before="29" w:line="288" w:lineRule="auto"/>
        <w:ind w:firstLineChars="200" w:firstLine="480"/>
        <w:rPr>
          <w:color w:val="000000"/>
          <w:sz w:val="24"/>
        </w:rPr>
      </w:pPr>
      <w:r>
        <w:rPr>
          <w:color w:val="000000"/>
          <w:sz w:val="24"/>
        </w:rPr>
        <w:lastRenderedPageBreak/>
        <w:t>4</w:t>
      </w:r>
      <w:r>
        <w:rPr>
          <w:color w:val="000000"/>
          <w:sz w:val="24"/>
        </w:rPr>
        <w:t>、《交银施罗德天鑫宝货币市场基金托管协议》；</w:t>
      </w:r>
      <w:r>
        <w:rPr>
          <w:color w:val="000000"/>
          <w:sz w:val="24"/>
        </w:rPr>
        <w:t xml:space="preserve"> </w:t>
      </w:r>
    </w:p>
    <w:p w:rsidR="00675438" w:rsidRDefault="004B7958">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675438" w:rsidRDefault="004B795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75438" w:rsidRDefault="004B795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D7C72" w:rsidP="00281564">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D7C72" w:rsidP="00281564">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675438" w:rsidRDefault="004B795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EE" w:rsidRDefault="00657AEE">
      <w:r>
        <w:separator/>
      </w:r>
    </w:p>
  </w:endnote>
  <w:endnote w:type="continuationSeparator" w:id="0">
    <w:p w:rsidR="00657AEE" w:rsidRDefault="0065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58" w:rsidRPr="001D0DB0" w:rsidRDefault="004B7958" w:rsidP="001D0DB0">
    <w:pPr>
      <w:pStyle w:val="a5"/>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624DB">
      <w:rPr>
        <w:noProof/>
        <w:kern w:val="0"/>
        <w:szCs w:val="21"/>
      </w:rPr>
      <w:t>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A624DB">
      <w:rPr>
        <w:noProof/>
        <w:kern w:val="0"/>
        <w:szCs w:val="21"/>
      </w:rPr>
      <w:t>14</w:t>
    </w:r>
    <w:r>
      <w:rPr>
        <w:rFonts w:hint="eastAsia"/>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EE" w:rsidRDefault="00657AEE">
      <w:r>
        <w:separator/>
      </w:r>
    </w:p>
  </w:footnote>
  <w:footnote w:type="continuationSeparator" w:id="0">
    <w:p w:rsidR="00657AEE" w:rsidRDefault="00657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58" w:rsidRPr="00F34483" w:rsidRDefault="004B7958"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6B4"/>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C6982"/>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03ED"/>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B7958"/>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57AEE"/>
    <w:rsid w:val="00664834"/>
    <w:rsid w:val="006724A2"/>
    <w:rsid w:val="00672BEF"/>
    <w:rsid w:val="00672C2D"/>
    <w:rsid w:val="00673BA5"/>
    <w:rsid w:val="00675438"/>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2148"/>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A6203"/>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09A4"/>
    <w:rsid w:val="00A624DB"/>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4BC3"/>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7C72"/>
    <w:rsid w:val="00DE7C60"/>
    <w:rsid w:val="00DF1198"/>
    <w:rsid w:val="00DF2D90"/>
    <w:rsid w:val="00E12082"/>
    <w:rsid w:val="00E157E3"/>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3CA7CA8-42F4-4C94-8E06-27D49D2B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1F5FFF-A764-4E01-8AC4-A15E15B8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1173</Words>
  <Characters>6690</Characters>
  <Application>Microsoft Office Word</Application>
  <DocSecurity>0</DocSecurity>
  <Lines>55</Lines>
  <Paragraphs>15</Paragraphs>
  <ScaleCrop>false</ScaleCrop>
  <Company>jysld</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320</cp:revision>
  <cp:lastPrinted>2009-01-22T10:11:00Z</cp:lastPrinted>
  <dcterms:created xsi:type="dcterms:W3CDTF">2012-11-21T05:49:00Z</dcterms:created>
  <dcterms:modified xsi:type="dcterms:W3CDTF">2017-04-20T05:46:00Z</dcterms:modified>
</cp:coreProperties>
</file>