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交银施罗德经济新动力混合型证券投资基金</w:t>
      </w:r>
    </w:p>
    <w:p w:rsidR="002279D3" w:rsidRPr="0081286B" w:rsidRDefault="002279D3" w:rsidP="00C15CAC">
      <w:pPr>
        <w:spacing w:before="29" w:line="288" w:lineRule="auto"/>
        <w:jc w:val="center"/>
        <w:rPr>
          <w:b/>
          <w:sz w:val="36"/>
          <w:szCs w:val="36"/>
        </w:rPr>
      </w:pPr>
      <w:r w:rsidRPr="0081286B">
        <w:rPr>
          <w:b/>
          <w:sz w:val="36"/>
          <w:szCs w:val="36"/>
        </w:rPr>
        <w:t>2017</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2017</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二〇一七年四月二十四日</w:t>
      </w:r>
    </w:p>
    <w:p w:rsidR="004061AC" w:rsidRPr="00414345" w:rsidRDefault="004061AC" w:rsidP="00AB6E7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192D76" w:rsidRDefault="00081BC3">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192D76" w:rsidRDefault="00081BC3">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2017</w:t>
      </w:r>
      <w:r>
        <w:rPr>
          <w:color w:val="000000"/>
          <w:sz w:val="24"/>
          <w:szCs w:val="24"/>
        </w:rPr>
        <w:t>年</w:t>
      </w:r>
      <w:r>
        <w:rPr>
          <w:color w:val="000000"/>
          <w:sz w:val="24"/>
          <w:szCs w:val="24"/>
        </w:rPr>
        <w:t>4</w:t>
      </w:r>
      <w:r>
        <w:rPr>
          <w:color w:val="000000"/>
          <w:sz w:val="24"/>
          <w:szCs w:val="24"/>
        </w:rPr>
        <w:t>月</w:t>
      </w:r>
      <w:r>
        <w:rPr>
          <w:color w:val="000000"/>
          <w:sz w:val="24"/>
          <w:szCs w:val="24"/>
        </w:rPr>
        <w:t>21</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192D76" w:rsidRDefault="00081BC3">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192D76" w:rsidRDefault="00081BC3">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192D76" w:rsidRDefault="00081BC3">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2017</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交银经济新动力混合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519778</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519778</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2016</w:t>
            </w:r>
            <w:r w:rsidRPr="00414345">
              <w:rPr>
                <w:color w:val="000000"/>
                <w:kern w:val="0"/>
                <w:sz w:val="24"/>
                <w:szCs w:val="24"/>
              </w:rPr>
              <w:t>年</w:t>
            </w:r>
            <w:r w:rsidRPr="00414345">
              <w:rPr>
                <w:color w:val="000000"/>
                <w:kern w:val="0"/>
                <w:sz w:val="24"/>
                <w:szCs w:val="24"/>
              </w:rPr>
              <w:t>10</w:t>
            </w:r>
            <w:r w:rsidRPr="00414345">
              <w:rPr>
                <w:color w:val="000000"/>
                <w:kern w:val="0"/>
                <w:sz w:val="24"/>
                <w:szCs w:val="24"/>
              </w:rPr>
              <w:t>月</w:t>
            </w:r>
            <w:r w:rsidRPr="00414345">
              <w:rPr>
                <w:color w:val="000000"/>
                <w:kern w:val="0"/>
                <w:sz w:val="24"/>
                <w:szCs w:val="24"/>
              </w:rPr>
              <w:t>20</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917,852,636.71</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本基金通过深度优选在经济新常态下受益于发展新动力的优质企业，分享因中国经济改革、创新和升级发展所带来的投资新机会，力争为基金份额持有人获得超越业绩比较基准的收益。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其中，本基金所指的经济新动力是指改革动力、创新动力、升级动力，以及相关传统产业中的反转动力。本基金股票投资重点关注与经济新动力息息相关的优质企</w:t>
            </w:r>
            <w:r w:rsidRPr="00414345">
              <w:rPr>
                <w:color w:val="000000"/>
                <w:kern w:val="0"/>
                <w:sz w:val="24"/>
                <w:szCs w:val="24"/>
              </w:rPr>
              <w:lastRenderedPageBreak/>
              <w:t>业，分享当前因中国经济改革、创新和升级发展所带来的投资新机会。</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×60%+</w:t>
            </w:r>
            <w:r w:rsidRPr="00414345">
              <w:rPr>
                <w:color w:val="000000"/>
                <w:kern w:val="0"/>
                <w:sz w:val="24"/>
                <w:szCs w:val="24"/>
              </w:rPr>
              <w:t>中证综合债券指数收益率</w:t>
            </w:r>
            <w:r w:rsidRPr="00414345">
              <w:rPr>
                <w:color w:val="000000"/>
                <w:kern w:val="0"/>
                <w:sz w:val="24"/>
                <w:szCs w:val="24"/>
              </w:rPr>
              <w:t>×40%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081BC3" w:rsidRPr="00414345" w:rsidTr="00081BC3">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-2017</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081BC3" w:rsidRPr="00414345" w:rsidTr="00081BC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24,149,087.05</w:t>
            </w:r>
          </w:p>
        </w:tc>
      </w:tr>
      <w:tr w:rsidR="00081BC3" w:rsidRPr="00414345" w:rsidTr="00081BC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55,393,889.18</w:t>
            </w:r>
          </w:p>
        </w:tc>
      </w:tr>
      <w:tr w:rsidR="00081BC3" w:rsidRPr="00414345" w:rsidTr="00081BC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0.0616</w:t>
            </w:r>
          </w:p>
        </w:tc>
      </w:tr>
      <w:tr w:rsidR="00081BC3" w:rsidRPr="00414345" w:rsidTr="00081BC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964,898,472.95</w:t>
            </w:r>
          </w:p>
        </w:tc>
      </w:tr>
      <w:tr w:rsidR="00081BC3" w:rsidRPr="00414345" w:rsidTr="00081BC3">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1.0513</w:t>
            </w:r>
          </w:p>
        </w:tc>
      </w:tr>
    </w:tbl>
    <w:p w:rsidR="00192D76" w:rsidRDefault="00081BC3">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192D76" w:rsidRDefault="00081BC3">
      <w:pPr>
        <w:autoSpaceDE w:val="0"/>
        <w:autoSpaceDN w:val="0"/>
        <w:adjustRightInd w:val="0"/>
        <w:spacing w:before="29" w:line="288" w:lineRule="auto"/>
        <w:jc w:val="left"/>
        <w:rPr>
          <w:color w:val="000000"/>
          <w:sz w:val="24"/>
          <w:szCs w:val="24"/>
        </w:rPr>
      </w:pPr>
      <w:r>
        <w:rPr>
          <w:color w:val="000000"/>
          <w:sz w:val="24"/>
          <w:szCs w:val="24"/>
        </w:rPr>
        <w:t xml:space="preserve">    2</w:t>
      </w:r>
      <w:r>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192D76">
        <w:trPr>
          <w:jc w:val="center"/>
        </w:trPr>
        <w:tc>
          <w:tcPr>
            <w:tcW w:w="1701" w:type="dxa"/>
            <w:vAlign w:val="center"/>
          </w:tcPr>
          <w:p w:rsidR="00192D76" w:rsidRDefault="00081BC3">
            <w:pPr>
              <w:jc w:val="left"/>
            </w:pPr>
            <w:r>
              <w:rPr>
                <w:color w:val="000000"/>
                <w:sz w:val="24"/>
                <w:szCs w:val="24"/>
              </w:rPr>
              <w:t>过去三个月</w:t>
            </w:r>
          </w:p>
        </w:tc>
        <w:tc>
          <w:tcPr>
            <w:tcW w:w="1045" w:type="dxa"/>
            <w:vAlign w:val="center"/>
          </w:tcPr>
          <w:p w:rsidR="00192D76" w:rsidRDefault="00081BC3">
            <w:pPr>
              <w:jc w:val="center"/>
            </w:pPr>
            <w:r>
              <w:rPr>
                <w:color w:val="000000"/>
                <w:sz w:val="24"/>
                <w:szCs w:val="24"/>
              </w:rPr>
              <w:t>6.42%</w:t>
            </w:r>
          </w:p>
        </w:tc>
        <w:tc>
          <w:tcPr>
            <w:tcW w:w="1344" w:type="dxa"/>
            <w:vAlign w:val="center"/>
          </w:tcPr>
          <w:p w:rsidR="00192D76" w:rsidRDefault="00081BC3">
            <w:pPr>
              <w:jc w:val="center"/>
            </w:pPr>
            <w:r>
              <w:rPr>
                <w:color w:val="000000"/>
                <w:sz w:val="24"/>
                <w:szCs w:val="24"/>
              </w:rPr>
              <w:t>0.75%</w:t>
            </w:r>
          </w:p>
        </w:tc>
        <w:tc>
          <w:tcPr>
            <w:tcW w:w="1194" w:type="dxa"/>
            <w:vAlign w:val="center"/>
          </w:tcPr>
          <w:p w:rsidR="00192D76" w:rsidRDefault="00081BC3">
            <w:pPr>
              <w:jc w:val="center"/>
            </w:pPr>
            <w:r>
              <w:rPr>
                <w:color w:val="000000"/>
                <w:sz w:val="24"/>
                <w:szCs w:val="24"/>
              </w:rPr>
              <w:t>2.59%</w:t>
            </w:r>
          </w:p>
        </w:tc>
        <w:tc>
          <w:tcPr>
            <w:tcW w:w="1492" w:type="dxa"/>
            <w:vAlign w:val="center"/>
          </w:tcPr>
          <w:p w:rsidR="00192D76" w:rsidRDefault="00081BC3">
            <w:pPr>
              <w:jc w:val="center"/>
            </w:pPr>
            <w:r>
              <w:rPr>
                <w:color w:val="000000"/>
                <w:sz w:val="24"/>
                <w:szCs w:val="24"/>
              </w:rPr>
              <w:t>0.31%</w:t>
            </w:r>
          </w:p>
        </w:tc>
        <w:tc>
          <w:tcPr>
            <w:tcW w:w="1194" w:type="dxa"/>
            <w:vAlign w:val="center"/>
          </w:tcPr>
          <w:p w:rsidR="00192D76" w:rsidRDefault="00081BC3">
            <w:pPr>
              <w:jc w:val="center"/>
            </w:pPr>
            <w:r>
              <w:rPr>
                <w:color w:val="000000"/>
                <w:sz w:val="24"/>
                <w:szCs w:val="24"/>
              </w:rPr>
              <w:t>3.83%</w:t>
            </w:r>
          </w:p>
        </w:tc>
        <w:tc>
          <w:tcPr>
            <w:tcW w:w="898" w:type="dxa"/>
            <w:vAlign w:val="center"/>
          </w:tcPr>
          <w:p w:rsidR="00192D76" w:rsidRDefault="00081BC3">
            <w:pPr>
              <w:jc w:val="center"/>
            </w:pPr>
            <w:r>
              <w:rPr>
                <w:color w:val="000000"/>
                <w:sz w:val="24"/>
                <w:szCs w:val="24"/>
              </w:rPr>
              <w:t>0.44%</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交银施罗德经济新动力混合型证券投资基金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10</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20</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2016</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20</w:t>
      </w:r>
      <w:r w:rsidRPr="00414345">
        <w:rPr>
          <w:color w:val="000000"/>
          <w:sz w:val="24"/>
          <w:szCs w:val="24"/>
        </w:rPr>
        <w:t>日，基金合同生效日至报告期期末，本基金运作时间未满一年。本基金建仓期为自基金合同生效日起的</w:t>
      </w:r>
      <w:r w:rsidRPr="00414345">
        <w:rPr>
          <w:color w:val="000000"/>
          <w:sz w:val="24"/>
          <w:szCs w:val="24"/>
        </w:rPr>
        <w:t>6</w:t>
      </w:r>
      <w:r w:rsidRPr="00414345">
        <w:rPr>
          <w:color w:val="000000"/>
          <w:sz w:val="24"/>
          <w:szCs w:val="24"/>
        </w:rPr>
        <w:t>个月。截至</w:t>
      </w:r>
      <w:r w:rsidRPr="00414345">
        <w:rPr>
          <w:color w:val="000000"/>
          <w:sz w:val="24"/>
          <w:szCs w:val="24"/>
        </w:rPr>
        <w:t>2017</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日，本基金尚处于建仓期。</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192D76">
        <w:trPr>
          <w:jc w:val="center"/>
        </w:trPr>
        <w:tc>
          <w:tcPr>
            <w:tcW w:w="846" w:type="dxa"/>
            <w:vAlign w:val="center"/>
          </w:tcPr>
          <w:p w:rsidR="00192D76" w:rsidRDefault="00081BC3">
            <w:pPr>
              <w:jc w:val="center"/>
            </w:pPr>
            <w:r>
              <w:rPr>
                <w:color w:val="000000"/>
                <w:sz w:val="24"/>
                <w:szCs w:val="24"/>
              </w:rPr>
              <w:t>任相栋</w:t>
            </w:r>
          </w:p>
        </w:tc>
        <w:tc>
          <w:tcPr>
            <w:tcW w:w="845" w:type="dxa"/>
            <w:vAlign w:val="center"/>
          </w:tcPr>
          <w:p w:rsidR="00192D76" w:rsidRDefault="00081BC3">
            <w:pPr>
              <w:jc w:val="center"/>
            </w:pPr>
            <w:r>
              <w:rPr>
                <w:color w:val="000000"/>
                <w:sz w:val="24"/>
                <w:szCs w:val="24"/>
              </w:rPr>
              <w:t>交银先进制造混合、交银经济</w:t>
            </w:r>
            <w:r>
              <w:rPr>
                <w:color w:val="000000"/>
                <w:sz w:val="24"/>
                <w:szCs w:val="24"/>
              </w:rPr>
              <w:lastRenderedPageBreak/>
              <w:t>新动力混合的基金经理</w:t>
            </w:r>
          </w:p>
        </w:tc>
        <w:tc>
          <w:tcPr>
            <w:tcW w:w="1549" w:type="dxa"/>
            <w:vAlign w:val="center"/>
          </w:tcPr>
          <w:p w:rsidR="00192D76" w:rsidRDefault="00081BC3">
            <w:pPr>
              <w:jc w:val="center"/>
            </w:pPr>
            <w:r>
              <w:rPr>
                <w:color w:val="000000"/>
                <w:sz w:val="24"/>
                <w:szCs w:val="24"/>
              </w:rPr>
              <w:lastRenderedPageBreak/>
              <w:t>2016-10-20</w:t>
            </w:r>
          </w:p>
        </w:tc>
        <w:tc>
          <w:tcPr>
            <w:tcW w:w="1548" w:type="dxa"/>
            <w:vAlign w:val="center"/>
          </w:tcPr>
          <w:p w:rsidR="00192D76" w:rsidRDefault="00081BC3">
            <w:pPr>
              <w:jc w:val="center"/>
            </w:pPr>
            <w:r>
              <w:rPr>
                <w:color w:val="000000"/>
                <w:sz w:val="24"/>
                <w:szCs w:val="24"/>
              </w:rPr>
              <w:t>-</w:t>
            </w:r>
          </w:p>
        </w:tc>
        <w:tc>
          <w:tcPr>
            <w:tcW w:w="1407" w:type="dxa"/>
            <w:vAlign w:val="center"/>
          </w:tcPr>
          <w:p w:rsidR="00192D76" w:rsidRDefault="00081BC3">
            <w:pPr>
              <w:jc w:val="center"/>
            </w:pPr>
            <w:r>
              <w:rPr>
                <w:color w:val="000000"/>
                <w:sz w:val="24"/>
                <w:szCs w:val="24"/>
              </w:rPr>
              <w:t>7</w:t>
            </w:r>
            <w:r>
              <w:rPr>
                <w:color w:val="000000"/>
                <w:sz w:val="24"/>
                <w:szCs w:val="24"/>
              </w:rPr>
              <w:t>年</w:t>
            </w:r>
          </w:p>
        </w:tc>
        <w:tc>
          <w:tcPr>
            <w:tcW w:w="2673" w:type="dxa"/>
            <w:vAlign w:val="center"/>
          </w:tcPr>
          <w:p w:rsidR="00192D76" w:rsidRDefault="00081BC3">
            <w:r>
              <w:rPr>
                <w:color w:val="000000"/>
                <w:sz w:val="24"/>
                <w:szCs w:val="24"/>
              </w:rPr>
              <w:t>任相栋先生，上海交通大学金融学硕士。</w:t>
            </w:r>
            <w:r>
              <w:rPr>
                <w:color w:val="000000"/>
                <w:sz w:val="24"/>
                <w:szCs w:val="24"/>
              </w:rPr>
              <w:t>2010</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192D76" w:rsidRDefault="00081BC3">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192D76" w:rsidRDefault="00081BC3">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192D76" w:rsidRDefault="00081BC3">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lastRenderedPageBreak/>
        <w:t xml:space="preserve">4.4 </w:t>
      </w:r>
      <w:r w:rsidRPr="00414345">
        <w:rPr>
          <w:rFonts w:hAnsi="宋体"/>
          <w:b/>
          <w:bCs/>
          <w:color w:val="000000"/>
          <w:sz w:val="24"/>
        </w:rPr>
        <w:t>报告期内基金的投资策略和运作分析</w:t>
      </w:r>
    </w:p>
    <w:p w:rsidR="00192D76" w:rsidRDefault="00081BC3">
      <w:pPr>
        <w:spacing w:before="29" w:line="288" w:lineRule="auto"/>
        <w:ind w:firstLineChars="200" w:firstLine="480"/>
        <w:rPr>
          <w:color w:val="000000"/>
          <w:sz w:val="24"/>
          <w:szCs w:val="24"/>
        </w:rPr>
      </w:pPr>
      <w:r>
        <w:rPr>
          <w:color w:val="000000"/>
          <w:sz w:val="24"/>
          <w:szCs w:val="24"/>
        </w:rPr>
        <w:t>2017</w:t>
      </w:r>
      <w:r>
        <w:rPr>
          <w:color w:val="000000"/>
          <w:sz w:val="24"/>
          <w:szCs w:val="24"/>
        </w:rPr>
        <w:t>年一季度</w:t>
      </w:r>
      <w:r>
        <w:rPr>
          <w:color w:val="000000"/>
          <w:sz w:val="24"/>
          <w:szCs w:val="24"/>
        </w:rPr>
        <w:t>A</w:t>
      </w:r>
      <w:r>
        <w:rPr>
          <w:color w:val="000000"/>
          <w:sz w:val="24"/>
          <w:szCs w:val="24"/>
        </w:rPr>
        <w:t>股市场先抑后扬，上证综指表现明显优于创业板，周期类消费类个股表现明显优于高估值小市值个股。年初以来市场表现还是明显地沿着周期复苏的脉络演进，周期向上的基本面力量和风险偏好下降的趋势性力量交织，使得投资者普遍抛弃偏成长类个股，拥抱周期和消费股，市场的趋势性力量强大。</w:t>
      </w:r>
    </w:p>
    <w:p w:rsidR="00192D76" w:rsidRDefault="00081BC3">
      <w:pPr>
        <w:spacing w:before="29" w:line="288" w:lineRule="auto"/>
        <w:ind w:firstLineChars="200" w:firstLine="480"/>
        <w:rPr>
          <w:color w:val="000000"/>
          <w:sz w:val="24"/>
          <w:szCs w:val="24"/>
        </w:rPr>
      </w:pPr>
      <w:r>
        <w:rPr>
          <w:color w:val="000000"/>
          <w:sz w:val="24"/>
          <w:szCs w:val="24"/>
        </w:rPr>
        <w:t>本基金一季度坚持成长股投资，一季度本基金基本跑赢业绩比较基准。</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展望未来，我们认为周期向上的基本面力量将趋弱，市场对周期力量回落的大方向没有过多分歧，分歧仅在于回落的速度和节奏。自</w:t>
      </w:r>
      <w:r w:rsidRPr="00414345">
        <w:rPr>
          <w:color w:val="000000"/>
          <w:sz w:val="24"/>
          <w:szCs w:val="24"/>
        </w:rPr>
        <w:t>2015</w:t>
      </w:r>
      <w:r w:rsidRPr="00414345">
        <w:rPr>
          <w:color w:val="000000"/>
          <w:sz w:val="24"/>
          <w:szCs w:val="24"/>
        </w:rPr>
        <w:t>年</w:t>
      </w:r>
      <w:r w:rsidRPr="00414345">
        <w:rPr>
          <w:color w:val="000000"/>
          <w:sz w:val="24"/>
          <w:szCs w:val="24"/>
        </w:rPr>
        <w:t>6</w:t>
      </w:r>
      <w:r w:rsidRPr="00414345">
        <w:rPr>
          <w:color w:val="000000"/>
          <w:sz w:val="24"/>
          <w:szCs w:val="24"/>
        </w:rPr>
        <w:t>月市场见顶后，市场的风险偏好一直处在趋势性下降的过程中，现在仍未见到风险偏好见底的迹象，但我们判断下降的主要阶段已经过去。本基金预计在未来仍将坚持成长股投资，我们认为未来中国仍有公司成长的良好土壤、全球一流的企业家精神，一定会有越来越多的中国公司在世界舞台上占据更加重要的位置。同时，在股票市场中，投资者趋势性离开成长性股票，这为选股提供了宽松的选股环境。本基金将努力继续致力于为投资者创造超额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2017</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1.0513</w:t>
      </w:r>
      <w:r w:rsidRPr="00414345">
        <w:rPr>
          <w:color w:val="000000"/>
          <w:sz w:val="24"/>
          <w:szCs w:val="24"/>
        </w:rPr>
        <w:t>元，本报告期份额净值增长率为</w:t>
      </w:r>
      <w:r w:rsidRPr="00414345">
        <w:rPr>
          <w:color w:val="000000"/>
          <w:sz w:val="24"/>
          <w:szCs w:val="24"/>
        </w:rPr>
        <w:t>6.42%</w:t>
      </w:r>
      <w:r w:rsidRPr="00414345">
        <w:rPr>
          <w:color w:val="000000"/>
          <w:sz w:val="24"/>
          <w:szCs w:val="24"/>
        </w:rPr>
        <w:t>，同期业绩比较基准增长率为</w:t>
      </w:r>
      <w:r w:rsidRPr="00414345">
        <w:rPr>
          <w:color w:val="000000"/>
          <w:sz w:val="24"/>
          <w:szCs w:val="24"/>
        </w:rPr>
        <w:t>2.59%</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744,929,607.57</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71.30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744,929,607.57</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71.30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w:t>
            </w:r>
            <w:r w:rsidRPr="00414345">
              <w:rPr>
                <w:color w:val="000000"/>
                <w:sz w:val="24"/>
                <w:szCs w:val="24"/>
              </w:rPr>
              <w:lastRenderedPageBreak/>
              <w:t>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lastRenderedPageBreak/>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lastRenderedPageBreak/>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212,271,183.82</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20.32</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87,563,459.38</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8.38</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1,044,764,250.77</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10,927,489.50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1.13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4,828,860.00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0.50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687,197,342.60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71.22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212,404.44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130,984.00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131,314.89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14,598,135.20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16,930.16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46,724.92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14,529,564.44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12,309,857.42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744,929,607.57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77.20</w:t>
            </w:r>
          </w:p>
        </w:tc>
      </w:tr>
    </w:tbl>
    <w:p w:rsidR="007360D6" w:rsidRDefault="007360D6"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F51C4E" w:rsidRDefault="00F51C4E" w:rsidP="00F51C4E">
      <w:pPr>
        <w:spacing w:before="29" w:line="360" w:lineRule="auto"/>
        <w:ind w:left="17"/>
        <w:rPr>
          <w:color w:val="000000"/>
          <w:sz w:val="24"/>
        </w:rPr>
      </w:pPr>
      <w:r w:rsidRPr="00FF0BBF">
        <w:rPr>
          <w:color w:val="000000"/>
          <w:sz w:val="24"/>
        </w:rPr>
        <w:lastRenderedPageBreak/>
        <w:t>本基金本报告期末未持有通过沪港通投资的股票。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192D76">
        <w:trPr>
          <w:jc w:val="center"/>
        </w:trPr>
        <w:tc>
          <w:tcPr>
            <w:tcW w:w="855" w:type="dxa"/>
            <w:vAlign w:val="center"/>
          </w:tcPr>
          <w:p w:rsidR="00192D76" w:rsidRDefault="00081BC3">
            <w:pPr>
              <w:jc w:val="center"/>
            </w:pPr>
            <w:r>
              <w:rPr>
                <w:color w:val="000000"/>
                <w:sz w:val="24"/>
                <w:szCs w:val="24"/>
              </w:rPr>
              <w:t>1</w:t>
            </w:r>
          </w:p>
        </w:tc>
        <w:tc>
          <w:tcPr>
            <w:tcW w:w="1334" w:type="dxa"/>
            <w:vAlign w:val="center"/>
          </w:tcPr>
          <w:p w:rsidR="00192D76" w:rsidRDefault="00081BC3">
            <w:pPr>
              <w:jc w:val="center"/>
            </w:pPr>
            <w:r>
              <w:rPr>
                <w:color w:val="000000"/>
                <w:sz w:val="24"/>
                <w:szCs w:val="24"/>
              </w:rPr>
              <w:t>600967</w:t>
            </w:r>
          </w:p>
        </w:tc>
        <w:tc>
          <w:tcPr>
            <w:tcW w:w="1777" w:type="dxa"/>
            <w:vAlign w:val="center"/>
          </w:tcPr>
          <w:p w:rsidR="00192D76" w:rsidRDefault="00081BC3">
            <w:pPr>
              <w:jc w:val="center"/>
            </w:pPr>
            <w:r>
              <w:rPr>
                <w:color w:val="000000"/>
                <w:sz w:val="24"/>
                <w:szCs w:val="24"/>
              </w:rPr>
              <w:t>北方创业</w:t>
            </w:r>
          </w:p>
        </w:tc>
        <w:tc>
          <w:tcPr>
            <w:tcW w:w="1334" w:type="dxa"/>
            <w:vAlign w:val="center"/>
          </w:tcPr>
          <w:p w:rsidR="00192D76" w:rsidRDefault="00081BC3">
            <w:pPr>
              <w:jc w:val="right"/>
            </w:pPr>
            <w:r>
              <w:rPr>
                <w:color w:val="000000"/>
                <w:sz w:val="24"/>
                <w:szCs w:val="24"/>
              </w:rPr>
              <w:t>5,163,566</w:t>
            </w:r>
          </w:p>
        </w:tc>
        <w:tc>
          <w:tcPr>
            <w:tcW w:w="1924" w:type="dxa"/>
            <w:vAlign w:val="center"/>
          </w:tcPr>
          <w:p w:rsidR="00192D76" w:rsidRDefault="00081BC3">
            <w:pPr>
              <w:jc w:val="right"/>
            </w:pPr>
            <w:r>
              <w:rPr>
                <w:color w:val="000000"/>
                <w:sz w:val="24"/>
                <w:szCs w:val="24"/>
              </w:rPr>
              <w:t>78,124,753.58</w:t>
            </w:r>
          </w:p>
        </w:tc>
        <w:tc>
          <w:tcPr>
            <w:tcW w:w="1644" w:type="dxa"/>
            <w:vAlign w:val="center"/>
          </w:tcPr>
          <w:p w:rsidR="00192D76" w:rsidRDefault="00081BC3">
            <w:pPr>
              <w:jc w:val="right"/>
            </w:pPr>
            <w:r>
              <w:rPr>
                <w:color w:val="000000"/>
                <w:sz w:val="24"/>
                <w:szCs w:val="24"/>
              </w:rPr>
              <w:t>8.10</w:t>
            </w:r>
          </w:p>
        </w:tc>
      </w:tr>
      <w:tr w:rsidR="00192D76">
        <w:trPr>
          <w:jc w:val="center"/>
        </w:trPr>
        <w:tc>
          <w:tcPr>
            <w:tcW w:w="855" w:type="dxa"/>
            <w:vAlign w:val="center"/>
          </w:tcPr>
          <w:p w:rsidR="00192D76" w:rsidRDefault="00081BC3">
            <w:pPr>
              <w:jc w:val="center"/>
            </w:pPr>
            <w:r>
              <w:rPr>
                <w:color w:val="000000"/>
                <w:sz w:val="24"/>
                <w:szCs w:val="24"/>
              </w:rPr>
              <w:t>2</w:t>
            </w:r>
          </w:p>
        </w:tc>
        <w:tc>
          <w:tcPr>
            <w:tcW w:w="1334" w:type="dxa"/>
            <w:vAlign w:val="center"/>
          </w:tcPr>
          <w:p w:rsidR="00192D76" w:rsidRDefault="00081BC3">
            <w:pPr>
              <w:jc w:val="center"/>
            </w:pPr>
            <w:r>
              <w:rPr>
                <w:color w:val="000000"/>
                <w:sz w:val="24"/>
                <w:szCs w:val="24"/>
              </w:rPr>
              <w:t>300129</w:t>
            </w:r>
          </w:p>
        </w:tc>
        <w:tc>
          <w:tcPr>
            <w:tcW w:w="1777" w:type="dxa"/>
            <w:vAlign w:val="center"/>
          </w:tcPr>
          <w:p w:rsidR="00192D76" w:rsidRDefault="00081BC3">
            <w:pPr>
              <w:jc w:val="center"/>
            </w:pPr>
            <w:r>
              <w:rPr>
                <w:color w:val="000000"/>
                <w:sz w:val="24"/>
                <w:szCs w:val="24"/>
              </w:rPr>
              <w:t>泰胜风能</w:t>
            </w:r>
          </w:p>
        </w:tc>
        <w:tc>
          <w:tcPr>
            <w:tcW w:w="1334" w:type="dxa"/>
            <w:vAlign w:val="center"/>
          </w:tcPr>
          <w:p w:rsidR="00192D76" w:rsidRDefault="00081BC3">
            <w:pPr>
              <w:jc w:val="right"/>
            </w:pPr>
            <w:r>
              <w:rPr>
                <w:color w:val="000000"/>
                <w:sz w:val="24"/>
                <w:szCs w:val="24"/>
              </w:rPr>
              <w:t>8,840,382</w:t>
            </w:r>
          </w:p>
        </w:tc>
        <w:tc>
          <w:tcPr>
            <w:tcW w:w="1924" w:type="dxa"/>
            <w:vAlign w:val="center"/>
          </w:tcPr>
          <w:p w:rsidR="00192D76" w:rsidRDefault="00081BC3">
            <w:pPr>
              <w:jc w:val="right"/>
            </w:pPr>
            <w:r>
              <w:rPr>
                <w:color w:val="000000"/>
                <w:sz w:val="24"/>
                <w:szCs w:val="24"/>
              </w:rPr>
              <w:t>72,844,747.68</w:t>
            </w:r>
          </w:p>
        </w:tc>
        <w:tc>
          <w:tcPr>
            <w:tcW w:w="1644" w:type="dxa"/>
            <w:vAlign w:val="center"/>
          </w:tcPr>
          <w:p w:rsidR="00192D76" w:rsidRDefault="00081BC3">
            <w:pPr>
              <w:jc w:val="right"/>
            </w:pPr>
            <w:r>
              <w:rPr>
                <w:color w:val="000000"/>
                <w:sz w:val="24"/>
                <w:szCs w:val="24"/>
              </w:rPr>
              <w:t>7.55</w:t>
            </w:r>
          </w:p>
        </w:tc>
      </w:tr>
      <w:tr w:rsidR="00192D76">
        <w:trPr>
          <w:jc w:val="center"/>
        </w:trPr>
        <w:tc>
          <w:tcPr>
            <w:tcW w:w="855" w:type="dxa"/>
            <w:vAlign w:val="center"/>
          </w:tcPr>
          <w:p w:rsidR="00192D76" w:rsidRDefault="00081BC3">
            <w:pPr>
              <w:jc w:val="center"/>
            </w:pPr>
            <w:r>
              <w:rPr>
                <w:color w:val="000000"/>
                <w:sz w:val="24"/>
                <w:szCs w:val="24"/>
              </w:rPr>
              <w:t>3</w:t>
            </w:r>
          </w:p>
        </w:tc>
        <w:tc>
          <w:tcPr>
            <w:tcW w:w="1334" w:type="dxa"/>
            <w:vAlign w:val="center"/>
          </w:tcPr>
          <w:p w:rsidR="00192D76" w:rsidRDefault="00081BC3">
            <w:pPr>
              <w:jc w:val="center"/>
            </w:pPr>
            <w:r>
              <w:rPr>
                <w:color w:val="000000"/>
                <w:sz w:val="24"/>
                <w:szCs w:val="24"/>
              </w:rPr>
              <w:t>002045</w:t>
            </w:r>
          </w:p>
        </w:tc>
        <w:tc>
          <w:tcPr>
            <w:tcW w:w="1777" w:type="dxa"/>
            <w:vAlign w:val="center"/>
          </w:tcPr>
          <w:p w:rsidR="00192D76" w:rsidRDefault="00081BC3">
            <w:pPr>
              <w:jc w:val="center"/>
            </w:pPr>
            <w:r>
              <w:rPr>
                <w:color w:val="000000"/>
                <w:sz w:val="24"/>
                <w:szCs w:val="24"/>
              </w:rPr>
              <w:t>国光电器</w:t>
            </w:r>
          </w:p>
        </w:tc>
        <w:tc>
          <w:tcPr>
            <w:tcW w:w="1334" w:type="dxa"/>
            <w:vAlign w:val="center"/>
          </w:tcPr>
          <w:p w:rsidR="00192D76" w:rsidRDefault="00081BC3">
            <w:pPr>
              <w:jc w:val="right"/>
            </w:pPr>
            <w:r>
              <w:rPr>
                <w:color w:val="000000"/>
                <w:sz w:val="24"/>
                <w:szCs w:val="24"/>
              </w:rPr>
              <w:t>3,018,411</w:t>
            </w:r>
          </w:p>
        </w:tc>
        <w:tc>
          <w:tcPr>
            <w:tcW w:w="1924" w:type="dxa"/>
            <w:vAlign w:val="center"/>
          </w:tcPr>
          <w:p w:rsidR="00192D76" w:rsidRDefault="00081BC3">
            <w:pPr>
              <w:jc w:val="right"/>
            </w:pPr>
            <w:r>
              <w:rPr>
                <w:color w:val="000000"/>
                <w:sz w:val="24"/>
                <w:szCs w:val="24"/>
              </w:rPr>
              <w:t>47,690,893.80</w:t>
            </w:r>
          </w:p>
        </w:tc>
        <w:tc>
          <w:tcPr>
            <w:tcW w:w="1644" w:type="dxa"/>
            <w:vAlign w:val="center"/>
          </w:tcPr>
          <w:p w:rsidR="00192D76" w:rsidRDefault="00081BC3">
            <w:pPr>
              <w:jc w:val="right"/>
            </w:pPr>
            <w:r>
              <w:rPr>
                <w:color w:val="000000"/>
                <w:sz w:val="24"/>
                <w:szCs w:val="24"/>
              </w:rPr>
              <w:t>4.94</w:t>
            </w:r>
          </w:p>
        </w:tc>
      </w:tr>
      <w:tr w:rsidR="00192D76">
        <w:trPr>
          <w:jc w:val="center"/>
        </w:trPr>
        <w:tc>
          <w:tcPr>
            <w:tcW w:w="855" w:type="dxa"/>
            <w:vAlign w:val="center"/>
          </w:tcPr>
          <w:p w:rsidR="00192D76" w:rsidRDefault="00081BC3">
            <w:pPr>
              <w:jc w:val="center"/>
            </w:pPr>
            <w:r>
              <w:rPr>
                <w:color w:val="000000"/>
                <w:sz w:val="24"/>
                <w:szCs w:val="24"/>
              </w:rPr>
              <w:t>4</w:t>
            </w:r>
          </w:p>
        </w:tc>
        <w:tc>
          <w:tcPr>
            <w:tcW w:w="1334" w:type="dxa"/>
            <w:vAlign w:val="center"/>
          </w:tcPr>
          <w:p w:rsidR="00192D76" w:rsidRDefault="00081BC3">
            <w:pPr>
              <w:jc w:val="center"/>
            </w:pPr>
            <w:r>
              <w:rPr>
                <w:color w:val="000000"/>
                <w:sz w:val="24"/>
                <w:szCs w:val="24"/>
              </w:rPr>
              <w:t>300308</w:t>
            </w:r>
          </w:p>
        </w:tc>
        <w:tc>
          <w:tcPr>
            <w:tcW w:w="1777" w:type="dxa"/>
            <w:vAlign w:val="center"/>
          </w:tcPr>
          <w:p w:rsidR="00192D76" w:rsidRDefault="00081BC3">
            <w:pPr>
              <w:jc w:val="center"/>
            </w:pPr>
            <w:r>
              <w:rPr>
                <w:color w:val="000000"/>
                <w:sz w:val="24"/>
                <w:szCs w:val="24"/>
              </w:rPr>
              <w:t>中际装备</w:t>
            </w:r>
          </w:p>
        </w:tc>
        <w:tc>
          <w:tcPr>
            <w:tcW w:w="1334" w:type="dxa"/>
            <w:vAlign w:val="center"/>
          </w:tcPr>
          <w:p w:rsidR="00192D76" w:rsidRDefault="00081BC3">
            <w:pPr>
              <w:jc w:val="right"/>
            </w:pPr>
            <w:r>
              <w:rPr>
                <w:color w:val="000000"/>
                <w:sz w:val="24"/>
                <w:szCs w:val="24"/>
              </w:rPr>
              <w:t>1,316,846</w:t>
            </w:r>
          </w:p>
        </w:tc>
        <w:tc>
          <w:tcPr>
            <w:tcW w:w="1924" w:type="dxa"/>
            <w:vAlign w:val="center"/>
          </w:tcPr>
          <w:p w:rsidR="00192D76" w:rsidRDefault="00081BC3">
            <w:pPr>
              <w:jc w:val="right"/>
            </w:pPr>
            <w:r>
              <w:rPr>
                <w:color w:val="000000"/>
                <w:sz w:val="24"/>
                <w:szCs w:val="24"/>
              </w:rPr>
              <w:t>45,167,817.80</w:t>
            </w:r>
          </w:p>
        </w:tc>
        <w:tc>
          <w:tcPr>
            <w:tcW w:w="1644" w:type="dxa"/>
            <w:vAlign w:val="center"/>
          </w:tcPr>
          <w:p w:rsidR="00192D76" w:rsidRDefault="00081BC3">
            <w:pPr>
              <w:jc w:val="right"/>
            </w:pPr>
            <w:r>
              <w:rPr>
                <w:color w:val="000000"/>
                <w:sz w:val="24"/>
                <w:szCs w:val="24"/>
              </w:rPr>
              <w:t>4.68</w:t>
            </w:r>
          </w:p>
        </w:tc>
      </w:tr>
      <w:tr w:rsidR="00192D76">
        <w:trPr>
          <w:jc w:val="center"/>
        </w:trPr>
        <w:tc>
          <w:tcPr>
            <w:tcW w:w="855" w:type="dxa"/>
            <w:vAlign w:val="center"/>
          </w:tcPr>
          <w:p w:rsidR="00192D76" w:rsidRDefault="00081BC3">
            <w:pPr>
              <w:jc w:val="center"/>
            </w:pPr>
            <w:r>
              <w:rPr>
                <w:color w:val="000000"/>
                <w:sz w:val="24"/>
                <w:szCs w:val="24"/>
              </w:rPr>
              <w:t>5</w:t>
            </w:r>
          </w:p>
        </w:tc>
        <w:tc>
          <w:tcPr>
            <w:tcW w:w="1334" w:type="dxa"/>
            <w:vAlign w:val="center"/>
          </w:tcPr>
          <w:p w:rsidR="00192D76" w:rsidRDefault="00081BC3">
            <w:pPr>
              <w:jc w:val="center"/>
            </w:pPr>
            <w:r>
              <w:rPr>
                <w:color w:val="000000"/>
                <w:sz w:val="24"/>
                <w:szCs w:val="24"/>
              </w:rPr>
              <w:t>300161</w:t>
            </w:r>
          </w:p>
        </w:tc>
        <w:tc>
          <w:tcPr>
            <w:tcW w:w="1777" w:type="dxa"/>
            <w:vAlign w:val="center"/>
          </w:tcPr>
          <w:p w:rsidR="00192D76" w:rsidRDefault="00081BC3">
            <w:pPr>
              <w:jc w:val="center"/>
            </w:pPr>
            <w:r>
              <w:rPr>
                <w:color w:val="000000"/>
                <w:sz w:val="24"/>
                <w:szCs w:val="24"/>
              </w:rPr>
              <w:t>华中数控</w:t>
            </w:r>
          </w:p>
        </w:tc>
        <w:tc>
          <w:tcPr>
            <w:tcW w:w="1334" w:type="dxa"/>
            <w:vAlign w:val="center"/>
          </w:tcPr>
          <w:p w:rsidR="00192D76" w:rsidRDefault="00081BC3">
            <w:pPr>
              <w:jc w:val="right"/>
            </w:pPr>
            <w:r>
              <w:rPr>
                <w:color w:val="000000"/>
                <w:sz w:val="24"/>
                <w:szCs w:val="24"/>
              </w:rPr>
              <w:t>1,605,270</w:t>
            </w:r>
          </w:p>
        </w:tc>
        <w:tc>
          <w:tcPr>
            <w:tcW w:w="1924" w:type="dxa"/>
            <w:vAlign w:val="center"/>
          </w:tcPr>
          <w:p w:rsidR="00192D76" w:rsidRDefault="00081BC3">
            <w:pPr>
              <w:jc w:val="right"/>
            </w:pPr>
            <w:r>
              <w:rPr>
                <w:color w:val="000000"/>
                <w:sz w:val="24"/>
                <w:szCs w:val="24"/>
              </w:rPr>
              <w:t>39,907,012.20</w:t>
            </w:r>
          </w:p>
        </w:tc>
        <w:tc>
          <w:tcPr>
            <w:tcW w:w="1644" w:type="dxa"/>
            <w:vAlign w:val="center"/>
          </w:tcPr>
          <w:p w:rsidR="00192D76" w:rsidRDefault="00081BC3">
            <w:pPr>
              <w:jc w:val="right"/>
            </w:pPr>
            <w:r>
              <w:rPr>
                <w:color w:val="000000"/>
                <w:sz w:val="24"/>
                <w:szCs w:val="24"/>
              </w:rPr>
              <w:t>4.14</w:t>
            </w:r>
          </w:p>
        </w:tc>
      </w:tr>
      <w:tr w:rsidR="00192D76">
        <w:trPr>
          <w:jc w:val="center"/>
        </w:trPr>
        <w:tc>
          <w:tcPr>
            <w:tcW w:w="855" w:type="dxa"/>
            <w:vAlign w:val="center"/>
          </w:tcPr>
          <w:p w:rsidR="00192D76" w:rsidRDefault="00081BC3">
            <w:pPr>
              <w:jc w:val="center"/>
            </w:pPr>
            <w:r>
              <w:rPr>
                <w:color w:val="000000"/>
                <w:sz w:val="24"/>
                <w:szCs w:val="24"/>
              </w:rPr>
              <w:t>6</w:t>
            </w:r>
          </w:p>
        </w:tc>
        <w:tc>
          <w:tcPr>
            <w:tcW w:w="1334" w:type="dxa"/>
            <w:vAlign w:val="center"/>
          </w:tcPr>
          <w:p w:rsidR="00192D76" w:rsidRDefault="00081BC3">
            <w:pPr>
              <w:jc w:val="center"/>
            </w:pPr>
            <w:r>
              <w:rPr>
                <w:color w:val="000000"/>
                <w:sz w:val="24"/>
                <w:szCs w:val="24"/>
              </w:rPr>
              <w:t>300307</w:t>
            </w:r>
          </w:p>
        </w:tc>
        <w:tc>
          <w:tcPr>
            <w:tcW w:w="1777" w:type="dxa"/>
            <w:vAlign w:val="center"/>
          </w:tcPr>
          <w:p w:rsidR="00192D76" w:rsidRDefault="00081BC3">
            <w:pPr>
              <w:jc w:val="center"/>
            </w:pPr>
            <w:r>
              <w:rPr>
                <w:color w:val="000000"/>
                <w:sz w:val="24"/>
                <w:szCs w:val="24"/>
              </w:rPr>
              <w:t>慈星股份</w:t>
            </w:r>
          </w:p>
        </w:tc>
        <w:tc>
          <w:tcPr>
            <w:tcW w:w="1334" w:type="dxa"/>
            <w:vAlign w:val="center"/>
          </w:tcPr>
          <w:p w:rsidR="00192D76" w:rsidRDefault="00081BC3">
            <w:pPr>
              <w:jc w:val="right"/>
            </w:pPr>
            <w:r>
              <w:rPr>
                <w:color w:val="000000"/>
                <w:sz w:val="24"/>
                <w:szCs w:val="24"/>
              </w:rPr>
              <w:t>3,663,114</w:t>
            </w:r>
          </w:p>
        </w:tc>
        <w:tc>
          <w:tcPr>
            <w:tcW w:w="1924" w:type="dxa"/>
            <w:vAlign w:val="center"/>
          </w:tcPr>
          <w:p w:rsidR="00192D76" w:rsidRDefault="00081BC3">
            <w:pPr>
              <w:jc w:val="right"/>
            </w:pPr>
            <w:r>
              <w:rPr>
                <w:color w:val="000000"/>
                <w:sz w:val="24"/>
                <w:szCs w:val="24"/>
              </w:rPr>
              <w:t>39,891,311.46</w:t>
            </w:r>
          </w:p>
        </w:tc>
        <w:tc>
          <w:tcPr>
            <w:tcW w:w="1644" w:type="dxa"/>
            <w:vAlign w:val="center"/>
          </w:tcPr>
          <w:p w:rsidR="00192D76" w:rsidRDefault="00081BC3">
            <w:pPr>
              <w:jc w:val="right"/>
            </w:pPr>
            <w:r>
              <w:rPr>
                <w:color w:val="000000"/>
                <w:sz w:val="24"/>
                <w:szCs w:val="24"/>
              </w:rPr>
              <w:t>4.13</w:t>
            </w:r>
          </w:p>
        </w:tc>
      </w:tr>
      <w:tr w:rsidR="00192D76">
        <w:trPr>
          <w:jc w:val="center"/>
        </w:trPr>
        <w:tc>
          <w:tcPr>
            <w:tcW w:w="855" w:type="dxa"/>
            <w:vAlign w:val="center"/>
          </w:tcPr>
          <w:p w:rsidR="00192D76" w:rsidRDefault="00081BC3">
            <w:pPr>
              <w:jc w:val="center"/>
            </w:pPr>
            <w:r>
              <w:rPr>
                <w:color w:val="000000"/>
                <w:sz w:val="24"/>
                <w:szCs w:val="24"/>
              </w:rPr>
              <w:t>7</w:t>
            </w:r>
          </w:p>
        </w:tc>
        <w:tc>
          <w:tcPr>
            <w:tcW w:w="1334" w:type="dxa"/>
            <w:vAlign w:val="center"/>
          </w:tcPr>
          <w:p w:rsidR="00192D76" w:rsidRDefault="00081BC3">
            <w:pPr>
              <w:jc w:val="center"/>
            </w:pPr>
            <w:r>
              <w:rPr>
                <w:color w:val="000000"/>
                <w:sz w:val="24"/>
                <w:szCs w:val="24"/>
              </w:rPr>
              <w:t>600500</w:t>
            </w:r>
          </w:p>
        </w:tc>
        <w:tc>
          <w:tcPr>
            <w:tcW w:w="1777" w:type="dxa"/>
            <w:vAlign w:val="center"/>
          </w:tcPr>
          <w:p w:rsidR="00192D76" w:rsidRDefault="00081BC3">
            <w:pPr>
              <w:jc w:val="center"/>
            </w:pPr>
            <w:r>
              <w:rPr>
                <w:color w:val="000000"/>
                <w:sz w:val="24"/>
                <w:szCs w:val="24"/>
              </w:rPr>
              <w:t>中化国际</w:t>
            </w:r>
          </w:p>
        </w:tc>
        <w:tc>
          <w:tcPr>
            <w:tcW w:w="1334" w:type="dxa"/>
            <w:vAlign w:val="center"/>
          </w:tcPr>
          <w:p w:rsidR="00192D76" w:rsidRDefault="00081BC3">
            <w:pPr>
              <w:jc w:val="right"/>
            </w:pPr>
            <w:r>
              <w:rPr>
                <w:color w:val="000000"/>
                <w:sz w:val="24"/>
                <w:szCs w:val="24"/>
              </w:rPr>
              <w:t>3,393,930</w:t>
            </w:r>
          </w:p>
        </w:tc>
        <w:tc>
          <w:tcPr>
            <w:tcW w:w="1924" w:type="dxa"/>
            <w:vAlign w:val="center"/>
          </w:tcPr>
          <w:p w:rsidR="00192D76" w:rsidRDefault="00081BC3">
            <w:pPr>
              <w:jc w:val="right"/>
            </w:pPr>
            <w:r>
              <w:rPr>
                <w:color w:val="000000"/>
                <w:sz w:val="24"/>
                <w:szCs w:val="24"/>
              </w:rPr>
              <w:t>37,401,108.60</w:t>
            </w:r>
          </w:p>
        </w:tc>
        <w:tc>
          <w:tcPr>
            <w:tcW w:w="1644" w:type="dxa"/>
            <w:vAlign w:val="center"/>
          </w:tcPr>
          <w:p w:rsidR="00192D76" w:rsidRDefault="00081BC3">
            <w:pPr>
              <w:jc w:val="right"/>
            </w:pPr>
            <w:r>
              <w:rPr>
                <w:color w:val="000000"/>
                <w:sz w:val="24"/>
                <w:szCs w:val="24"/>
              </w:rPr>
              <w:t>3.88</w:t>
            </w:r>
          </w:p>
        </w:tc>
      </w:tr>
      <w:tr w:rsidR="00192D76">
        <w:trPr>
          <w:jc w:val="center"/>
        </w:trPr>
        <w:tc>
          <w:tcPr>
            <w:tcW w:w="855" w:type="dxa"/>
            <w:vAlign w:val="center"/>
          </w:tcPr>
          <w:p w:rsidR="00192D76" w:rsidRDefault="00081BC3">
            <w:pPr>
              <w:jc w:val="center"/>
            </w:pPr>
            <w:r>
              <w:rPr>
                <w:color w:val="000000"/>
                <w:sz w:val="24"/>
                <w:szCs w:val="24"/>
              </w:rPr>
              <w:t>8</w:t>
            </w:r>
          </w:p>
        </w:tc>
        <w:tc>
          <w:tcPr>
            <w:tcW w:w="1334" w:type="dxa"/>
            <w:vAlign w:val="center"/>
          </w:tcPr>
          <w:p w:rsidR="00192D76" w:rsidRDefault="00081BC3">
            <w:pPr>
              <w:jc w:val="center"/>
            </w:pPr>
            <w:r>
              <w:rPr>
                <w:color w:val="000000"/>
                <w:sz w:val="24"/>
                <w:szCs w:val="24"/>
              </w:rPr>
              <w:t>002202</w:t>
            </w:r>
          </w:p>
        </w:tc>
        <w:tc>
          <w:tcPr>
            <w:tcW w:w="1777" w:type="dxa"/>
            <w:vAlign w:val="center"/>
          </w:tcPr>
          <w:p w:rsidR="00192D76" w:rsidRDefault="00081BC3">
            <w:pPr>
              <w:jc w:val="center"/>
            </w:pPr>
            <w:r>
              <w:rPr>
                <w:color w:val="000000"/>
                <w:sz w:val="24"/>
                <w:szCs w:val="24"/>
              </w:rPr>
              <w:t>金风科技</w:t>
            </w:r>
          </w:p>
        </w:tc>
        <w:tc>
          <w:tcPr>
            <w:tcW w:w="1334" w:type="dxa"/>
            <w:vAlign w:val="center"/>
          </w:tcPr>
          <w:p w:rsidR="00192D76" w:rsidRDefault="00081BC3">
            <w:pPr>
              <w:jc w:val="right"/>
            </w:pPr>
            <w:r>
              <w:rPr>
                <w:color w:val="000000"/>
                <w:sz w:val="24"/>
                <w:szCs w:val="24"/>
              </w:rPr>
              <w:t>2,022,100</w:t>
            </w:r>
          </w:p>
        </w:tc>
        <w:tc>
          <w:tcPr>
            <w:tcW w:w="1924" w:type="dxa"/>
            <w:vAlign w:val="center"/>
          </w:tcPr>
          <w:p w:rsidR="00192D76" w:rsidRDefault="00081BC3">
            <w:pPr>
              <w:jc w:val="right"/>
            </w:pPr>
            <w:r>
              <w:rPr>
                <w:color w:val="000000"/>
                <w:sz w:val="24"/>
                <w:szCs w:val="24"/>
              </w:rPr>
              <w:t>32,474,926.00</w:t>
            </w:r>
          </w:p>
        </w:tc>
        <w:tc>
          <w:tcPr>
            <w:tcW w:w="1644" w:type="dxa"/>
            <w:vAlign w:val="center"/>
          </w:tcPr>
          <w:p w:rsidR="00192D76" w:rsidRDefault="00081BC3">
            <w:pPr>
              <w:jc w:val="right"/>
            </w:pPr>
            <w:r>
              <w:rPr>
                <w:color w:val="000000"/>
                <w:sz w:val="24"/>
                <w:szCs w:val="24"/>
              </w:rPr>
              <w:t>3.37</w:t>
            </w:r>
          </w:p>
        </w:tc>
      </w:tr>
      <w:tr w:rsidR="00192D76">
        <w:trPr>
          <w:jc w:val="center"/>
        </w:trPr>
        <w:tc>
          <w:tcPr>
            <w:tcW w:w="855" w:type="dxa"/>
            <w:vAlign w:val="center"/>
          </w:tcPr>
          <w:p w:rsidR="00192D76" w:rsidRDefault="00081BC3">
            <w:pPr>
              <w:jc w:val="center"/>
            </w:pPr>
            <w:r>
              <w:rPr>
                <w:color w:val="000000"/>
                <w:sz w:val="24"/>
                <w:szCs w:val="24"/>
              </w:rPr>
              <w:t>9</w:t>
            </w:r>
          </w:p>
        </w:tc>
        <w:tc>
          <w:tcPr>
            <w:tcW w:w="1334" w:type="dxa"/>
            <w:vAlign w:val="center"/>
          </w:tcPr>
          <w:p w:rsidR="00192D76" w:rsidRDefault="00081BC3">
            <w:pPr>
              <w:jc w:val="center"/>
            </w:pPr>
            <w:r>
              <w:rPr>
                <w:color w:val="000000"/>
                <w:sz w:val="24"/>
                <w:szCs w:val="24"/>
              </w:rPr>
              <w:t>600320</w:t>
            </w:r>
          </w:p>
        </w:tc>
        <w:tc>
          <w:tcPr>
            <w:tcW w:w="1777" w:type="dxa"/>
            <w:vAlign w:val="center"/>
          </w:tcPr>
          <w:p w:rsidR="00192D76" w:rsidRDefault="00081BC3">
            <w:pPr>
              <w:jc w:val="center"/>
            </w:pPr>
            <w:r>
              <w:rPr>
                <w:color w:val="000000"/>
                <w:sz w:val="24"/>
                <w:szCs w:val="24"/>
              </w:rPr>
              <w:t>振华重工</w:t>
            </w:r>
          </w:p>
        </w:tc>
        <w:tc>
          <w:tcPr>
            <w:tcW w:w="1334" w:type="dxa"/>
            <w:vAlign w:val="center"/>
          </w:tcPr>
          <w:p w:rsidR="00192D76" w:rsidRDefault="00081BC3">
            <w:pPr>
              <w:jc w:val="right"/>
            </w:pPr>
            <w:r>
              <w:rPr>
                <w:color w:val="000000"/>
                <w:sz w:val="24"/>
                <w:szCs w:val="24"/>
              </w:rPr>
              <w:t>4,891,300</w:t>
            </w:r>
          </w:p>
        </w:tc>
        <w:tc>
          <w:tcPr>
            <w:tcW w:w="1924" w:type="dxa"/>
            <w:vAlign w:val="center"/>
          </w:tcPr>
          <w:p w:rsidR="00192D76" w:rsidRDefault="00081BC3">
            <w:pPr>
              <w:jc w:val="right"/>
            </w:pPr>
            <w:r>
              <w:rPr>
                <w:color w:val="000000"/>
                <w:sz w:val="24"/>
                <w:szCs w:val="24"/>
              </w:rPr>
              <w:t>28,271,714.00</w:t>
            </w:r>
          </w:p>
        </w:tc>
        <w:tc>
          <w:tcPr>
            <w:tcW w:w="1644" w:type="dxa"/>
            <w:vAlign w:val="center"/>
          </w:tcPr>
          <w:p w:rsidR="00192D76" w:rsidRDefault="00081BC3">
            <w:pPr>
              <w:jc w:val="right"/>
            </w:pPr>
            <w:r>
              <w:rPr>
                <w:color w:val="000000"/>
                <w:sz w:val="24"/>
                <w:szCs w:val="24"/>
              </w:rPr>
              <w:t>2.93</w:t>
            </w:r>
          </w:p>
        </w:tc>
      </w:tr>
      <w:tr w:rsidR="00192D76">
        <w:trPr>
          <w:jc w:val="center"/>
        </w:trPr>
        <w:tc>
          <w:tcPr>
            <w:tcW w:w="855" w:type="dxa"/>
            <w:vAlign w:val="center"/>
          </w:tcPr>
          <w:p w:rsidR="00192D76" w:rsidRDefault="00081BC3">
            <w:pPr>
              <w:jc w:val="center"/>
            </w:pPr>
            <w:r>
              <w:rPr>
                <w:color w:val="000000"/>
                <w:sz w:val="24"/>
                <w:szCs w:val="24"/>
              </w:rPr>
              <w:t>10</w:t>
            </w:r>
          </w:p>
        </w:tc>
        <w:tc>
          <w:tcPr>
            <w:tcW w:w="1334" w:type="dxa"/>
            <w:vAlign w:val="center"/>
          </w:tcPr>
          <w:p w:rsidR="00192D76" w:rsidRDefault="00081BC3">
            <w:pPr>
              <w:jc w:val="center"/>
            </w:pPr>
            <w:r>
              <w:rPr>
                <w:color w:val="000000"/>
                <w:sz w:val="24"/>
                <w:szCs w:val="24"/>
              </w:rPr>
              <w:t>002583</w:t>
            </w:r>
          </w:p>
        </w:tc>
        <w:tc>
          <w:tcPr>
            <w:tcW w:w="1777" w:type="dxa"/>
            <w:vAlign w:val="center"/>
          </w:tcPr>
          <w:p w:rsidR="00192D76" w:rsidRDefault="00081BC3">
            <w:pPr>
              <w:jc w:val="center"/>
            </w:pPr>
            <w:r>
              <w:rPr>
                <w:color w:val="000000"/>
                <w:sz w:val="24"/>
                <w:szCs w:val="24"/>
              </w:rPr>
              <w:t>海能达</w:t>
            </w:r>
          </w:p>
        </w:tc>
        <w:tc>
          <w:tcPr>
            <w:tcW w:w="1334" w:type="dxa"/>
            <w:vAlign w:val="center"/>
          </w:tcPr>
          <w:p w:rsidR="00192D76" w:rsidRDefault="00081BC3">
            <w:pPr>
              <w:jc w:val="right"/>
            </w:pPr>
            <w:r>
              <w:rPr>
                <w:color w:val="000000"/>
                <w:sz w:val="24"/>
                <w:szCs w:val="24"/>
              </w:rPr>
              <w:t>1,918,564</w:t>
            </w:r>
          </w:p>
        </w:tc>
        <w:tc>
          <w:tcPr>
            <w:tcW w:w="1924" w:type="dxa"/>
            <w:vAlign w:val="center"/>
          </w:tcPr>
          <w:p w:rsidR="00192D76" w:rsidRDefault="00081BC3">
            <w:pPr>
              <w:jc w:val="right"/>
            </w:pPr>
            <w:r>
              <w:rPr>
                <w:color w:val="000000"/>
                <w:sz w:val="24"/>
                <w:szCs w:val="24"/>
              </w:rPr>
              <w:t>27,991,848.76</w:t>
            </w:r>
          </w:p>
        </w:tc>
        <w:tc>
          <w:tcPr>
            <w:tcW w:w="1644" w:type="dxa"/>
            <w:vAlign w:val="center"/>
          </w:tcPr>
          <w:p w:rsidR="00192D76" w:rsidRDefault="00081BC3">
            <w:pPr>
              <w:jc w:val="right"/>
            </w:pPr>
            <w:r>
              <w:rPr>
                <w:color w:val="000000"/>
                <w:sz w:val="24"/>
                <w:szCs w:val="24"/>
              </w:rPr>
              <w:t>2.90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405,541.84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48,876.71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87,109,040.83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87,563,459.38</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lastRenderedPageBreak/>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859,677,909.07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464,256,722.23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406,081,994.59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917,852,636.71</w:t>
            </w:r>
          </w:p>
        </w:tc>
      </w:tr>
    </w:tbl>
    <w:p w:rsidR="00192D76" w:rsidRDefault="00081BC3">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、如果本报告期间发生转换入、份额类别调整、红利再投业务，则总申购份额中包含该业务；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、如果本报告期间发生转换出、份额类别调整业务，则总赎回份额中包含该业务。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AB6E7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A58DC" w:rsidRPr="007E75F6" w:rsidRDefault="003A58DC" w:rsidP="003A58DC">
      <w:pPr>
        <w:pStyle w:val="1"/>
        <w:spacing w:beforeLines="100" w:before="312" w:afterLines="100" w:after="312" w:line="360" w:lineRule="auto"/>
        <w:jc w:val="center"/>
        <w:rPr>
          <w:rFonts w:eastAsiaTheme="minorEastAsia"/>
          <w:color w:val="000000" w:themeColor="text1"/>
          <w:kern w:val="0"/>
          <w:sz w:val="24"/>
          <w:szCs w:val="24"/>
        </w:rPr>
      </w:pPr>
      <w:r w:rsidRPr="007E75F6">
        <w:rPr>
          <w:rFonts w:eastAsiaTheme="minorEastAsia"/>
          <w:color w:val="000000" w:themeColor="text1"/>
          <w:kern w:val="0"/>
          <w:sz w:val="24"/>
          <w:szCs w:val="24"/>
        </w:rPr>
        <w:t>§8</w:t>
      </w:r>
      <w:r w:rsidRPr="007E75F6">
        <w:rPr>
          <w:rFonts w:eastAsiaTheme="minorEastAsia"/>
          <w:color w:val="000000" w:themeColor="text1"/>
          <w:kern w:val="0"/>
          <w:sz w:val="24"/>
          <w:szCs w:val="24"/>
        </w:rPr>
        <w:t>影响投资者决策的其他重要信息</w:t>
      </w:r>
    </w:p>
    <w:p w:rsidR="003A58DC" w:rsidRPr="007E75F6" w:rsidRDefault="003A58DC" w:rsidP="003A58DC">
      <w:pPr>
        <w:autoSpaceDE w:val="0"/>
        <w:autoSpaceDN w:val="0"/>
        <w:adjustRightInd w:val="0"/>
        <w:spacing w:line="360" w:lineRule="auto"/>
        <w:jc w:val="left"/>
        <w:rPr>
          <w:rFonts w:eastAsiaTheme="minorEastAsia"/>
          <w:b/>
          <w:bCs/>
          <w:color w:val="000000" w:themeColor="text1"/>
          <w:kern w:val="0"/>
          <w:sz w:val="24"/>
        </w:rPr>
      </w:pPr>
      <w:r>
        <w:rPr>
          <w:rFonts w:eastAsiaTheme="minorEastAsia"/>
          <w:b/>
          <w:bCs/>
          <w:color w:val="000000" w:themeColor="text1"/>
          <w:kern w:val="0"/>
          <w:sz w:val="24"/>
        </w:rPr>
        <w:t>8.</w:t>
      </w:r>
      <w:r>
        <w:rPr>
          <w:rFonts w:eastAsiaTheme="minorEastAsia" w:hint="eastAsia"/>
          <w:b/>
          <w:bCs/>
          <w:color w:val="000000" w:themeColor="text1"/>
          <w:kern w:val="0"/>
          <w:sz w:val="24"/>
        </w:rPr>
        <w:t xml:space="preserve">1 </w:t>
      </w:r>
      <w:r w:rsidRPr="007E75F6">
        <w:rPr>
          <w:rFonts w:eastAsiaTheme="minorEastAsia" w:hint="eastAsia"/>
          <w:b/>
          <w:bCs/>
          <w:color w:val="000000" w:themeColor="text1"/>
          <w:kern w:val="0"/>
          <w:sz w:val="24"/>
        </w:rPr>
        <w:t>报告期内单一投资者持有基金份额比例达到或超过</w:t>
      </w:r>
      <w:r w:rsidRPr="007E75F6">
        <w:rPr>
          <w:rFonts w:eastAsiaTheme="minorEastAsia" w:hint="eastAsia"/>
          <w:b/>
          <w:bCs/>
          <w:color w:val="000000" w:themeColor="text1"/>
          <w:kern w:val="0"/>
          <w:sz w:val="24"/>
        </w:rPr>
        <w:t>20%</w:t>
      </w:r>
      <w:r w:rsidRPr="007E75F6">
        <w:rPr>
          <w:rFonts w:eastAsiaTheme="minorEastAsia" w:hint="eastAsia"/>
          <w:b/>
          <w:bCs/>
          <w:color w:val="000000" w:themeColor="text1"/>
          <w:kern w:val="0"/>
          <w:sz w:val="24"/>
        </w:rPr>
        <w:t>的情况</w:t>
      </w:r>
    </w:p>
    <w:tbl>
      <w:tblPr>
        <w:tblStyle w:val="af7"/>
        <w:tblW w:w="9498" w:type="dxa"/>
        <w:tblInd w:w="-176" w:type="dxa"/>
        <w:tblLayout w:type="fixed"/>
        <w:tblLook w:val="04A0" w:firstRow="1" w:lastRow="0" w:firstColumn="1" w:lastColumn="0" w:noHBand="0" w:noVBand="1"/>
      </w:tblPr>
      <w:tblGrid>
        <w:gridCol w:w="426"/>
        <w:gridCol w:w="425"/>
        <w:gridCol w:w="2127"/>
        <w:gridCol w:w="1559"/>
        <w:gridCol w:w="1701"/>
        <w:gridCol w:w="567"/>
        <w:gridCol w:w="1701"/>
        <w:gridCol w:w="992"/>
      </w:tblGrid>
      <w:tr w:rsidR="003A58DC" w:rsidRPr="007360D6" w:rsidTr="00081BC3">
        <w:tc>
          <w:tcPr>
            <w:tcW w:w="426" w:type="dxa"/>
            <w:vMerge w:val="restart"/>
            <w:vAlign w:val="center"/>
          </w:tcPr>
          <w:p w:rsidR="003A58DC" w:rsidRPr="007360D6" w:rsidRDefault="003A58DC" w:rsidP="00B06DDA">
            <w:pPr>
              <w:autoSpaceDE w:val="0"/>
              <w:autoSpaceDN w:val="0"/>
              <w:adjustRightInd w:val="0"/>
              <w:jc w:val="center"/>
              <w:rPr>
                <w:rFonts w:ascii="宋体" w:hAnsi="宋体"/>
                <w:color w:val="000000"/>
                <w:sz w:val="24"/>
                <w:szCs w:val="24"/>
              </w:rPr>
            </w:pPr>
            <w:bookmarkStart w:id="0" w:name="_GoBack"/>
            <w:r w:rsidRPr="007360D6">
              <w:rPr>
                <w:rFonts w:ascii="宋体" w:hAnsi="宋体" w:hint="eastAsia"/>
                <w:color w:val="000000"/>
                <w:sz w:val="24"/>
                <w:szCs w:val="24"/>
              </w:rPr>
              <w:t>投资者类别</w:t>
            </w:r>
          </w:p>
        </w:tc>
        <w:tc>
          <w:tcPr>
            <w:tcW w:w="6379" w:type="dxa"/>
            <w:gridSpan w:val="5"/>
            <w:vAlign w:val="center"/>
          </w:tcPr>
          <w:p w:rsidR="003A58DC" w:rsidRPr="007360D6" w:rsidRDefault="003A58DC" w:rsidP="00B06DDA">
            <w:pPr>
              <w:autoSpaceDE w:val="0"/>
              <w:autoSpaceDN w:val="0"/>
              <w:adjustRightInd w:val="0"/>
              <w:jc w:val="center"/>
              <w:rPr>
                <w:rFonts w:ascii="宋体" w:hAnsi="宋体"/>
                <w:color w:val="000000"/>
                <w:sz w:val="24"/>
                <w:szCs w:val="24"/>
              </w:rPr>
            </w:pPr>
            <w:r w:rsidRPr="007360D6">
              <w:rPr>
                <w:rFonts w:ascii="宋体" w:hAnsi="宋体" w:hint="eastAsia"/>
                <w:color w:val="000000"/>
                <w:sz w:val="24"/>
                <w:szCs w:val="24"/>
              </w:rPr>
              <w:t>报告期内持有基金份额变化情况</w:t>
            </w:r>
          </w:p>
        </w:tc>
        <w:tc>
          <w:tcPr>
            <w:tcW w:w="2693" w:type="dxa"/>
            <w:gridSpan w:val="2"/>
            <w:vAlign w:val="center"/>
          </w:tcPr>
          <w:p w:rsidR="003A58DC" w:rsidRPr="007360D6" w:rsidRDefault="003A58DC" w:rsidP="00B06DDA">
            <w:pPr>
              <w:autoSpaceDE w:val="0"/>
              <w:autoSpaceDN w:val="0"/>
              <w:adjustRightInd w:val="0"/>
              <w:rPr>
                <w:rFonts w:ascii="宋体" w:hAnsi="宋体"/>
                <w:color w:val="000000"/>
                <w:sz w:val="24"/>
                <w:szCs w:val="24"/>
              </w:rPr>
            </w:pPr>
            <w:r w:rsidRPr="007360D6">
              <w:rPr>
                <w:rFonts w:ascii="宋体" w:hAnsi="宋体" w:hint="eastAsia"/>
                <w:color w:val="000000"/>
                <w:sz w:val="24"/>
                <w:szCs w:val="24"/>
              </w:rPr>
              <w:t>报告期末持有基金情况</w:t>
            </w:r>
          </w:p>
        </w:tc>
      </w:tr>
      <w:tr w:rsidR="003A58DC" w:rsidRPr="007360D6" w:rsidTr="00081BC3">
        <w:tc>
          <w:tcPr>
            <w:tcW w:w="426" w:type="dxa"/>
            <w:vMerge/>
            <w:vAlign w:val="center"/>
          </w:tcPr>
          <w:p w:rsidR="003A58DC" w:rsidRPr="007360D6" w:rsidRDefault="003A58DC" w:rsidP="00B06DDA">
            <w:pPr>
              <w:autoSpaceDE w:val="0"/>
              <w:autoSpaceDN w:val="0"/>
              <w:adjustRightInd w:val="0"/>
              <w:jc w:val="center"/>
              <w:rPr>
                <w:rFonts w:ascii="宋体" w:hAnsi="宋体"/>
                <w:color w:val="000000"/>
                <w:sz w:val="24"/>
                <w:szCs w:val="24"/>
              </w:rPr>
            </w:pPr>
          </w:p>
        </w:tc>
        <w:tc>
          <w:tcPr>
            <w:tcW w:w="425" w:type="dxa"/>
            <w:vAlign w:val="center"/>
          </w:tcPr>
          <w:p w:rsidR="003A58DC" w:rsidRPr="007360D6" w:rsidRDefault="003A58DC" w:rsidP="00B06DDA">
            <w:pPr>
              <w:autoSpaceDE w:val="0"/>
              <w:autoSpaceDN w:val="0"/>
              <w:adjustRightInd w:val="0"/>
              <w:jc w:val="center"/>
              <w:rPr>
                <w:rFonts w:ascii="宋体" w:hAnsi="宋体"/>
                <w:color w:val="000000"/>
                <w:sz w:val="24"/>
                <w:szCs w:val="24"/>
              </w:rPr>
            </w:pPr>
            <w:r w:rsidRPr="007360D6">
              <w:rPr>
                <w:rFonts w:ascii="宋体" w:hAnsi="宋体" w:hint="eastAsia"/>
                <w:color w:val="000000"/>
                <w:sz w:val="24"/>
                <w:szCs w:val="24"/>
              </w:rPr>
              <w:t>序号</w:t>
            </w:r>
          </w:p>
        </w:tc>
        <w:tc>
          <w:tcPr>
            <w:tcW w:w="2127" w:type="dxa"/>
            <w:vAlign w:val="center"/>
          </w:tcPr>
          <w:p w:rsidR="003A58DC" w:rsidRPr="007360D6" w:rsidRDefault="003A58DC" w:rsidP="00B06DDA">
            <w:pPr>
              <w:autoSpaceDE w:val="0"/>
              <w:autoSpaceDN w:val="0"/>
              <w:adjustRightInd w:val="0"/>
              <w:rPr>
                <w:rFonts w:ascii="宋体" w:hAnsi="宋体"/>
                <w:color w:val="000000"/>
                <w:sz w:val="24"/>
                <w:szCs w:val="24"/>
              </w:rPr>
            </w:pPr>
            <w:r w:rsidRPr="007360D6">
              <w:rPr>
                <w:rFonts w:ascii="宋体" w:hAnsi="宋体" w:hint="eastAsia"/>
                <w:color w:val="000000"/>
                <w:sz w:val="24"/>
                <w:szCs w:val="24"/>
              </w:rPr>
              <w:t>持有基金份额比例达到或者超过20%的时间区间</w:t>
            </w:r>
          </w:p>
        </w:tc>
        <w:tc>
          <w:tcPr>
            <w:tcW w:w="1559" w:type="dxa"/>
            <w:vAlign w:val="center"/>
          </w:tcPr>
          <w:p w:rsidR="003A58DC" w:rsidRPr="007360D6" w:rsidRDefault="003A58DC" w:rsidP="00B06DDA">
            <w:pPr>
              <w:widowControl/>
              <w:jc w:val="center"/>
              <w:rPr>
                <w:rFonts w:ascii="宋体" w:hAnsi="宋体"/>
                <w:color w:val="000000"/>
                <w:sz w:val="24"/>
                <w:szCs w:val="24"/>
              </w:rPr>
            </w:pPr>
            <w:r w:rsidRPr="007360D6">
              <w:rPr>
                <w:rFonts w:ascii="宋体" w:hAnsi="宋体" w:hint="eastAsia"/>
                <w:color w:val="000000"/>
                <w:sz w:val="24"/>
                <w:szCs w:val="24"/>
              </w:rPr>
              <w:t>期初份额</w:t>
            </w:r>
          </w:p>
          <w:p w:rsidR="003A58DC" w:rsidRPr="007360D6" w:rsidRDefault="003A58DC" w:rsidP="00B06DDA">
            <w:pPr>
              <w:autoSpaceDE w:val="0"/>
              <w:autoSpaceDN w:val="0"/>
              <w:adjustRightInd w:val="0"/>
              <w:jc w:val="center"/>
              <w:rPr>
                <w:rFonts w:ascii="宋体" w:hAnsi="宋体"/>
                <w:color w:val="000000"/>
                <w:sz w:val="24"/>
                <w:szCs w:val="24"/>
              </w:rPr>
            </w:pPr>
          </w:p>
        </w:tc>
        <w:tc>
          <w:tcPr>
            <w:tcW w:w="1701" w:type="dxa"/>
            <w:vAlign w:val="center"/>
          </w:tcPr>
          <w:p w:rsidR="003A58DC" w:rsidRPr="007360D6" w:rsidRDefault="003A58DC" w:rsidP="00B06DDA">
            <w:pPr>
              <w:widowControl/>
              <w:jc w:val="center"/>
              <w:rPr>
                <w:rFonts w:ascii="宋体" w:hAnsi="宋体"/>
                <w:color w:val="000000"/>
                <w:sz w:val="24"/>
                <w:szCs w:val="24"/>
              </w:rPr>
            </w:pPr>
            <w:r w:rsidRPr="007360D6">
              <w:rPr>
                <w:rFonts w:ascii="宋体" w:hAnsi="宋体" w:hint="eastAsia"/>
                <w:color w:val="000000"/>
                <w:sz w:val="24"/>
                <w:szCs w:val="24"/>
              </w:rPr>
              <w:t>申购份额</w:t>
            </w:r>
          </w:p>
          <w:p w:rsidR="003A58DC" w:rsidRPr="007360D6" w:rsidRDefault="003A58DC" w:rsidP="00B06DDA">
            <w:pPr>
              <w:autoSpaceDE w:val="0"/>
              <w:autoSpaceDN w:val="0"/>
              <w:adjustRightInd w:val="0"/>
              <w:jc w:val="center"/>
              <w:rPr>
                <w:rFonts w:ascii="宋体" w:hAnsi="宋体"/>
                <w:color w:val="000000"/>
                <w:sz w:val="24"/>
                <w:szCs w:val="24"/>
              </w:rPr>
            </w:pPr>
          </w:p>
        </w:tc>
        <w:tc>
          <w:tcPr>
            <w:tcW w:w="567" w:type="dxa"/>
            <w:vAlign w:val="center"/>
          </w:tcPr>
          <w:p w:rsidR="003A58DC" w:rsidRPr="007360D6" w:rsidRDefault="003A58DC" w:rsidP="00B06DDA">
            <w:pPr>
              <w:autoSpaceDE w:val="0"/>
              <w:autoSpaceDN w:val="0"/>
              <w:adjustRightInd w:val="0"/>
              <w:jc w:val="center"/>
              <w:rPr>
                <w:rFonts w:ascii="宋体" w:hAnsi="宋体"/>
                <w:color w:val="000000"/>
                <w:sz w:val="24"/>
                <w:szCs w:val="24"/>
              </w:rPr>
            </w:pPr>
            <w:r w:rsidRPr="007360D6">
              <w:rPr>
                <w:rFonts w:ascii="宋体" w:hAnsi="宋体" w:hint="eastAsia"/>
                <w:color w:val="000000"/>
                <w:sz w:val="24"/>
                <w:szCs w:val="24"/>
              </w:rPr>
              <w:t>赎回份额</w:t>
            </w:r>
          </w:p>
        </w:tc>
        <w:tc>
          <w:tcPr>
            <w:tcW w:w="1701" w:type="dxa"/>
            <w:vAlign w:val="center"/>
          </w:tcPr>
          <w:p w:rsidR="003A58DC" w:rsidRPr="007360D6" w:rsidRDefault="003A58DC" w:rsidP="00B06DDA">
            <w:pPr>
              <w:autoSpaceDE w:val="0"/>
              <w:autoSpaceDN w:val="0"/>
              <w:adjustRightInd w:val="0"/>
              <w:rPr>
                <w:rFonts w:ascii="宋体" w:hAnsi="宋体"/>
                <w:color w:val="000000"/>
                <w:sz w:val="24"/>
                <w:szCs w:val="24"/>
              </w:rPr>
            </w:pPr>
            <w:r w:rsidRPr="007360D6">
              <w:rPr>
                <w:rFonts w:ascii="宋体" w:hAnsi="宋体" w:hint="eastAsia"/>
                <w:color w:val="000000"/>
                <w:sz w:val="24"/>
                <w:szCs w:val="24"/>
              </w:rPr>
              <w:t>持有份额</w:t>
            </w:r>
          </w:p>
        </w:tc>
        <w:tc>
          <w:tcPr>
            <w:tcW w:w="992" w:type="dxa"/>
            <w:vAlign w:val="center"/>
          </w:tcPr>
          <w:p w:rsidR="003A58DC" w:rsidRPr="007360D6" w:rsidRDefault="003A58DC" w:rsidP="00B06DDA">
            <w:pPr>
              <w:autoSpaceDE w:val="0"/>
              <w:autoSpaceDN w:val="0"/>
              <w:adjustRightInd w:val="0"/>
              <w:jc w:val="center"/>
              <w:rPr>
                <w:rFonts w:ascii="宋体" w:hAnsi="宋体"/>
                <w:color w:val="000000"/>
                <w:sz w:val="24"/>
                <w:szCs w:val="24"/>
              </w:rPr>
            </w:pPr>
            <w:r w:rsidRPr="007360D6">
              <w:rPr>
                <w:rFonts w:ascii="宋体" w:hAnsi="宋体" w:hint="eastAsia"/>
                <w:color w:val="000000"/>
                <w:sz w:val="24"/>
                <w:szCs w:val="24"/>
              </w:rPr>
              <w:t>份额占比</w:t>
            </w:r>
          </w:p>
        </w:tc>
      </w:tr>
      <w:tr w:rsidR="00192D76" w:rsidRPr="007360D6" w:rsidTr="00081BC3">
        <w:tc>
          <w:tcPr>
            <w:tcW w:w="426" w:type="dxa"/>
            <w:vMerge w:val="restart"/>
          </w:tcPr>
          <w:p w:rsidR="00192D76" w:rsidRPr="007360D6" w:rsidRDefault="00192D76">
            <w:pPr>
              <w:rPr>
                <w:sz w:val="24"/>
                <w:szCs w:val="24"/>
              </w:rPr>
            </w:pPr>
          </w:p>
          <w:p w:rsidR="00192D76" w:rsidRPr="007360D6" w:rsidRDefault="00081BC3">
            <w:pPr>
              <w:rPr>
                <w:sz w:val="24"/>
                <w:szCs w:val="24"/>
              </w:rPr>
            </w:pPr>
            <w:r w:rsidRPr="007360D6">
              <w:rPr>
                <w:rFonts w:eastAsiaTheme="minorEastAsia" w:hint="eastAsia"/>
                <w:bCs/>
                <w:color w:val="000000" w:themeColor="text1"/>
                <w:sz w:val="24"/>
                <w:szCs w:val="24"/>
              </w:rPr>
              <w:t>机构</w:t>
            </w:r>
          </w:p>
        </w:tc>
        <w:tc>
          <w:tcPr>
            <w:tcW w:w="425" w:type="dxa"/>
            <w:vAlign w:val="center"/>
          </w:tcPr>
          <w:p w:rsidR="00192D76" w:rsidRPr="007360D6" w:rsidRDefault="00081BC3">
            <w:pPr>
              <w:jc w:val="center"/>
              <w:rPr>
                <w:sz w:val="24"/>
                <w:szCs w:val="24"/>
              </w:rPr>
            </w:pPr>
            <w:r w:rsidRPr="007360D6">
              <w:rPr>
                <w:color w:val="000000"/>
                <w:sz w:val="24"/>
                <w:szCs w:val="24"/>
              </w:rPr>
              <w:t>1</w:t>
            </w:r>
          </w:p>
        </w:tc>
        <w:tc>
          <w:tcPr>
            <w:tcW w:w="2127" w:type="dxa"/>
            <w:vAlign w:val="center"/>
          </w:tcPr>
          <w:p w:rsidR="00192D76" w:rsidRPr="007360D6" w:rsidRDefault="00081BC3">
            <w:pPr>
              <w:jc w:val="center"/>
              <w:rPr>
                <w:sz w:val="24"/>
                <w:szCs w:val="24"/>
              </w:rPr>
            </w:pPr>
            <w:r w:rsidRPr="007360D6">
              <w:rPr>
                <w:color w:val="000000"/>
                <w:sz w:val="24"/>
                <w:szCs w:val="24"/>
              </w:rPr>
              <w:t>2017/3/28-2017/3/31</w:t>
            </w:r>
          </w:p>
        </w:tc>
        <w:tc>
          <w:tcPr>
            <w:tcW w:w="1559" w:type="dxa"/>
            <w:vAlign w:val="center"/>
          </w:tcPr>
          <w:p w:rsidR="00192D76" w:rsidRPr="007360D6" w:rsidRDefault="00081BC3">
            <w:pPr>
              <w:jc w:val="center"/>
              <w:rPr>
                <w:sz w:val="24"/>
                <w:szCs w:val="24"/>
              </w:rPr>
            </w:pPr>
            <w:r w:rsidRPr="007360D6">
              <w:rPr>
                <w:color w:val="000000"/>
                <w:sz w:val="24"/>
                <w:szCs w:val="24"/>
              </w:rPr>
              <w:t>-</w:t>
            </w:r>
          </w:p>
        </w:tc>
        <w:tc>
          <w:tcPr>
            <w:tcW w:w="1701" w:type="dxa"/>
            <w:vAlign w:val="center"/>
          </w:tcPr>
          <w:p w:rsidR="00192D76" w:rsidRPr="007360D6" w:rsidRDefault="00081BC3">
            <w:pPr>
              <w:jc w:val="center"/>
              <w:rPr>
                <w:sz w:val="24"/>
                <w:szCs w:val="24"/>
              </w:rPr>
            </w:pPr>
            <w:r w:rsidRPr="007360D6">
              <w:rPr>
                <w:color w:val="000000"/>
                <w:sz w:val="24"/>
                <w:szCs w:val="24"/>
              </w:rPr>
              <w:t>194,788,457.98</w:t>
            </w:r>
          </w:p>
        </w:tc>
        <w:tc>
          <w:tcPr>
            <w:tcW w:w="567" w:type="dxa"/>
            <w:vAlign w:val="center"/>
          </w:tcPr>
          <w:p w:rsidR="00192D76" w:rsidRPr="007360D6" w:rsidRDefault="00081BC3">
            <w:pPr>
              <w:jc w:val="center"/>
              <w:rPr>
                <w:sz w:val="24"/>
                <w:szCs w:val="24"/>
              </w:rPr>
            </w:pPr>
            <w:r w:rsidRPr="007360D6">
              <w:rPr>
                <w:color w:val="000000"/>
                <w:sz w:val="24"/>
                <w:szCs w:val="24"/>
              </w:rPr>
              <w:t>-</w:t>
            </w:r>
          </w:p>
        </w:tc>
        <w:tc>
          <w:tcPr>
            <w:tcW w:w="1701" w:type="dxa"/>
            <w:vAlign w:val="center"/>
          </w:tcPr>
          <w:p w:rsidR="00192D76" w:rsidRPr="007360D6" w:rsidRDefault="00081BC3">
            <w:pPr>
              <w:jc w:val="center"/>
              <w:rPr>
                <w:sz w:val="24"/>
                <w:szCs w:val="24"/>
              </w:rPr>
            </w:pPr>
            <w:r w:rsidRPr="007360D6">
              <w:rPr>
                <w:color w:val="000000"/>
                <w:sz w:val="24"/>
                <w:szCs w:val="24"/>
              </w:rPr>
              <w:t>194,788,457.98</w:t>
            </w:r>
          </w:p>
        </w:tc>
        <w:tc>
          <w:tcPr>
            <w:tcW w:w="992" w:type="dxa"/>
            <w:vAlign w:val="center"/>
          </w:tcPr>
          <w:p w:rsidR="00192D76" w:rsidRPr="007360D6" w:rsidRDefault="00081BC3">
            <w:pPr>
              <w:jc w:val="center"/>
              <w:rPr>
                <w:sz w:val="24"/>
                <w:szCs w:val="24"/>
              </w:rPr>
            </w:pPr>
            <w:r w:rsidRPr="007360D6">
              <w:rPr>
                <w:color w:val="000000"/>
                <w:sz w:val="24"/>
                <w:szCs w:val="24"/>
              </w:rPr>
              <w:t>21.22%</w:t>
            </w:r>
          </w:p>
        </w:tc>
      </w:tr>
      <w:tr w:rsidR="00192D76" w:rsidRPr="007360D6" w:rsidTr="00081BC3">
        <w:tc>
          <w:tcPr>
            <w:tcW w:w="426" w:type="dxa"/>
            <w:vMerge/>
          </w:tcPr>
          <w:p w:rsidR="00192D76" w:rsidRPr="007360D6" w:rsidRDefault="00192D76">
            <w:pPr>
              <w:rPr>
                <w:sz w:val="24"/>
                <w:szCs w:val="24"/>
              </w:rPr>
            </w:pPr>
          </w:p>
        </w:tc>
        <w:tc>
          <w:tcPr>
            <w:tcW w:w="425" w:type="dxa"/>
            <w:vAlign w:val="center"/>
          </w:tcPr>
          <w:p w:rsidR="00192D76" w:rsidRPr="007360D6" w:rsidRDefault="00081BC3">
            <w:pPr>
              <w:jc w:val="center"/>
              <w:rPr>
                <w:sz w:val="24"/>
                <w:szCs w:val="24"/>
              </w:rPr>
            </w:pPr>
            <w:r w:rsidRPr="007360D6">
              <w:rPr>
                <w:color w:val="000000"/>
                <w:sz w:val="24"/>
                <w:szCs w:val="24"/>
              </w:rPr>
              <w:t>2</w:t>
            </w:r>
          </w:p>
        </w:tc>
        <w:tc>
          <w:tcPr>
            <w:tcW w:w="2127" w:type="dxa"/>
            <w:vAlign w:val="center"/>
          </w:tcPr>
          <w:p w:rsidR="00192D76" w:rsidRPr="007360D6" w:rsidRDefault="00081BC3">
            <w:pPr>
              <w:jc w:val="center"/>
              <w:rPr>
                <w:sz w:val="24"/>
                <w:szCs w:val="24"/>
              </w:rPr>
            </w:pPr>
            <w:r w:rsidRPr="007360D6">
              <w:rPr>
                <w:color w:val="000000"/>
                <w:sz w:val="24"/>
                <w:szCs w:val="24"/>
              </w:rPr>
              <w:t>2017/3/15-2017/3/31</w:t>
            </w:r>
          </w:p>
        </w:tc>
        <w:tc>
          <w:tcPr>
            <w:tcW w:w="1559" w:type="dxa"/>
            <w:vAlign w:val="center"/>
          </w:tcPr>
          <w:p w:rsidR="00192D76" w:rsidRPr="007360D6" w:rsidRDefault="00081BC3">
            <w:pPr>
              <w:jc w:val="center"/>
              <w:rPr>
                <w:sz w:val="24"/>
                <w:szCs w:val="24"/>
              </w:rPr>
            </w:pPr>
            <w:r w:rsidRPr="007360D6">
              <w:rPr>
                <w:color w:val="000000"/>
                <w:sz w:val="24"/>
                <w:szCs w:val="24"/>
              </w:rPr>
              <w:t>65,968,740.49</w:t>
            </w:r>
          </w:p>
        </w:tc>
        <w:tc>
          <w:tcPr>
            <w:tcW w:w="1701" w:type="dxa"/>
            <w:vAlign w:val="center"/>
          </w:tcPr>
          <w:p w:rsidR="00192D76" w:rsidRPr="007360D6" w:rsidRDefault="00081BC3">
            <w:pPr>
              <w:jc w:val="center"/>
              <w:rPr>
                <w:sz w:val="24"/>
                <w:szCs w:val="24"/>
              </w:rPr>
            </w:pPr>
            <w:r w:rsidRPr="007360D6">
              <w:rPr>
                <w:color w:val="000000"/>
                <w:sz w:val="24"/>
                <w:szCs w:val="24"/>
              </w:rPr>
              <w:t>101,181,831.22</w:t>
            </w:r>
          </w:p>
        </w:tc>
        <w:tc>
          <w:tcPr>
            <w:tcW w:w="567" w:type="dxa"/>
            <w:vAlign w:val="center"/>
          </w:tcPr>
          <w:p w:rsidR="00192D76" w:rsidRPr="007360D6" w:rsidRDefault="00081BC3">
            <w:pPr>
              <w:jc w:val="center"/>
              <w:rPr>
                <w:sz w:val="24"/>
                <w:szCs w:val="24"/>
              </w:rPr>
            </w:pPr>
            <w:r w:rsidRPr="007360D6">
              <w:rPr>
                <w:color w:val="000000"/>
                <w:sz w:val="24"/>
                <w:szCs w:val="24"/>
              </w:rPr>
              <w:t>-</w:t>
            </w:r>
          </w:p>
        </w:tc>
        <w:tc>
          <w:tcPr>
            <w:tcW w:w="1701" w:type="dxa"/>
            <w:vAlign w:val="center"/>
          </w:tcPr>
          <w:p w:rsidR="00192D76" w:rsidRPr="007360D6" w:rsidRDefault="00081BC3">
            <w:pPr>
              <w:jc w:val="center"/>
              <w:rPr>
                <w:sz w:val="24"/>
                <w:szCs w:val="24"/>
              </w:rPr>
            </w:pPr>
            <w:r w:rsidRPr="007360D6">
              <w:rPr>
                <w:color w:val="000000"/>
                <w:sz w:val="24"/>
                <w:szCs w:val="24"/>
              </w:rPr>
              <w:t>167,150,571.71</w:t>
            </w:r>
          </w:p>
        </w:tc>
        <w:tc>
          <w:tcPr>
            <w:tcW w:w="992" w:type="dxa"/>
            <w:vAlign w:val="center"/>
          </w:tcPr>
          <w:p w:rsidR="00192D76" w:rsidRPr="007360D6" w:rsidRDefault="00081BC3">
            <w:pPr>
              <w:jc w:val="center"/>
              <w:rPr>
                <w:sz w:val="24"/>
                <w:szCs w:val="24"/>
              </w:rPr>
            </w:pPr>
            <w:r w:rsidRPr="007360D6">
              <w:rPr>
                <w:color w:val="000000"/>
                <w:sz w:val="24"/>
                <w:szCs w:val="24"/>
              </w:rPr>
              <w:t>18.21%</w:t>
            </w:r>
          </w:p>
        </w:tc>
      </w:tr>
      <w:tr w:rsidR="003A58DC" w:rsidRPr="007360D6" w:rsidTr="00081BC3">
        <w:tc>
          <w:tcPr>
            <w:tcW w:w="9498" w:type="dxa"/>
            <w:gridSpan w:val="8"/>
            <w:vAlign w:val="center"/>
          </w:tcPr>
          <w:p w:rsidR="003A58DC" w:rsidRPr="007360D6" w:rsidRDefault="003A58DC" w:rsidP="00B06DDA">
            <w:pPr>
              <w:autoSpaceDE w:val="0"/>
              <w:autoSpaceDN w:val="0"/>
              <w:adjustRightInd w:val="0"/>
              <w:ind w:firstLine="1126"/>
              <w:jc w:val="center"/>
              <w:rPr>
                <w:sz w:val="24"/>
                <w:szCs w:val="24"/>
              </w:rPr>
            </w:pPr>
            <w:r w:rsidRPr="007360D6">
              <w:rPr>
                <w:color w:val="000000"/>
                <w:sz w:val="24"/>
                <w:szCs w:val="24"/>
              </w:rPr>
              <w:t>产品特有风险</w:t>
            </w:r>
          </w:p>
        </w:tc>
      </w:tr>
      <w:tr w:rsidR="003A58DC" w:rsidRPr="007360D6" w:rsidTr="00081BC3">
        <w:tc>
          <w:tcPr>
            <w:tcW w:w="9498" w:type="dxa"/>
            <w:gridSpan w:val="8"/>
            <w:vAlign w:val="center"/>
          </w:tcPr>
          <w:p w:rsidR="003A58DC" w:rsidRPr="007360D6" w:rsidRDefault="003A58DC" w:rsidP="00B06DDA">
            <w:pPr>
              <w:autoSpaceDE w:val="0"/>
              <w:autoSpaceDN w:val="0"/>
              <w:adjustRightInd w:val="0"/>
              <w:jc w:val="left"/>
              <w:rPr>
                <w:sz w:val="24"/>
                <w:szCs w:val="24"/>
              </w:rPr>
            </w:pPr>
            <w:r w:rsidRPr="007360D6">
              <w:rPr>
                <w:rFonts w:hint="eastAsia"/>
                <w:sz w:val="24"/>
                <w:szCs w:val="24"/>
              </w:rPr>
              <w:t>本基金本报告期内出现单一投资者持有基金份额比例超过基金总份额</w:t>
            </w:r>
            <w:r w:rsidRPr="007360D6">
              <w:rPr>
                <w:rFonts w:hint="eastAsia"/>
                <w:sz w:val="24"/>
                <w:szCs w:val="24"/>
              </w:rPr>
              <w:t>20%</w:t>
            </w:r>
            <w:r w:rsidRPr="007360D6">
              <w:rPr>
                <w:rFonts w:hint="eastAsia"/>
                <w:sz w:val="24"/>
                <w:szCs w:val="24"/>
              </w:rPr>
              <w:t>的情况。如该类投资者集中赎回，可能会对本基金带来流动性冲击，从而影响基金的投资运作和收益水平。基金管理人将加强流动性管理，防范相关风险，保护持有人利益。</w:t>
            </w:r>
          </w:p>
        </w:tc>
      </w:tr>
    </w:tbl>
    <w:bookmarkEnd w:id="0"/>
    <w:p w:rsidR="00B22DEE" w:rsidRPr="00E02660"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lastRenderedPageBreak/>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192D76" w:rsidRDefault="00081BC3">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、中国证监会准予交银施罗德经济新动力混合型证券投资基金募集注册的文件；</w:t>
      </w:r>
      <w:r>
        <w:rPr>
          <w:color w:val="000000"/>
          <w:sz w:val="24"/>
          <w:szCs w:val="24"/>
        </w:rPr>
        <w:t xml:space="preserve"> </w:t>
      </w:r>
    </w:p>
    <w:p w:rsidR="00192D76" w:rsidRDefault="00081BC3">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、《交银施罗德经济新动力混合型证券投资基金基金合同》；</w:t>
      </w:r>
      <w:r>
        <w:rPr>
          <w:color w:val="000000"/>
          <w:sz w:val="24"/>
          <w:szCs w:val="24"/>
        </w:rPr>
        <w:t xml:space="preserve"> </w:t>
      </w:r>
    </w:p>
    <w:p w:rsidR="00192D76" w:rsidRDefault="00081BC3">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、《交银施罗德经济新动力混合型证券投资基金招募说明书》；</w:t>
      </w:r>
      <w:r>
        <w:rPr>
          <w:color w:val="000000"/>
          <w:sz w:val="24"/>
          <w:szCs w:val="24"/>
        </w:rPr>
        <w:t xml:space="preserve"> </w:t>
      </w:r>
    </w:p>
    <w:p w:rsidR="00192D76" w:rsidRDefault="00081BC3">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、《交银施罗德经济新动力混合型证券投资基金托管协议》；</w:t>
      </w:r>
      <w:r>
        <w:rPr>
          <w:color w:val="000000"/>
          <w:sz w:val="24"/>
          <w:szCs w:val="24"/>
        </w:rPr>
        <w:t xml:space="preserve"> </w:t>
      </w:r>
    </w:p>
    <w:p w:rsidR="00192D76" w:rsidRDefault="00081BC3">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、关于申请募集注册交银施罗德经济新动力混合型证券投资基金的法律意见书；</w:t>
      </w:r>
      <w:r>
        <w:rPr>
          <w:color w:val="000000"/>
          <w:sz w:val="24"/>
          <w:szCs w:val="24"/>
        </w:rPr>
        <w:t xml:space="preserve"> </w:t>
      </w:r>
    </w:p>
    <w:p w:rsidR="00192D76" w:rsidRDefault="00081BC3">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192D76" w:rsidRDefault="00081BC3">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、报告期内交银施罗德经济新动力混合型证券投资基金在指定报刊上各项公告的原稿。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192D76" w:rsidRDefault="00081BC3">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E3D" w:rsidRDefault="004D3E3D" w:rsidP="00876D65">
      <w:r>
        <w:separator/>
      </w:r>
    </w:p>
  </w:endnote>
  <w:endnote w:type="continuationSeparator" w:id="0">
    <w:p w:rsidR="004D3E3D" w:rsidRDefault="004D3E3D"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62AC1">
      <w:rPr>
        <w:kern w:val="0"/>
        <w:szCs w:val="21"/>
      </w:rPr>
      <w:fldChar w:fldCharType="begin"/>
    </w:r>
    <w:r>
      <w:rPr>
        <w:kern w:val="0"/>
        <w:szCs w:val="21"/>
      </w:rPr>
      <w:instrText xml:space="preserve"> PAGE </w:instrText>
    </w:r>
    <w:r w:rsidR="00B62AC1">
      <w:rPr>
        <w:kern w:val="0"/>
        <w:szCs w:val="21"/>
      </w:rPr>
      <w:fldChar w:fldCharType="separate"/>
    </w:r>
    <w:r w:rsidR="007360D6">
      <w:rPr>
        <w:noProof/>
        <w:kern w:val="0"/>
        <w:szCs w:val="21"/>
      </w:rPr>
      <w:t>10</w:t>
    </w:r>
    <w:r w:rsidR="00B62AC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62AC1">
      <w:rPr>
        <w:kern w:val="0"/>
        <w:szCs w:val="21"/>
      </w:rPr>
      <w:fldChar w:fldCharType="begin"/>
    </w:r>
    <w:r>
      <w:rPr>
        <w:kern w:val="0"/>
        <w:szCs w:val="21"/>
      </w:rPr>
      <w:instrText xml:space="preserve"> NUMPAGES </w:instrText>
    </w:r>
    <w:r w:rsidR="00B62AC1">
      <w:rPr>
        <w:kern w:val="0"/>
        <w:szCs w:val="21"/>
      </w:rPr>
      <w:fldChar w:fldCharType="separate"/>
    </w:r>
    <w:r w:rsidR="007360D6">
      <w:rPr>
        <w:noProof/>
        <w:kern w:val="0"/>
        <w:szCs w:val="21"/>
      </w:rPr>
      <w:t>11</w:t>
    </w:r>
    <w:r w:rsidR="00B62AC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E3D" w:rsidRDefault="004D3E3D" w:rsidP="00876D65">
      <w:r>
        <w:separator/>
      </w:r>
    </w:p>
  </w:footnote>
  <w:footnote w:type="continuationSeparator" w:id="0">
    <w:p w:rsidR="004D3E3D" w:rsidRDefault="004D3E3D"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1BC3"/>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2D76"/>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3E3D"/>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360D6"/>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552"/>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096"/>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19D363-82A2-4347-BEF4-EC904F70D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46663-E4AA-4295-929C-94654DC14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1792</TotalTime>
  <Pages>1</Pages>
  <Words>1021</Words>
  <Characters>5824</Characters>
  <Application>Microsoft Office Word</Application>
  <DocSecurity>0</DocSecurity>
  <Lines>48</Lines>
  <Paragraphs>13</Paragraphs>
  <ScaleCrop>false</ScaleCrop>
  <Company/>
  <LinksUpToDate>false</LinksUpToDate>
  <CharactersWithSpaces>6832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567</cp:revision>
  <dcterms:created xsi:type="dcterms:W3CDTF">2012-10-16T06:07:00Z</dcterms:created>
  <dcterms:modified xsi:type="dcterms:W3CDTF">2017-04-19T09:55:00Z</dcterms:modified>
</cp:coreProperties>
</file>