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B080E" w:rsidRDefault="00575B7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1,475,432,215.34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75B79" w:rsidRPr="00414345" w:rsidTr="00575B7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75B79" w:rsidRPr="00414345" w:rsidTr="00575B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-669,332.42</w:t>
            </w:r>
          </w:p>
        </w:tc>
      </w:tr>
      <w:tr w:rsidR="00575B79" w:rsidRPr="00414345" w:rsidTr="00575B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-51,919,548.58</w:t>
            </w:r>
          </w:p>
        </w:tc>
      </w:tr>
      <w:tr w:rsidR="00575B79" w:rsidRPr="00414345" w:rsidTr="00575B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-0.0342</w:t>
            </w:r>
          </w:p>
        </w:tc>
      </w:tr>
      <w:tr w:rsidR="00575B79" w:rsidRPr="00414345" w:rsidTr="00575B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1,336,268,795.21</w:t>
            </w:r>
          </w:p>
        </w:tc>
      </w:tr>
      <w:tr w:rsidR="00575B79" w:rsidRPr="00414345" w:rsidTr="00575B7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0.906</w:t>
            </w:r>
          </w:p>
        </w:tc>
      </w:tr>
    </w:tbl>
    <w:p w:rsidR="00AB080E" w:rsidRDefault="00575B7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B080E">
        <w:trPr>
          <w:jc w:val="center"/>
        </w:trPr>
        <w:tc>
          <w:tcPr>
            <w:tcW w:w="1701" w:type="dxa"/>
            <w:vAlign w:val="center"/>
          </w:tcPr>
          <w:p w:rsidR="00AB080E" w:rsidRDefault="00575B79">
            <w:pPr>
              <w:jc w:val="left"/>
            </w:pPr>
            <w:r>
              <w:rPr>
                <w:color w:val="000000"/>
                <w:sz w:val="24"/>
                <w:szCs w:val="24"/>
              </w:rPr>
              <w:t>过去三个月</w:t>
            </w:r>
          </w:p>
        </w:tc>
        <w:tc>
          <w:tcPr>
            <w:tcW w:w="1045" w:type="dxa"/>
            <w:vAlign w:val="center"/>
          </w:tcPr>
          <w:p w:rsidR="00AB080E" w:rsidRDefault="00575B79">
            <w:pPr>
              <w:jc w:val="center"/>
            </w:pPr>
            <w:r>
              <w:rPr>
                <w:color w:val="000000"/>
                <w:sz w:val="24"/>
                <w:szCs w:val="24"/>
              </w:rPr>
              <w:t>-3.72%</w:t>
            </w:r>
          </w:p>
        </w:tc>
        <w:tc>
          <w:tcPr>
            <w:tcW w:w="1344" w:type="dxa"/>
            <w:vAlign w:val="center"/>
          </w:tcPr>
          <w:p w:rsidR="00AB080E" w:rsidRDefault="00575B79">
            <w:pPr>
              <w:jc w:val="center"/>
            </w:pPr>
            <w:r>
              <w:rPr>
                <w:color w:val="000000"/>
                <w:sz w:val="24"/>
                <w:szCs w:val="24"/>
              </w:rPr>
              <w:t>0.98%</w:t>
            </w:r>
          </w:p>
        </w:tc>
        <w:tc>
          <w:tcPr>
            <w:tcW w:w="1194" w:type="dxa"/>
            <w:vAlign w:val="center"/>
          </w:tcPr>
          <w:p w:rsidR="00AB080E" w:rsidRDefault="00575B79">
            <w:pPr>
              <w:jc w:val="center"/>
            </w:pPr>
            <w:r>
              <w:rPr>
                <w:color w:val="000000"/>
                <w:sz w:val="24"/>
                <w:szCs w:val="24"/>
              </w:rPr>
              <w:t>2.59%</w:t>
            </w:r>
          </w:p>
        </w:tc>
        <w:tc>
          <w:tcPr>
            <w:tcW w:w="1492" w:type="dxa"/>
            <w:vAlign w:val="center"/>
          </w:tcPr>
          <w:p w:rsidR="00AB080E" w:rsidRDefault="00575B79">
            <w:pPr>
              <w:jc w:val="center"/>
            </w:pPr>
            <w:r>
              <w:rPr>
                <w:color w:val="000000"/>
                <w:sz w:val="24"/>
                <w:szCs w:val="24"/>
              </w:rPr>
              <w:t>0.31%</w:t>
            </w:r>
          </w:p>
        </w:tc>
        <w:tc>
          <w:tcPr>
            <w:tcW w:w="1194" w:type="dxa"/>
            <w:vAlign w:val="center"/>
          </w:tcPr>
          <w:p w:rsidR="00AB080E" w:rsidRDefault="00575B79">
            <w:pPr>
              <w:jc w:val="center"/>
            </w:pPr>
            <w:r>
              <w:rPr>
                <w:color w:val="000000"/>
                <w:sz w:val="24"/>
                <w:szCs w:val="24"/>
              </w:rPr>
              <w:t>-6.31%</w:t>
            </w:r>
          </w:p>
        </w:tc>
        <w:tc>
          <w:tcPr>
            <w:tcW w:w="898" w:type="dxa"/>
            <w:vAlign w:val="center"/>
          </w:tcPr>
          <w:p w:rsidR="00AB080E" w:rsidRDefault="00575B79">
            <w:pPr>
              <w:jc w:val="center"/>
            </w:pPr>
            <w:r>
              <w:rPr>
                <w:color w:val="000000"/>
                <w:sz w:val="24"/>
                <w:szCs w:val="24"/>
              </w:rPr>
              <w:t>0.67%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16</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B080E">
        <w:trPr>
          <w:jc w:val="center"/>
        </w:trPr>
        <w:tc>
          <w:tcPr>
            <w:tcW w:w="846" w:type="dxa"/>
            <w:vAlign w:val="center"/>
          </w:tcPr>
          <w:p w:rsidR="00AB080E" w:rsidRDefault="00575B79">
            <w:pPr>
              <w:jc w:val="center"/>
            </w:pPr>
            <w:r>
              <w:rPr>
                <w:color w:val="000000"/>
                <w:sz w:val="24"/>
                <w:szCs w:val="24"/>
              </w:rPr>
              <w:t>芮晨</w:t>
            </w:r>
          </w:p>
        </w:tc>
        <w:tc>
          <w:tcPr>
            <w:tcW w:w="845" w:type="dxa"/>
            <w:vAlign w:val="center"/>
          </w:tcPr>
          <w:p w:rsidR="00AB080E" w:rsidRDefault="00575B79">
            <w:pPr>
              <w:jc w:val="center"/>
            </w:pPr>
            <w:r>
              <w:rPr>
                <w:color w:val="000000"/>
                <w:sz w:val="24"/>
                <w:szCs w:val="24"/>
              </w:rPr>
              <w:t>交银先锋混合、交银科技创新灵活配置混合、</w:t>
            </w:r>
            <w:r>
              <w:rPr>
                <w:color w:val="000000"/>
                <w:sz w:val="24"/>
                <w:szCs w:val="24"/>
              </w:rPr>
              <w:lastRenderedPageBreak/>
              <w:t>交银数据产业灵活配置混合的基金经理</w:t>
            </w:r>
          </w:p>
        </w:tc>
        <w:tc>
          <w:tcPr>
            <w:tcW w:w="1549" w:type="dxa"/>
            <w:vAlign w:val="center"/>
          </w:tcPr>
          <w:p w:rsidR="00AB080E" w:rsidRDefault="00575B79">
            <w:pPr>
              <w:jc w:val="center"/>
            </w:pPr>
            <w:r>
              <w:rPr>
                <w:color w:val="000000"/>
                <w:sz w:val="24"/>
                <w:szCs w:val="24"/>
              </w:rPr>
              <w:lastRenderedPageBreak/>
              <w:t>2016-08-16</w:t>
            </w:r>
          </w:p>
        </w:tc>
        <w:tc>
          <w:tcPr>
            <w:tcW w:w="1548" w:type="dxa"/>
            <w:vAlign w:val="center"/>
          </w:tcPr>
          <w:p w:rsidR="00AB080E" w:rsidRDefault="00575B79">
            <w:pPr>
              <w:jc w:val="center"/>
            </w:pPr>
            <w:r>
              <w:rPr>
                <w:color w:val="000000"/>
                <w:sz w:val="24"/>
                <w:szCs w:val="24"/>
              </w:rPr>
              <w:t>-</w:t>
            </w:r>
          </w:p>
        </w:tc>
        <w:tc>
          <w:tcPr>
            <w:tcW w:w="1407" w:type="dxa"/>
            <w:vAlign w:val="center"/>
          </w:tcPr>
          <w:p w:rsidR="00AB080E" w:rsidRDefault="00575B79">
            <w:pPr>
              <w:jc w:val="center"/>
            </w:pPr>
            <w:r>
              <w:rPr>
                <w:color w:val="000000"/>
                <w:sz w:val="24"/>
                <w:szCs w:val="24"/>
              </w:rPr>
              <w:t>10</w:t>
            </w:r>
            <w:r>
              <w:rPr>
                <w:color w:val="000000"/>
                <w:sz w:val="24"/>
                <w:szCs w:val="24"/>
              </w:rPr>
              <w:t>年</w:t>
            </w:r>
          </w:p>
        </w:tc>
        <w:tc>
          <w:tcPr>
            <w:tcW w:w="2673" w:type="dxa"/>
            <w:vAlign w:val="center"/>
          </w:tcPr>
          <w:p w:rsidR="00AB080E" w:rsidRDefault="00575B79">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w:t>
            </w:r>
            <w:r>
              <w:rPr>
                <w:color w:val="000000"/>
                <w:sz w:val="24"/>
                <w:szCs w:val="24"/>
              </w:rPr>
              <w:lastRenderedPageBreak/>
              <w:t>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B080E" w:rsidRDefault="00575B7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B080E" w:rsidRDefault="00575B7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B080E" w:rsidRDefault="00575B7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B080E" w:rsidRDefault="00575B79">
      <w:pPr>
        <w:spacing w:before="29" w:line="288" w:lineRule="auto"/>
        <w:ind w:firstLineChars="200" w:firstLine="480"/>
        <w:rPr>
          <w:color w:val="000000"/>
          <w:sz w:val="24"/>
          <w:szCs w:val="24"/>
        </w:rPr>
      </w:pPr>
      <w:r>
        <w:rPr>
          <w:color w:val="000000"/>
          <w:sz w:val="24"/>
          <w:szCs w:val="24"/>
        </w:rPr>
        <w:t>2017</w:t>
      </w:r>
      <w:r>
        <w:rPr>
          <w:color w:val="000000"/>
          <w:sz w:val="24"/>
          <w:szCs w:val="24"/>
        </w:rPr>
        <w:t>年一季度美联储加息，全球未来很长一段时间将处于流动性逐步收紧的周期中。国内房价继续上涨，资金难以脱虚向实，造成的影响在于一方面房价的上涨未来必然传导租金的上涨和服务价格的上涨，降低除地产以外其他行业的</w:t>
      </w:r>
      <w:r>
        <w:rPr>
          <w:color w:val="000000"/>
          <w:sz w:val="24"/>
          <w:szCs w:val="24"/>
        </w:rPr>
        <w:t>ROE</w:t>
      </w:r>
      <w:r>
        <w:rPr>
          <w:color w:val="000000"/>
          <w:sz w:val="24"/>
          <w:szCs w:val="24"/>
        </w:rPr>
        <w:t>水平，进一步消弱了中国制造的比较优势；而另一方面，在房价大涨的背景下，在比价效应下，有富余房产的持有者更倾向于卖掉部分房产将资金转移到海外，给人民币汇率稳定造成压力。从积极的方面来看，我们看到政府这次对一线城市地产调控的态度非常坚决，这将有力推动资金逐步从房地产行业流出，提升其他资产类别的估值。</w:t>
      </w:r>
    </w:p>
    <w:p w:rsidR="00AB080E" w:rsidRDefault="00575B79">
      <w:pPr>
        <w:spacing w:before="29" w:line="288" w:lineRule="auto"/>
        <w:ind w:firstLineChars="200" w:firstLine="480"/>
        <w:rPr>
          <w:color w:val="000000"/>
          <w:sz w:val="24"/>
          <w:szCs w:val="24"/>
        </w:rPr>
      </w:pPr>
      <w:r>
        <w:rPr>
          <w:color w:val="000000"/>
          <w:sz w:val="24"/>
          <w:szCs w:val="24"/>
        </w:rPr>
        <w:t>一季度本基金仍然坚持高仓位新兴成长股的配置。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展望二季度，从行业配置角度看，随着房地产调控，周期性行业盈利见顶相对确定。以食品饮料和家电为代表的消费类行业，在过去</w:t>
      </w:r>
      <w:r w:rsidRPr="00414345">
        <w:rPr>
          <w:color w:val="000000"/>
          <w:sz w:val="24"/>
          <w:szCs w:val="24"/>
        </w:rPr>
        <w:t>21</w:t>
      </w:r>
      <w:r w:rsidRPr="00414345">
        <w:rPr>
          <w:color w:val="000000"/>
          <w:sz w:val="24"/>
          <w:szCs w:val="24"/>
        </w:rPr>
        <w:t>个月里相对其他行业均有超额收益，同时估值水平也达到历史上沿。本基金二季度仍将坚持新兴成长股的配置方向。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0.906</w:t>
      </w:r>
      <w:r w:rsidRPr="00414345">
        <w:rPr>
          <w:color w:val="000000"/>
          <w:sz w:val="24"/>
          <w:szCs w:val="24"/>
        </w:rPr>
        <w:t>元，本报告期份额净值增长率为</w:t>
      </w:r>
      <w:r w:rsidRPr="00414345">
        <w:rPr>
          <w:color w:val="000000"/>
          <w:sz w:val="24"/>
          <w:szCs w:val="24"/>
        </w:rPr>
        <w:t>-3.72%</w:t>
      </w:r>
      <w:r w:rsidRPr="00414345">
        <w:rPr>
          <w:color w:val="000000"/>
          <w:sz w:val="24"/>
          <w:szCs w:val="24"/>
        </w:rPr>
        <w:t>，同期业绩比较基准增长率</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3E5DF0" w:rsidRPr="003E5DF0" w:rsidRDefault="003E5DF0" w:rsidP="00421CD2">
      <w:pPr>
        <w:spacing w:before="29" w:line="288" w:lineRule="auto"/>
        <w:ind w:firstLineChars="200" w:firstLine="480"/>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1,212,157,354.66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1,212,157,354.66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49,903,000.00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49,903,000.00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73,349,319.48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20,455,295.02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1,355,864,969.16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630,367,274.34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65,135,220.50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466,088,468.36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50,566,391.46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1,212,157,354.66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90.71</w:t>
            </w:r>
          </w:p>
        </w:tc>
      </w:tr>
    </w:tbl>
    <w:p w:rsidR="003E5DF0" w:rsidRDefault="003E5DF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B080E">
        <w:trPr>
          <w:jc w:val="center"/>
        </w:trPr>
        <w:tc>
          <w:tcPr>
            <w:tcW w:w="855" w:type="dxa"/>
            <w:vAlign w:val="center"/>
          </w:tcPr>
          <w:p w:rsidR="00AB080E" w:rsidRDefault="00575B79">
            <w:pPr>
              <w:jc w:val="center"/>
            </w:pPr>
            <w:r>
              <w:rPr>
                <w:color w:val="000000"/>
                <w:sz w:val="24"/>
                <w:szCs w:val="24"/>
              </w:rPr>
              <w:t>1</w:t>
            </w:r>
          </w:p>
        </w:tc>
        <w:tc>
          <w:tcPr>
            <w:tcW w:w="1334" w:type="dxa"/>
            <w:vAlign w:val="center"/>
          </w:tcPr>
          <w:p w:rsidR="00AB080E" w:rsidRDefault="00575B79">
            <w:pPr>
              <w:jc w:val="center"/>
            </w:pPr>
            <w:r>
              <w:rPr>
                <w:color w:val="000000"/>
                <w:sz w:val="24"/>
                <w:szCs w:val="24"/>
              </w:rPr>
              <w:t>300365</w:t>
            </w:r>
          </w:p>
        </w:tc>
        <w:tc>
          <w:tcPr>
            <w:tcW w:w="1777" w:type="dxa"/>
            <w:vAlign w:val="center"/>
          </w:tcPr>
          <w:p w:rsidR="00AB080E" w:rsidRDefault="00575B79">
            <w:pPr>
              <w:jc w:val="center"/>
            </w:pPr>
            <w:r>
              <w:rPr>
                <w:color w:val="000000"/>
                <w:sz w:val="24"/>
                <w:szCs w:val="24"/>
              </w:rPr>
              <w:t>恒华科技</w:t>
            </w:r>
          </w:p>
        </w:tc>
        <w:tc>
          <w:tcPr>
            <w:tcW w:w="1334" w:type="dxa"/>
            <w:vAlign w:val="center"/>
          </w:tcPr>
          <w:p w:rsidR="00AB080E" w:rsidRDefault="00575B79">
            <w:pPr>
              <w:jc w:val="right"/>
            </w:pPr>
            <w:r>
              <w:rPr>
                <w:color w:val="000000"/>
                <w:sz w:val="24"/>
                <w:szCs w:val="24"/>
              </w:rPr>
              <w:t>3,360,574</w:t>
            </w:r>
          </w:p>
        </w:tc>
        <w:tc>
          <w:tcPr>
            <w:tcW w:w="1924" w:type="dxa"/>
            <w:vAlign w:val="center"/>
          </w:tcPr>
          <w:p w:rsidR="00AB080E" w:rsidRDefault="00575B79">
            <w:pPr>
              <w:jc w:val="right"/>
            </w:pPr>
            <w:r>
              <w:rPr>
                <w:color w:val="000000"/>
                <w:sz w:val="24"/>
                <w:szCs w:val="24"/>
              </w:rPr>
              <w:t>126,021,525.00</w:t>
            </w:r>
          </w:p>
        </w:tc>
        <w:tc>
          <w:tcPr>
            <w:tcW w:w="1644" w:type="dxa"/>
            <w:vAlign w:val="center"/>
          </w:tcPr>
          <w:p w:rsidR="00AB080E" w:rsidRDefault="00575B79">
            <w:pPr>
              <w:jc w:val="right"/>
            </w:pPr>
            <w:r>
              <w:rPr>
                <w:color w:val="000000"/>
                <w:sz w:val="24"/>
                <w:szCs w:val="24"/>
              </w:rPr>
              <w:t>9.43</w:t>
            </w:r>
          </w:p>
        </w:tc>
      </w:tr>
      <w:tr w:rsidR="00AB080E">
        <w:trPr>
          <w:jc w:val="center"/>
        </w:trPr>
        <w:tc>
          <w:tcPr>
            <w:tcW w:w="855" w:type="dxa"/>
            <w:vAlign w:val="center"/>
          </w:tcPr>
          <w:p w:rsidR="00AB080E" w:rsidRDefault="00575B79">
            <w:pPr>
              <w:jc w:val="center"/>
            </w:pPr>
            <w:r>
              <w:rPr>
                <w:color w:val="000000"/>
                <w:sz w:val="24"/>
                <w:szCs w:val="24"/>
              </w:rPr>
              <w:t>2</w:t>
            </w:r>
          </w:p>
        </w:tc>
        <w:tc>
          <w:tcPr>
            <w:tcW w:w="1334" w:type="dxa"/>
            <w:vAlign w:val="center"/>
          </w:tcPr>
          <w:p w:rsidR="00AB080E" w:rsidRDefault="00575B79">
            <w:pPr>
              <w:jc w:val="center"/>
            </w:pPr>
            <w:r>
              <w:rPr>
                <w:color w:val="000000"/>
                <w:sz w:val="24"/>
                <w:szCs w:val="24"/>
              </w:rPr>
              <w:t>603006</w:t>
            </w:r>
          </w:p>
        </w:tc>
        <w:tc>
          <w:tcPr>
            <w:tcW w:w="1777" w:type="dxa"/>
            <w:vAlign w:val="center"/>
          </w:tcPr>
          <w:p w:rsidR="00AB080E" w:rsidRDefault="00575B79">
            <w:pPr>
              <w:jc w:val="center"/>
            </w:pPr>
            <w:r>
              <w:rPr>
                <w:color w:val="000000"/>
                <w:sz w:val="24"/>
                <w:szCs w:val="24"/>
              </w:rPr>
              <w:t>联明股份</w:t>
            </w:r>
          </w:p>
        </w:tc>
        <w:tc>
          <w:tcPr>
            <w:tcW w:w="1334" w:type="dxa"/>
            <w:vAlign w:val="center"/>
          </w:tcPr>
          <w:p w:rsidR="00AB080E" w:rsidRDefault="00575B79">
            <w:pPr>
              <w:jc w:val="right"/>
            </w:pPr>
            <w:r>
              <w:rPr>
                <w:color w:val="000000"/>
                <w:sz w:val="24"/>
                <w:szCs w:val="24"/>
              </w:rPr>
              <w:t>3,759,840</w:t>
            </w:r>
          </w:p>
        </w:tc>
        <w:tc>
          <w:tcPr>
            <w:tcW w:w="1924" w:type="dxa"/>
            <w:vAlign w:val="center"/>
          </w:tcPr>
          <w:p w:rsidR="00AB080E" w:rsidRDefault="00575B79">
            <w:pPr>
              <w:jc w:val="right"/>
            </w:pPr>
            <w:r>
              <w:rPr>
                <w:color w:val="000000"/>
                <w:sz w:val="24"/>
                <w:szCs w:val="24"/>
              </w:rPr>
              <w:t>122,946,768.00</w:t>
            </w:r>
          </w:p>
        </w:tc>
        <w:tc>
          <w:tcPr>
            <w:tcW w:w="1644" w:type="dxa"/>
            <w:vAlign w:val="center"/>
          </w:tcPr>
          <w:p w:rsidR="00AB080E" w:rsidRDefault="00575B79">
            <w:pPr>
              <w:jc w:val="right"/>
            </w:pPr>
            <w:r>
              <w:rPr>
                <w:color w:val="000000"/>
                <w:sz w:val="24"/>
                <w:szCs w:val="24"/>
              </w:rPr>
              <w:t>9.20</w:t>
            </w:r>
          </w:p>
        </w:tc>
      </w:tr>
      <w:tr w:rsidR="00AB080E">
        <w:trPr>
          <w:jc w:val="center"/>
        </w:trPr>
        <w:tc>
          <w:tcPr>
            <w:tcW w:w="855" w:type="dxa"/>
            <w:vAlign w:val="center"/>
          </w:tcPr>
          <w:p w:rsidR="00AB080E" w:rsidRDefault="00575B79">
            <w:pPr>
              <w:jc w:val="center"/>
            </w:pPr>
            <w:r>
              <w:rPr>
                <w:color w:val="000000"/>
                <w:sz w:val="24"/>
                <w:szCs w:val="24"/>
              </w:rPr>
              <w:t>3</w:t>
            </w:r>
          </w:p>
        </w:tc>
        <w:tc>
          <w:tcPr>
            <w:tcW w:w="1334" w:type="dxa"/>
            <w:vAlign w:val="center"/>
          </w:tcPr>
          <w:p w:rsidR="00AB080E" w:rsidRDefault="00575B79">
            <w:pPr>
              <w:jc w:val="center"/>
            </w:pPr>
            <w:r>
              <w:rPr>
                <w:color w:val="000000"/>
                <w:sz w:val="24"/>
                <w:szCs w:val="24"/>
              </w:rPr>
              <w:t>300279</w:t>
            </w:r>
          </w:p>
        </w:tc>
        <w:tc>
          <w:tcPr>
            <w:tcW w:w="1777" w:type="dxa"/>
            <w:vAlign w:val="center"/>
          </w:tcPr>
          <w:p w:rsidR="00AB080E" w:rsidRDefault="00575B79">
            <w:pPr>
              <w:jc w:val="center"/>
            </w:pPr>
            <w:r>
              <w:rPr>
                <w:color w:val="000000"/>
                <w:sz w:val="24"/>
                <w:szCs w:val="24"/>
              </w:rPr>
              <w:t>和晶科技</w:t>
            </w:r>
          </w:p>
        </w:tc>
        <w:tc>
          <w:tcPr>
            <w:tcW w:w="1334" w:type="dxa"/>
            <w:vAlign w:val="center"/>
          </w:tcPr>
          <w:p w:rsidR="00AB080E" w:rsidRDefault="00575B79">
            <w:pPr>
              <w:jc w:val="right"/>
            </w:pPr>
            <w:r>
              <w:rPr>
                <w:color w:val="000000"/>
                <w:sz w:val="24"/>
                <w:szCs w:val="24"/>
              </w:rPr>
              <w:t>2,362,787</w:t>
            </w:r>
          </w:p>
        </w:tc>
        <w:tc>
          <w:tcPr>
            <w:tcW w:w="1924" w:type="dxa"/>
            <w:vAlign w:val="center"/>
          </w:tcPr>
          <w:p w:rsidR="00AB080E" w:rsidRDefault="00575B79">
            <w:pPr>
              <w:jc w:val="right"/>
            </w:pPr>
            <w:r>
              <w:rPr>
                <w:color w:val="000000"/>
                <w:sz w:val="24"/>
                <w:szCs w:val="24"/>
              </w:rPr>
              <w:t>91,487,112.64</w:t>
            </w:r>
          </w:p>
        </w:tc>
        <w:tc>
          <w:tcPr>
            <w:tcW w:w="1644" w:type="dxa"/>
            <w:vAlign w:val="center"/>
          </w:tcPr>
          <w:p w:rsidR="00AB080E" w:rsidRDefault="00575B79">
            <w:pPr>
              <w:jc w:val="right"/>
            </w:pPr>
            <w:r>
              <w:rPr>
                <w:color w:val="000000"/>
                <w:sz w:val="24"/>
                <w:szCs w:val="24"/>
              </w:rPr>
              <w:t>6.85</w:t>
            </w:r>
          </w:p>
        </w:tc>
      </w:tr>
      <w:tr w:rsidR="00AB080E">
        <w:trPr>
          <w:jc w:val="center"/>
        </w:trPr>
        <w:tc>
          <w:tcPr>
            <w:tcW w:w="855" w:type="dxa"/>
            <w:vAlign w:val="center"/>
          </w:tcPr>
          <w:p w:rsidR="00AB080E" w:rsidRDefault="00575B79">
            <w:pPr>
              <w:jc w:val="center"/>
            </w:pPr>
            <w:r>
              <w:rPr>
                <w:color w:val="000000"/>
                <w:sz w:val="24"/>
                <w:szCs w:val="24"/>
              </w:rPr>
              <w:t>4</w:t>
            </w:r>
          </w:p>
        </w:tc>
        <w:tc>
          <w:tcPr>
            <w:tcW w:w="1334" w:type="dxa"/>
            <w:vAlign w:val="center"/>
          </w:tcPr>
          <w:p w:rsidR="00AB080E" w:rsidRDefault="00575B79">
            <w:pPr>
              <w:jc w:val="center"/>
            </w:pPr>
            <w:r>
              <w:rPr>
                <w:color w:val="000000"/>
                <w:sz w:val="24"/>
                <w:szCs w:val="24"/>
              </w:rPr>
              <w:t>002599</w:t>
            </w:r>
          </w:p>
        </w:tc>
        <w:tc>
          <w:tcPr>
            <w:tcW w:w="1777" w:type="dxa"/>
            <w:vAlign w:val="center"/>
          </w:tcPr>
          <w:p w:rsidR="00AB080E" w:rsidRDefault="00575B79">
            <w:pPr>
              <w:jc w:val="center"/>
            </w:pPr>
            <w:r>
              <w:rPr>
                <w:color w:val="000000"/>
                <w:sz w:val="24"/>
                <w:szCs w:val="24"/>
              </w:rPr>
              <w:t>盛通股份</w:t>
            </w:r>
          </w:p>
        </w:tc>
        <w:tc>
          <w:tcPr>
            <w:tcW w:w="1334" w:type="dxa"/>
            <w:vAlign w:val="center"/>
          </w:tcPr>
          <w:p w:rsidR="00AB080E" w:rsidRDefault="00575B79">
            <w:pPr>
              <w:jc w:val="right"/>
            </w:pPr>
            <w:r>
              <w:rPr>
                <w:color w:val="000000"/>
                <w:sz w:val="24"/>
                <w:szCs w:val="24"/>
              </w:rPr>
              <w:t>2,198,003</w:t>
            </w:r>
          </w:p>
        </w:tc>
        <w:tc>
          <w:tcPr>
            <w:tcW w:w="1924" w:type="dxa"/>
            <w:vAlign w:val="center"/>
          </w:tcPr>
          <w:p w:rsidR="00AB080E" w:rsidRDefault="00575B79">
            <w:pPr>
              <w:jc w:val="right"/>
            </w:pPr>
            <w:r>
              <w:rPr>
                <w:color w:val="000000"/>
                <w:sz w:val="24"/>
                <w:szCs w:val="24"/>
              </w:rPr>
              <w:t>79,347,908.30</w:t>
            </w:r>
          </w:p>
        </w:tc>
        <w:tc>
          <w:tcPr>
            <w:tcW w:w="1644" w:type="dxa"/>
            <w:vAlign w:val="center"/>
          </w:tcPr>
          <w:p w:rsidR="00AB080E" w:rsidRDefault="00575B79">
            <w:pPr>
              <w:jc w:val="right"/>
            </w:pPr>
            <w:r>
              <w:rPr>
                <w:color w:val="000000"/>
                <w:sz w:val="24"/>
                <w:szCs w:val="24"/>
              </w:rPr>
              <w:t>5.94</w:t>
            </w:r>
          </w:p>
        </w:tc>
      </w:tr>
      <w:tr w:rsidR="00AB080E">
        <w:trPr>
          <w:jc w:val="center"/>
        </w:trPr>
        <w:tc>
          <w:tcPr>
            <w:tcW w:w="855" w:type="dxa"/>
            <w:vAlign w:val="center"/>
          </w:tcPr>
          <w:p w:rsidR="00AB080E" w:rsidRDefault="00575B79">
            <w:pPr>
              <w:jc w:val="center"/>
            </w:pPr>
            <w:r>
              <w:rPr>
                <w:color w:val="000000"/>
                <w:sz w:val="24"/>
                <w:szCs w:val="24"/>
              </w:rPr>
              <w:t>5</w:t>
            </w:r>
          </w:p>
        </w:tc>
        <w:tc>
          <w:tcPr>
            <w:tcW w:w="1334" w:type="dxa"/>
            <w:vAlign w:val="center"/>
          </w:tcPr>
          <w:p w:rsidR="00AB080E" w:rsidRDefault="00575B79">
            <w:pPr>
              <w:jc w:val="center"/>
            </w:pPr>
            <w:r>
              <w:rPr>
                <w:color w:val="000000"/>
                <w:sz w:val="24"/>
                <w:szCs w:val="24"/>
              </w:rPr>
              <w:t>300212</w:t>
            </w:r>
          </w:p>
        </w:tc>
        <w:tc>
          <w:tcPr>
            <w:tcW w:w="1777" w:type="dxa"/>
            <w:vAlign w:val="center"/>
          </w:tcPr>
          <w:p w:rsidR="00AB080E" w:rsidRDefault="00575B79">
            <w:pPr>
              <w:jc w:val="center"/>
            </w:pPr>
            <w:r>
              <w:rPr>
                <w:color w:val="000000"/>
                <w:sz w:val="24"/>
                <w:szCs w:val="24"/>
              </w:rPr>
              <w:t>易华录</w:t>
            </w:r>
          </w:p>
        </w:tc>
        <w:tc>
          <w:tcPr>
            <w:tcW w:w="1334" w:type="dxa"/>
            <w:vAlign w:val="center"/>
          </w:tcPr>
          <w:p w:rsidR="00AB080E" w:rsidRDefault="00575B79">
            <w:pPr>
              <w:jc w:val="right"/>
            </w:pPr>
            <w:r>
              <w:rPr>
                <w:color w:val="000000"/>
                <w:sz w:val="24"/>
                <w:szCs w:val="24"/>
              </w:rPr>
              <w:t>2,641,363</w:t>
            </w:r>
          </w:p>
        </w:tc>
        <w:tc>
          <w:tcPr>
            <w:tcW w:w="1924" w:type="dxa"/>
            <w:vAlign w:val="center"/>
          </w:tcPr>
          <w:p w:rsidR="00AB080E" w:rsidRDefault="00575B79">
            <w:pPr>
              <w:jc w:val="right"/>
            </w:pPr>
            <w:r>
              <w:rPr>
                <w:color w:val="000000"/>
                <w:sz w:val="24"/>
                <w:szCs w:val="24"/>
              </w:rPr>
              <w:t>77,365,522.27</w:t>
            </w:r>
          </w:p>
        </w:tc>
        <w:tc>
          <w:tcPr>
            <w:tcW w:w="1644" w:type="dxa"/>
            <w:vAlign w:val="center"/>
          </w:tcPr>
          <w:p w:rsidR="00AB080E" w:rsidRDefault="00575B79">
            <w:pPr>
              <w:jc w:val="right"/>
            </w:pPr>
            <w:r>
              <w:rPr>
                <w:color w:val="000000"/>
                <w:sz w:val="24"/>
                <w:szCs w:val="24"/>
              </w:rPr>
              <w:t>5.79</w:t>
            </w:r>
          </w:p>
        </w:tc>
      </w:tr>
      <w:tr w:rsidR="00AB080E">
        <w:trPr>
          <w:jc w:val="center"/>
        </w:trPr>
        <w:tc>
          <w:tcPr>
            <w:tcW w:w="855" w:type="dxa"/>
            <w:vAlign w:val="center"/>
          </w:tcPr>
          <w:p w:rsidR="00AB080E" w:rsidRDefault="00575B79">
            <w:pPr>
              <w:jc w:val="center"/>
            </w:pPr>
            <w:r>
              <w:rPr>
                <w:color w:val="000000"/>
                <w:sz w:val="24"/>
                <w:szCs w:val="24"/>
              </w:rPr>
              <w:t>6</w:t>
            </w:r>
          </w:p>
        </w:tc>
        <w:tc>
          <w:tcPr>
            <w:tcW w:w="1334" w:type="dxa"/>
            <w:vAlign w:val="center"/>
          </w:tcPr>
          <w:p w:rsidR="00AB080E" w:rsidRDefault="00575B79">
            <w:pPr>
              <w:jc w:val="center"/>
            </w:pPr>
            <w:r>
              <w:rPr>
                <w:color w:val="000000"/>
                <w:sz w:val="24"/>
                <w:szCs w:val="24"/>
              </w:rPr>
              <w:t>600703</w:t>
            </w:r>
          </w:p>
        </w:tc>
        <w:tc>
          <w:tcPr>
            <w:tcW w:w="1777" w:type="dxa"/>
            <w:vAlign w:val="center"/>
          </w:tcPr>
          <w:p w:rsidR="00AB080E" w:rsidRDefault="00575B79">
            <w:pPr>
              <w:jc w:val="center"/>
            </w:pPr>
            <w:r>
              <w:rPr>
                <w:color w:val="000000"/>
                <w:sz w:val="24"/>
                <w:szCs w:val="24"/>
              </w:rPr>
              <w:t>三安光电</w:t>
            </w:r>
          </w:p>
        </w:tc>
        <w:tc>
          <w:tcPr>
            <w:tcW w:w="1334" w:type="dxa"/>
            <w:vAlign w:val="center"/>
          </w:tcPr>
          <w:p w:rsidR="00AB080E" w:rsidRDefault="00575B79">
            <w:pPr>
              <w:jc w:val="right"/>
            </w:pPr>
            <w:r>
              <w:rPr>
                <w:color w:val="000000"/>
                <w:sz w:val="24"/>
                <w:szCs w:val="24"/>
              </w:rPr>
              <w:t>4,216,220</w:t>
            </w:r>
          </w:p>
        </w:tc>
        <w:tc>
          <w:tcPr>
            <w:tcW w:w="1924" w:type="dxa"/>
            <w:vAlign w:val="center"/>
          </w:tcPr>
          <w:p w:rsidR="00AB080E" w:rsidRDefault="00575B79">
            <w:pPr>
              <w:jc w:val="right"/>
            </w:pPr>
            <w:r>
              <w:rPr>
                <w:color w:val="000000"/>
                <w:sz w:val="24"/>
                <w:szCs w:val="24"/>
              </w:rPr>
              <w:t>67,417,357.80</w:t>
            </w:r>
          </w:p>
        </w:tc>
        <w:tc>
          <w:tcPr>
            <w:tcW w:w="1644" w:type="dxa"/>
            <w:vAlign w:val="center"/>
          </w:tcPr>
          <w:p w:rsidR="00AB080E" w:rsidRDefault="00575B79">
            <w:pPr>
              <w:jc w:val="right"/>
            </w:pPr>
            <w:r>
              <w:rPr>
                <w:color w:val="000000"/>
                <w:sz w:val="24"/>
                <w:szCs w:val="24"/>
              </w:rPr>
              <w:t>5.05</w:t>
            </w:r>
          </w:p>
        </w:tc>
      </w:tr>
      <w:tr w:rsidR="00AB080E">
        <w:trPr>
          <w:jc w:val="center"/>
        </w:trPr>
        <w:tc>
          <w:tcPr>
            <w:tcW w:w="855" w:type="dxa"/>
            <w:vAlign w:val="center"/>
          </w:tcPr>
          <w:p w:rsidR="00AB080E" w:rsidRDefault="00575B79">
            <w:pPr>
              <w:jc w:val="center"/>
            </w:pPr>
            <w:r>
              <w:rPr>
                <w:color w:val="000000"/>
                <w:sz w:val="24"/>
                <w:szCs w:val="24"/>
              </w:rPr>
              <w:t>7</w:t>
            </w:r>
          </w:p>
        </w:tc>
        <w:tc>
          <w:tcPr>
            <w:tcW w:w="1334" w:type="dxa"/>
            <w:vAlign w:val="center"/>
          </w:tcPr>
          <w:p w:rsidR="00AB080E" w:rsidRDefault="00575B79">
            <w:pPr>
              <w:jc w:val="center"/>
            </w:pPr>
            <w:r>
              <w:rPr>
                <w:color w:val="000000"/>
                <w:sz w:val="24"/>
                <w:szCs w:val="24"/>
              </w:rPr>
              <w:t>300231</w:t>
            </w:r>
          </w:p>
        </w:tc>
        <w:tc>
          <w:tcPr>
            <w:tcW w:w="1777" w:type="dxa"/>
            <w:vAlign w:val="center"/>
          </w:tcPr>
          <w:p w:rsidR="00AB080E" w:rsidRDefault="00575B79">
            <w:pPr>
              <w:jc w:val="center"/>
            </w:pPr>
            <w:r>
              <w:rPr>
                <w:color w:val="000000"/>
                <w:sz w:val="24"/>
                <w:szCs w:val="24"/>
              </w:rPr>
              <w:t>银信科技</w:t>
            </w:r>
          </w:p>
        </w:tc>
        <w:tc>
          <w:tcPr>
            <w:tcW w:w="1334" w:type="dxa"/>
            <w:vAlign w:val="center"/>
          </w:tcPr>
          <w:p w:rsidR="00AB080E" w:rsidRDefault="00575B79">
            <w:pPr>
              <w:jc w:val="right"/>
            </w:pPr>
            <w:r>
              <w:rPr>
                <w:color w:val="000000"/>
                <w:sz w:val="24"/>
                <w:szCs w:val="24"/>
              </w:rPr>
              <w:t>4,023,861</w:t>
            </w:r>
          </w:p>
        </w:tc>
        <w:tc>
          <w:tcPr>
            <w:tcW w:w="1924" w:type="dxa"/>
            <w:vAlign w:val="center"/>
          </w:tcPr>
          <w:p w:rsidR="00AB080E" w:rsidRDefault="00575B79">
            <w:pPr>
              <w:jc w:val="right"/>
            </w:pPr>
            <w:r>
              <w:rPr>
                <w:color w:val="000000"/>
                <w:sz w:val="24"/>
                <w:szCs w:val="24"/>
              </w:rPr>
              <w:t>67,198,478.70</w:t>
            </w:r>
          </w:p>
        </w:tc>
        <w:tc>
          <w:tcPr>
            <w:tcW w:w="1644" w:type="dxa"/>
            <w:vAlign w:val="center"/>
          </w:tcPr>
          <w:p w:rsidR="00AB080E" w:rsidRDefault="00575B79">
            <w:pPr>
              <w:jc w:val="right"/>
            </w:pPr>
            <w:r>
              <w:rPr>
                <w:color w:val="000000"/>
                <w:sz w:val="24"/>
                <w:szCs w:val="24"/>
              </w:rPr>
              <w:t>5.03</w:t>
            </w:r>
          </w:p>
        </w:tc>
      </w:tr>
      <w:tr w:rsidR="00AB080E">
        <w:trPr>
          <w:jc w:val="center"/>
        </w:trPr>
        <w:tc>
          <w:tcPr>
            <w:tcW w:w="855" w:type="dxa"/>
            <w:vAlign w:val="center"/>
          </w:tcPr>
          <w:p w:rsidR="00AB080E" w:rsidRDefault="00575B79">
            <w:pPr>
              <w:jc w:val="center"/>
            </w:pPr>
            <w:r>
              <w:rPr>
                <w:color w:val="000000"/>
                <w:sz w:val="24"/>
                <w:szCs w:val="24"/>
              </w:rPr>
              <w:t>8</w:t>
            </w:r>
          </w:p>
        </w:tc>
        <w:tc>
          <w:tcPr>
            <w:tcW w:w="1334" w:type="dxa"/>
            <w:vAlign w:val="center"/>
          </w:tcPr>
          <w:p w:rsidR="00AB080E" w:rsidRDefault="00575B79">
            <w:pPr>
              <w:jc w:val="center"/>
            </w:pPr>
            <w:r>
              <w:rPr>
                <w:color w:val="000000"/>
                <w:sz w:val="24"/>
                <w:szCs w:val="24"/>
              </w:rPr>
              <w:t>600693</w:t>
            </w:r>
          </w:p>
        </w:tc>
        <w:tc>
          <w:tcPr>
            <w:tcW w:w="1777" w:type="dxa"/>
            <w:vAlign w:val="center"/>
          </w:tcPr>
          <w:p w:rsidR="00AB080E" w:rsidRDefault="00575B79">
            <w:pPr>
              <w:jc w:val="center"/>
            </w:pPr>
            <w:r>
              <w:rPr>
                <w:color w:val="000000"/>
                <w:sz w:val="24"/>
                <w:szCs w:val="24"/>
              </w:rPr>
              <w:t>东百集团</w:t>
            </w:r>
          </w:p>
        </w:tc>
        <w:tc>
          <w:tcPr>
            <w:tcW w:w="1334" w:type="dxa"/>
            <w:vAlign w:val="center"/>
          </w:tcPr>
          <w:p w:rsidR="00AB080E" w:rsidRDefault="00575B79">
            <w:pPr>
              <w:jc w:val="right"/>
            </w:pPr>
            <w:r>
              <w:rPr>
                <w:color w:val="000000"/>
                <w:sz w:val="24"/>
                <w:szCs w:val="24"/>
              </w:rPr>
              <w:t>4,897,385</w:t>
            </w:r>
          </w:p>
        </w:tc>
        <w:tc>
          <w:tcPr>
            <w:tcW w:w="1924" w:type="dxa"/>
            <w:vAlign w:val="center"/>
          </w:tcPr>
          <w:p w:rsidR="00AB080E" w:rsidRDefault="00575B79">
            <w:pPr>
              <w:jc w:val="right"/>
            </w:pPr>
            <w:r>
              <w:rPr>
                <w:color w:val="000000"/>
                <w:sz w:val="24"/>
                <w:szCs w:val="24"/>
              </w:rPr>
              <w:t>65,135,220.50</w:t>
            </w:r>
          </w:p>
        </w:tc>
        <w:tc>
          <w:tcPr>
            <w:tcW w:w="1644" w:type="dxa"/>
            <w:vAlign w:val="center"/>
          </w:tcPr>
          <w:p w:rsidR="00AB080E" w:rsidRDefault="00575B79">
            <w:pPr>
              <w:jc w:val="right"/>
            </w:pPr>
            <w:r>
              <w:rPr>
                <w:color w:val="000000"/>
                <w:sz w:val="24"/>
                <w:szCs w:val="24"/>
              </w:rPr>
              <w:t>4.87</w:t>
            </w:r>
          </w:p>
        </w:tc>
      </w:tr>
      <w:tr w:rsidR="00AB080E">
        <w:trPr>
          <w:jc w:val="center"/>
        </w:trPr>
        <w:tc>
          <w:tcPr>
            <w:tcW w:w="855" w:type="dxa"/>
            <w:vAlign w:val="center"/>
          </w:tcPr>
          <w:p w:rsidR="00AB080E" w:rsidRDefault="00575B79">
            <w:pPr>
              <w:jc w:val="center"/>
            </w:pPr>
            <w:r>
              <w:rPr>
                <w:color w:val="000000"/>
                <w:sz w:val="24"/>
                <w:szCs w:val="24"/>
              </w:rPr>
              <w:t>9</w:t>
            </w:r>
          </w:p>
        </w:tc>
        <w:tc>
          <w:tcPr>
            <w:tcW w:w="1334" w:type="dxa"/>
            <w:vAlign w:val="center"/>
          </w:tcPr>
          <w:p w:rsidR="00AB080E" w:rsidRDefault="00575B79">
            <w:pPr>
              <w:jc w:val="center"/>
            </w:pPr>
            <w:r>
              <w:rPr>
                <w:color w:val="000000"/>
                <w:sz w:val="24"/>
                <w:szCs w:val="24"/>
              </w:rPr>
              <w:t>002195</w:t>
            </w:r>
          </w:p>
        </w:tc>
        <w:tc>
          <w:tcPr>
            <w:tcW w:w="1777" w:type="dxa"/>
            <w:vAlign w:val="center"/>
          </w:tcPr>
          <w:p w:rsidR="00AB080E" w:rsidRDefault="00575B79">
            <w:pPr>
              <w:jc w:val="center"/>
            </w:pPr>
            <w:r>
              <w:rPr>
                <w:color w:val="000000"/>
                <w:sz w:val="24"/>
                <w:szCs w:val="24"/>
              </w:rPr>
              <w:t>二三四五</w:t>
            </w:r>
          </w:p>
        </w:tc>
        <w:tc>
          <w:tcPr>
            <w:tcW w:w="1334" w:type="dxa"/>
            <w:vAlign w:val="center"/>
          </w:tcPr>
          <w:p w:rsidR="00AB080E" w:rsidRDefault="00575B79">
            <w:pPr>
              <w:jc w:val="right"/>
            </w:pPr>
            <w:r>
              <w:rPr>
                <w:color w:val="000000"/>
                <w:sz w:val="24"/>
                <w:szCs w:val="24"/>
              </w:rPr>
              <w:t>5,457,466</w:t>
            </w:r>
          </w:p>
        </w:tc>
        <w:tc>
          <w:tcPr>
            <w:tcW w:w="1924" w:type="dxa"/>
            <w:vAlign w:val="center"/>
          </w:tcPr>
          <w:p w:rsidR="00AB080E" w:rsidRDefault="00575B79">
            <w:pPr>
              <w:jc w:val="right"/>
            </w:pPr>
            <w:r>
              <w:rPr>
                <w:color w:val="000000"/>
                <w:sz w:val="24"/>
                <w:szCs w:val="24"/>
              </w:rPr>
              <w:t>63,197,456.28</w:t>
            </w:r>
          </w:p>
        </w:tc>
        <w:tc>
          <w:tcPr>
            <w:tcW w:w="1644" w:type="dxa"/>
            <w:vAlign w:val="center"/>
          </w:tcPr>
          <w:p w:rsidR="00AB080E" w:rsidRDefault="00575B79">
            <w:pPr>
              <w:jc w:val="right"/>
            </w:pPr>
            <w:r>
              <w:rPr>
                <w:color w:val="000000"/>
                <w:sz w:val="24"/>
                <w:szCs w:val="24"/>
              </w:rPr>
              <w:t>4.73</w:t>
            </w:r>
          </w:p>
        </w:tc>
      </w:tr>
      <w:tr w:rsidR="00AB080E">
        <w:trPr>
          <w:jc w:val="center"/>
        </w:trPr>
        <w:tc>
          <w:tcPr>
            <w:tcW w:w="855" w:type="dxa"/>
            <w:vAlign w:val="center"/>
          </w:tcPr>
          <w:p w:rsidR="00AB080E" w:rsidRDefault="00575B79">
            <w:pPr>
              <w:jc w:val="center"/>
            </w:pPr>
            <w:r>
              <w:rPr>
                <w:color w:val="000000"/>
                <w:sz w:val="24"/>
                <w:szCs w:val="24"/>
              </w:rPr>
              <w:t>10</w:t>
            </w:r>
          </w:p>
        </w:tc>
        <w:tc>
          <w:tcPr>
            <w:tcW w:w="1334" w:type="dxa"/>
            <w:vAlign w:val="center"/>
          </w:tcPr>
          <w:p w:rsidR="00AB080E" w:rsidRDefault="00575B79">
            <w:pPr>
              <w:jc w:val="center"/>
            </w:pPr>
            <w:r>
              <w:rPr>
                <w:color w:val="000000"/>
                <w:sz w:val="24"/>
                <w:szCs w:val="24"/>
              </w:rPr>
              <w:t>300447</w:t>
            </w:r>
          </w:p>
        </w:tc>
        <w:tc>
          <w:tcPr>
            <w:tcW w:w="1777" w:type="dxa"/>
            <w:vAlign w:val="center"/>
          </w:tcPr>
          <w:p w:rsidR="00AB080E" w:rsidRDefault="00575B79">
            <w:pPr>
              <w:jc w:val="center"/>
            </w:pPr>
            <w:r>
              <w:rPr>
                <w:color w:val="000000"/>
                <w:sz w:val="24"/>
                <w:szCs w:val="24"/>
              </w:rPr>
              <w:t>全信股份</w:t>
            </w:r>
          </w:p>
        </w:tc>
        <w:tc>
          <w:tcPr>
            <w:tcW w:w="1334" w:type="dxa"/>
            <w:vAlign w:val="center"/>
          </w:tcPr>
          <w:p w:rsidR="00AB080E" w:rsidRDefault="00575B79">
            <w:pPr>
              <w:jc w:val="right"/>
            </w:pPr>
            <w:r>
              <w:rPr>
                <w:color w:val="000000"/>
                <w:sz w:val="24"/>
                <w:szCs w:val="24"/>
              </w:rPr>
              <w:t>1,282,791</w:t>
            </w:r>
          </w:p>
        </w:tc>
        <w:tc>
          <w:tcPr>
            <w:tcW w:w="1924" w:type="dxa"/>
            <w:vAlign w:val="center"/>
          </w:tcPr>
          <w:p w:rsidR="00AB080E" w:rsidRDefault="00575B79">
            <w:pPr>
              <w:jc w:val="right"/>
            </w:pPr>
            <w:r>
              <w:rPr>
                <w:color w:val="000000"/>
                <w:sz w:val="24"/>
                <w:szCs w:val="24"/>
              </w:rPr>
              <w:t>61,048,023.69</w:t>
            </w:r>
          </w:p>
        </w:tc>
        <w:tc>
          <w:tcPr>
            <w:tcW w:w="1644" w:type="dxa"/>
            <w:vAlign w:val="center"/>
          </w:tcPr>
          <w:p w:rsidR="00AB080E" w:rsidRDefault="00575B79">
            <w:pPr>
              <w:jc w:val="right"/>
            </w:pPr>
            <w:r>
              <w:rPr>
                <w:color w:val="000000"/>
                <w:sz w:val="24"/>
                <w:szCs w:val="24"/>
              </w:rPr>
              <w:t>4.57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B080E">
        <w:trPr>
          <w:jc w:val="center"/>
        </w:trPr>
        <w:tc>
          <w:tcPr>
            <w:tcW w:w="850" w:type="dxa"/>
            <w:vAlign w:val="center"/>
          </w:tcPr>
          <w:p w:rsidR="00AB080E" w:rsidRDefault="00575B79">
            <w:pPr>
              <w:jc w:val="center"/>
            </w:pPr>
            <w:r>
              <w:rPr>
                <w:color w:val="000000"/>
                <w:sz w:val="24"/>
                <w:szCs w:val="24"/>
              </w:rPr>
              <w:t>1</w:t>
            </w:r>
          </w:p>
        </w:tc>
        <w:tc>
          <w:tcPr>
            <w:tcW w:w="1475" w:type="dxa"/>
            <w:vAlign w:val="center"/>
          </w:tcPr>
          <w:p w:rsidR="00AB080E" w:rsidRDefault="00575B79">
            <w:pPr>
              <w:jc w:val="center"/>
            </w:pPr>
            <w:r>
              <w:rPr>
                <w:color w:val="000000"/>
                <w:sz w:val="24"/>
                <w:szCs w:val="24"/>
              </w:rPr>
              <w:t>170401</w:t>
            </w:r>
          </w:p>
        </w:tc>
        <w:tc>
          <w:tcPr>
            <w:tcW w:w="1769" w:type="dxa"/>
            <w:vAlign w:val="center"/>
          </w:tcPr>
          <w:p w:rsidR="00AB080E" w:rsidRDefault="00575B79">
            <w:pPr>
              <w:jc w:val="center"/>
            </w:pPr>
            <w:r>
              <w:rPr>
                <w:color w:val="000000"/>
                <w:sz w:val="24"/>
                <w:szCs w:val="24"/>
              </w:rPr>
              <w:t>17</w:t>
            </w:r>
            <w:r>
              <w:rPr>
                <w:color w:val="000000"/>
                <w:sz w:val="24"/>
                <w:szCs w:val="24"/>
              </w:rPr>
              <w:t>农发</w:t>
            </w:r>
            <w:r>
              <w:rPr>
                <w:color w:val="000000"/>
                <w:sz w:val="24"/>
                <w:szCs w:val="24"/>
              </w:rPr>
              <w:t>01</w:t>
            </w:r>
          </w:p>
        </w:tc>
        <w:tc>
          <w:tcPr>
            <w:tcW w:w="1387" w:type="dxa"/>
            <w:vAlign w:val="center"/>
          </w:tcPr>
          <w:p w:rsidR="00AB080E" w:rsidRDefault="00575B79">
            <w:pPr>
              <w:jc w:val="right"/>
            </w:pPr>
            <w:r>
              <w:rPr>
                <w:color w:val="000000"/>
                <w:sz w:val="24"/>
                <w:szCs w:val="24"/>
              </w:rPr>
              <w:t>300,000</w:t>
            </w:r>
          </w:p>
        </w:tc>
        <w:tc>
          <w:tcPr>
            <w:tcW w:w="2150" w:type="dxa"/>
            <w:vAlign w:val="center"/>
          </w:tcPr>
          <w:p w:rsidR="00AB080E" w:rsidRDefault="00575B79">
            <w:pPr>
              <w:jc w:val="right"/>
            </w:pPr>
            <w:r>
              <w:rPr>
                <w:color w:val="000000"/>
                <w:sz w:val="24"/>
                <w:szCs w:val="24"/>
              </w:rPr>
              <w:t>29,910,000.00</w:t>
            </w:r>
          </w:p>
        </w:tc>
        <w:tc>
          <w:tcPr>
            <w:tcW w:w="1237" w:type="dxa"/>
            <w:vAlign w:val="center"/>
          </w:tcPr>
          <w:p w:rsidR="00AB080E" w:rsidRDefault="00575B79">
            <w:pPr>
              <w:jc w:val="right"/>
            </w:pPr>
            <w:r>
              <w:rPr>
                <w:color w:val="000000"/>
                <w:sz w:val="24"/>
                <w:szCs w:val="24"/>
              </w:rPr>
              <w:t>2.24</w:t>
            </w:r>
          </w:p>
        </w:tc>
      </w:tr>
      <w:tr w:rsidR="00AB080E">
        <w:trPr>
          <w:jc w:val="center"/>
        </w:trPr>
        <w:tc>
          <w:tcPr>
            <w:tcW w:w="850" w:type="dxa"/>
            <w:vAlign w:val="center"/>
          </w:tcPr>
          <w:p w:rsidR="00AB080E" w:rsidRDefault="00575B79">
            <w:pPr>
              <w:jc w:val="center"/>
            </w:pPr>
            <w:r>
              <w:rPr>
                <w:color w:val="000000"/>
                <w:sz w:val="24"/>
                <w:szCs w:val="24"/>
              </w:rPr>
              <w:t>2</w:t>
            </w:r>
          </w:p>
        </w:tc>
        <w:tc>
          <w:tcPr>
            <w:tcW w:w="1475" w:type="dxa"/>
            <w:vAlign w:val="center"/>
          </w:tcPr>
          <w:p w:rsidR="00AB080E" w:rsidRDefault="00575B79">
            <w:pPr>
              <w:jc w:val="center"/>
            </w:pPr>
            <w:r>
              <w:rPr>
                <w:color w:val="000000"/>
                <w:sz w:val="24"/>
                <w:szCs w:val="24"/>
              </w:rPr>
              <w:t>120406</w:t>
            </w:r>
          </w:p>
        </w:tc>
        <w:tc>
          <w:tcPr>
            <w:tcW w:w="1769" w:type="dxa"/>
            <w:vAlign w:val="center"/>
          </w:tcPr>
          <w:p w:rsidR="00AB080E" w:rsidRDefault="00575B79">
            <w:pPr>
              <w:jc w:val="center"/>
            </w:pPr>
            <w:r>
              <w:rPr>
                <w:color w:val="000000"/>
                <w:sz w:val="24"/>
                <w:szCs w:val="24"/>
              </w:rPr>
              <w:t>12</w:t>
            </w:r>
            <w:r>
              <w:rPr>
                <w:color w:val="000000"/>
                <w:sz w:val="24"/>
                <w:szCs w:val="24"/>
              </w:rPr>
              <w:t>农发</w:t>
            </w:r>
            <w:r>
              <w:rPr>
                <w:color w:val="000000"/>
                <w:sz w:val="24"/>
                <w:szCs w:val="24"/>
              </w:rPr>
              <w:t>06</w:t>
            </w:r>
          </w:p>
        </w:tc>
        <w:tc>
          <w:tcPr>
            <w:tcW w:w="1387" w:type="dxa"/>
            <w:vAlign w:val="center"/>
          </w:tcPr>
          <w:p w:rsidR="00AB080E" w:rsidRDefault="00575B79">
            <w:pPr>
              <w:jc w:val="right"/>
            </w:pPr>
            <w:r>
              <w:rPr>
                <w:color w:val="000000"/>
                <w:sz w:val="24"/>
                <w:szCs w:val="24"/>
              </w:rPr>
              <w:t>100,000</w:t>
            </w:r>
          </w:p>
        </w:tc>
        <w:tc>
          <w:tcPr>
            <w:tcW w:w="2150" w:type="dxa"/>
            <w:vAlign w:val="center"/>
          </w:tcPr>
          <w:p w:rsidR="00AB080E" w:rsidRDefault="00575B79">
            <w:pPr>
              <w:jc w:val="right"/>
            </w:pPr>
            <w:r>
              <w:rPr>
                <w:color w:val="000000"/>
                <w:sz w:val="24"/>
                <w:szCs w:val="24"/>
              </w:rPr>
              <w:t>10,001,000.00</w:t>
            </w:r>
          </w:p>
        </w:tc>
        <w:tc>
          <w:tcPr>
            <w:tcW w:w="1237" w:type="dxa"/>
            <w:vAlign w:val="center"/>
          </w:tcPr>
          <w:p w:rsidR="00AB080E" w:rsidRDefault="00575B79">
            <w:pPr>
              <w:jc w:val="right"/>
            </w:pPr>
            <w:r>
              <w:rPr>
                <w:color w:val="000000"/>
                <w:sz w:val="24"/>
                <w:szCs w:val="24"/>
              </w:rPr>
              <w:t>0.75</w:t>
            </w:r>
          </w:p>
        </w:tc>
      </w:tr>
      <w:tr w:rsidR="00AB080E">
        <w:trPr>
          <w:jc w:val="center"/>
        </w:trPr>
        <w:tc>
          <w:tcPr>
            <w:tcW w:w="850" w:type="dxa"/>
            <w:vAlign w:val="center"/>
          </w:tcPr>
          <w:p w:rsidR="00AB080E" w:rsidRDefault="00575B79">
            <w:pPr>
              <w:jc w:val="center"/>
            </w:pPr>
            <w:r>
              <w:rPr>
                <w:color w:val="000000"/>
                <w:sz w:val="24"/>
                <w:szCs w:val="24"/>
              </w:rPr>
              <w:t>3</w:t>
            </w:r>
          </w:p>
        </w:tc>
        <w:tc>
          <w:tcPr>
            <w:tcW w:w="1475" w:type="dxa"/>
            <w:vAlign w:val="center"/>
          </w:tcPr>
          <w:p w:rsidR="00AB080E" w:rsidRDefault="00575B79">
            <w:pPr>
              <w:jc w:val="center"/>
            </w:pPr>
            <w:r>
              <w:rPr>
                <w:color w:val="000000"/>
                <w:sz w:val="24"/>
                <w:szCs w:val="24"/>
              </w:rPr>
              <w:t>120223</w:t>
            </w:r>
          </w:p>
        </w:tc>
        <w:tc>
          <w:tcPr>
            <w:tcW w:w="1769" w:type="dxa"/>
            <w:vAlign w:val="center"/>
          </w:tcPr>
          <w:p w:rsidR="00AB080E" w:rsidRDefault="00575B79">
            <w:pPr>
              <w:jc w:val="center"/>
            </w:pPr>
            <w:r>
              <w:rPr>
                <w:color w:val="000000"/>
                <w:sz w:val="24"/>
                <w:szCs w:val="24"/>
              </w:rPr>
              <w:t>12</w:t>
            </w:r>
            <w:r>
              <w:rPr>
                <w:color w:val="000000"/>
                <w:sz w:val="24"/>
                <w:szCs w:val="24"/>
              </w:rPr>
              <w:t>国开</w:t>
            </w:r>
            <w:r>
              <w:rPr>
                <w:color w:val="000000"/>
                <w:sz w:val="24"/>
                <w:szCs w:val="24"/>
              </w:rPr>
              <w:t>23</w:t>
            </w:r>
          </w:p>
        </w:tc>
        <w:tc>
          <w:tcPr>
            <w:tcW w:w="1387" w:type="dxa"/>
            <w:vAlign w:val="center"/>
          </w:tcPr>
          <w:p w:rsidR="00AB080E" w:rsidRDefault="00575B79">
            <w:pPr>
              <w:jc w:val="right"/>
            </w:pPr>
            <w:r>
              <w:rPr>
                <w:color w:val="000000"/>
                <w:sz w:val="24"/>
                <w:szCs w:val="24"/>
              </w:rPr>
              <w:t>100,000</w:t>
            </w:r>
          </w:p>
        </w:tc>
        <w:tc>
          <w:tcPr>
            <w:tcW w:w="2150" w:type="dxa"/>
            <w:vAlign w:val="center"/>
          </w:tcPr>
          <w:p w:rsidR="00AB080E" w:rsidRDefault="00575B79">
            <w:pPr>
              <w:jc w:val="right"/>
            </w:pPr>
            <w:r>
              <w:rPr>
                <w:color w:val="000000"/>
                <w:sz w:val="24"/>
                <w:szCs w:val="24"/>
              </w:rPr>
              <w:t>9,992,000.00</w:t>
            </w:r>
          </w:p>
        </w:tc>
        <w:tc>
          <w:tcPr>
            <w:tcW w:w="1237" w:type="dxa"/>
            <w:vAlign w:val="center"/>
          </w:tcPr>
          <w:p w:rsidR="00AB080E" w:rsidRDefault="00575B79">
            <w:pPr>
              <w:jc w:val="right"/>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1,213,493.44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12,375,959.74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821,168.78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6,044,673.06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20,455,295.02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575B79" w:rsidRPr="00414345" w:rsidTr="00942B44">
        <w:trPr>
          <w:jc w:val="center"/>
        </w:trPr>
        <w:tc>
          <w:tcPr>
            <w:tcW w:w="1083" w:type="dxa"/>
            <w:tcBorders>
              <w:bottom w:val="single" w:sz="4" w:space="0" w:color="auto"/>
            </w:tcBorders>
            <w:vAlign w:val="center"/>
          </w:tcPr>
          <w:p w:rsidR="00575B79" w:rsidRPr="00414345" w:rsidRDefault="00575B79" w:rsidP="00511230">
            <w:pPr>
              <w:spacing w:before="29" w:line="288" w:lineRule="auto"/>
              <w:ind w:left="17"/>
              <w:jc w:val="center"/>
              <w:rPr>
                <w:color w:val="000000"/>
                <w:sz w:val="24"/>
                <w:szCs w:val="24"/>
              </w:rPr>
            </w:pPr>
            <w:r w:rsidRPr="00414345">
              <w:rPr>
                <w:color w:val="000000"/>
                <w:sz w:val="24"/>
                <w:szCs w:val="24"/>
              </w:rPr>
              <w:t>序号</w:t>
            </w:r>
          </w:p>
        </w:tc>
        <w:tc>
          <w:tcPr>
            <w:tcW w:w="1302" w:type="dxa"/>
            <w:tcBorders>
              <w:bottom w:val="single" w:sz="4" w:space="0" w:color="auto"/>
            </w:tcBorders>
            <w:vAlign w:val="center"/>
          </w:tcPr>
          <w:p w:rsidR="00575B79" w:rsidRPr="00414345" w:rsidRDefault="00575B79" w:rsidP="00511230">
            <w:pPr>
              <w:spacing w:before="29" w:line="288" w:lineRule="auto"/>
              <w:ind w:left="17"/>
              <w:jc w:val="center"/>
              <w:rPr>
                <w:color w:val="000000"/>
                <w:sz w:val="24"/>
                <w:szCs w:val="24"/>
              </w:rPr>
            </w:pPr>
            <w:r w:rsidRPr="00414345">
              <w:rPr>
                <w:color w:val="000000"/>
                <w:sz w:val="24"/>
                <w:szCs w:val="24"/>
              </w:rPr>
              <w:t>股票代码</w:t>
            </w:r>
          </w:p>
        </w:tc>
        <w:tc>
          <w:tcPr>
            <w:tcW w:w="1301" w:type="dxa"/>
            <w:tcBorders>
              <w:bottom w:val="single" w:sz="4" w:space="0" w:color="auto"/>
            </w:tcBorders>
            <w:vAlign w:val="center"/>
          </w:tcPr>
          <w:p w:rsidR="00575B79" w:rsidRPr="00414345" w:rsidRDefault="00575B79" w:rsidP="00511230">
            <w:pPr>
              <w:spacing w:before="29" w:line="288" w:lineRule="auto"/>
              <w:ind w:left="17"/>
              <w:jc w:val="center"/>
              <w:rPr>
                <w:color w:val="000000"/>
                <w:sz w:val="24"/>
                <w:szCs w:val="24"/>
              </w:rPr>
            </w:pPr>
            <w:r w:rsidRPr="00414345">
              <w:rPr>
                <w:color w:val="000000"/>
                <w:sz w:val="24"/>
                <w:szCs w:val="24"/>
              </w:rPr>
              <w:t>股票名称</w:t>
            </w:r>
          </w:p>
        </w:tc>
        <w:tc>
          <w:tcPr>
            <w:tcW w:w="1805" w:type="dxa"/>
            <w:tcBorders>
              <w:bottom w:val="single" w:sz="4" w:space="0" w:color="auto"/>
            </w:tcBorders>
            <w:vAlign w:val="center"/>
          </w:tcPr>
          <w:p w:rsidR="00575B79" w:rsidRPr="00414345" w:rsidRDefault="00575B79" w:rsidP="0051123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tcBorders>
              <w:bottom w:val="single" w:sz="4" w:space="0" w:color="auto"/>
            </w:tcBorders>
            <w:vAlign w:val="center"/>
          </w:tcPr>
          <w:p w:rsidR="00575B79" w:rsidRPr="00414345" w:rsidRDefault="00575B79" w:rsidP="00511230">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tcBorders>
              <w:bottom w:val="single" w:sz="4" w:space="0" w:color="auto"/>
            </w:tcBorders>
            <w:vAlign w:val="center"/>
          </w:tcPr>
          <w:p w:rsidR="00575B79" w:rsidRPr="00414345" w:rsidRDefault="00575B79" w:rsidP="00511230">
            <w:pPr>
              <w:spacing w:before="29" w:line="288" w:lineRule="auto"/>
              <w:ind w:left="17"/>
              <w:jc w:val="center"/>
              <w:rPr>
                <w:color w:val="000000"/>
                <w:sz w:val="24"/>
                <w:szCs w:val="24"/>
              </w:rPr>
            </w:pPr>
            <w:r w:rsidRPr="00414345">
              <w:rPr>
                <w:color w:val="000000"/>
                <w:sz w:val="24"/>
                <w:szCs w:val="24"/>
              </w:rPr>
              <w:t>流通受限情况说明</w:t>
            </w:r>
          </w:p>
        </w:tc>
      </w:tr>
      <w:tr w:rsidR="00575B79" w:rsidTr="00942B44">
        <w:trPr>
          <w:jc w:val="center"/>
        </w:trPr>
        <w:tc>
          <w:tcPr>
            <w:tcW w:w="1129" w:type="dxa"/>
            <w:tcBorders>
              <w:bottom w:val="single" w:sz="4" w:space="0" w:color="auto"/>
            </w:tcBorders>
            <w:vAlign w:val="center"/>
          </w:tcPr>
          <w:p w:rsidR="00575B79" w:rsidRDefault="00575B79" w:rsidP="00511230">
            <w:pPr>
              <w:jc w:val="center"/>
            </w:pPr>
            <w:r>
              <w:rPr>
                <w:color w:val="000000"/>
                <w:sz w:val="24"/>
                <w:szCs w:val="24"/>
              </w:rPr>
              <w:t>1</w:t>
            </w:r>
          </w:p>
        </w:tc>
        <w:tc>
          <w:tcPr>
            <w:tcW w:w="1356" w:type="dxa"/>
            <w:tcBorders>
              <w:bottom w:val="single" w:sz="4" w:space="0" w:color="auto"/>
            </w:tcBorders>
            <w:vAlign w:val="center"/>
          </w:tcPr>
          <w:p w:rsidR="00575B79" w:rsidRDefault="00575B79" w:rsidP="00511230">
            <w:pPr>
              <w:jc w:val="center"/>
            </w:pPr>
            <w:r>
              <w:rPr>
                <w:color w:val="000000"/>
                <w:sz w:val="24"/>
                <w:szCs w:val="24"/>
              </w:rPr>
              <w:t>300212</w:t>
            </w:r>
          </w:p>
        </w:tc>
        <w:tc>
          <w:tcPr>
            <w:tcW w:w="1355" w:type="dxa"/>
            <w:tcBorders>
              <w:bottom w:val="single" w:sz="4" w:space="0" w:color="auto"/>
            </w:tcBorders>
            <w:vAlign w:val="center"/>
          </w:tcPr>
          <w:p w:rsidR="00575B79" w:rsidRDefault="00575B79" w:rsidP="00511230">
            <w:pPr>
              <w:jc w:val="center"/>
            </w:pPr>
            <w:r>
              <w:rPr>
                <w:color w:val="000000"/>
                <w:sz w:val="24"/>
                <w:szCs w:val="24"/>
              </w:rPr>
              <w:t>易华录</w:t>
            </w:r>
          </w:p>
        </w:tc>
        <w:tc>
          <w:tcPr>
            <w:tcW w:w="1880" w:type="dxa"/>
            <w:tcBorders>
              <w:bottom w:val="single" w:sz="4" w:space="0" w:color="auto"/>
            </w:tcBorders>
            <w:vAlign w:val="center"/>
          </w:tcPr>
          <w:p w:rsidR="00575B79" w:rsidRDefault="00575B79" w:rsidP="00511230">
            <w:pPr>
              <w:jc w:val="right"/>
            </w:pPr>
            <w:r>
              <w:rPr>
                <w:color w:val="000000"/>
                <w:sz w:val="24"/>
                <w:szCs w:val="24"/>
              </w:rPr>
              <w:t>77,365,522.27</w:t>
            </w:r>
          </w:p>
        </w:tc>
        <w:tc>
          <w:tcPr>
            <w:tcW w:w="1724" w:type="dxa"/>
            <w:tcBorders>
              <w:bottom w:val="single" w:sz="4" w:space="0" w:color="auto"/>
            </w:tcBorders>
            <w:vAlign w:val="center"/>
          </w:tcPr>
          <w:p w:rsidR="00575B79" w:rsidRDefault="00575B79" w:rsidP="00511230">
            <w:pPr>
              <w:jc w:val="right"/>
            </w:pPr>
            <w:r>
              <w:rPr>
                <w:color w:val="000000"/>
                <w:sz w:val="24"/>
                <w:szCs w:val="24"/>
              </w:rPr>
              <w:t>5.79</w:t>
            </w:r>
          </w:p>
        </w:tc>
        <w:tc>
          <w:tcPr>
            <w:tcW w:w="1424" w:type="dxa"/>
            <w:tcBorders>
              <w:bottom w:val="single" w:sz="4" w:space="0" w:color="auto"/>
            </w:tcBorders>
            <w:vAlign w:val="center"/>
          </w:tcPr>
          <w:p w:rsidR="00575B79" w:rsidRDefault="00575B79" w:rsidP="0051123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1,547,911,693.24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18,454,699.23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90,934,177.13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1,475,432,215.34</w:t>
            </w:r>
          </w:p>
        </w:tc>
      </w:tr>
    </w:tbl>
    <w:p w:rsidR="00AB080E" w:rsidRDefault="00575B7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B080E" w:rsidRDefault="00575B7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B080E" w:rsidRDefault="00575B7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B080E" w:rsidRDefault="00575B7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99" w:rsidRDefault="00203A99" w:rsidP="00876D65">
      <w:r>
        <w:separator/>
      </w:r>
    </w:p>
  </w:endnote>
  <w:endnote w:type="continuationSeparator" w:id="0">
    <w:p w:rsidR="00203A99" w:rsidRDefault="00203A9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942B44">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942B44">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99" w:rsidRDefault="00203A99" w:rsidP="00876D65">
      <w:r>
        <w:separator/>
      </w:r>
    </w:p>
  </w:footnote>
  <w:footnote w:type="continuationSeparator" w:id="0">
    <w:p w:rsidR="00203A99" w:rsidRDefault="00203A9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41F7"/>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03A99"/>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5DF0"/>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24D5"/>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B79"/>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2B44"/>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80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1AE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96FC-CD95-49A5-82B7-899DD508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566</cp:revision>
  <dcterms:created xsi:type="dcterms:W3CDTF">2012-10-16T06:07:00Z</dcterms:created>
  <dcterms:modified xsi:type="dcterms:W3CDTF">2017-04-20T08:25:00Z</dcterms:modified>
</cp:coreProperties>
</file>