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交银施罗德科技创新灵活配置混合型证券投资基金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2017</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2017</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基金托管人：中国工商银行股份有限公司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二〇一七年四月二十四日</w:t>
      </w:r>
    </w:p>
    <w:p w:rsidR="004061AC" w:rsidRPr="00414345" w:rsidRDefault="004061AC" w:rsidP="00AB6E79">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9703B7" w:rsidRDefault="00D73946">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9703B7" w:rsidRDefault="00D73946">
      <w:pPr>
        <w:spacing w:before="29" w:line="288" w:lineRule="auto"/>
        <w:ind w:firstLineChars="200" w:firstLine="480"/>
        <w:rPr>
          <w:color w:val="000000"/>
          <w:sz w:val="24"/>
          <w:szCs w:val="24"/>
        </w:rPr>
      </w:pPr>
      <w:r>
        <w:rPr>
          <w:color w:val="000000"/>
          <w:sz w:val="24"/>
          <w:szCs w:val="24"/>
        </w:rPr>
        <w:t>基金托管人中国工商银行股份有限公司根据本基金合同规定，于</w:t>
      </w:r>
      <w:r>
        <w:rPr>
          <w:color w:val="000000"/>
          <w:sz w:val="24"/>
          <w:szCs w:val="24"/>
        </w:rPr>
        <w:t>2017</w:t>
      </w:r>
      <w:r>
        <w:rPr>
          <w:color w:val="000000"/>
          <w:sz w:val="24"/>
          <w:szCs w:val="24"/>
        </w:rPr>
        <w:t>年</w:t>
      </w:r>
      <w:r>
        <w:rPr>
          <w:color w:val="000000"/>
          <w:sz w:val="24"/>
          <w:szCs w:val="24"/>
        </w:rPr>
        <w:t>4</w:t>
      </w:r>
      <w:r>
        <w:rPr>
          <w:color w:val="000000"/>
          <w:sz w:val="24"/>
          <w:szCs w:val="24"/>
        </w:rPr>
        <w:t>月</w:t>
      </w:r>
      <w:r>
        <w:rPr>
          <w:color w:val="000000"/>
          <w:sz w:val="24"/>
          <w:szCs w:val="24"/>
        </w:rPr>
        <w:t>21</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9703B7" w:rsidRDefault="00D73946">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9703B7" w:rsidRDefault="00D73946">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w:t>
      </w:r>
      <w:r>
        <w:rPr>
          <w:color w:val="000000"/>
          <w:sz w:val="24"/>
          <w:szCs w:val="24"/>
        </w:rPr>
        <w:t>说明书。</w:t>
      </w:r>
      <w:r>
        <w:rPr>
          <w:color w:val="000000"/>
          <w:sz w:val="24"/>
          <w:szCs w:val="24"/>
        </w:rPr>
        <w:t xml:space="preserve"> </w:t>
      </w:r>
    </w:p>
    <w:p w:rsidR="009703B7" w:rsidRDefault="00D73946">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2017</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交银科技创新灵活配置混合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519767</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519767</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2016</w:t>
            </w:r>
            <w:r w:rsidRPr="00414345">
              <w:rPr>
                <w:color w:val="000000"/>
                <w:kern w:val="0"/>
                <w:sz w:val="24"/>
                <w:szCs w:val="24"/>
              </w:rPr>
              <w:t>年</w:t>
            </w:r>
            <w:r w:rsidRPr="00414345">
              <w:rPr>
                <w:color w:val="000000"/>
                <w:kern w:val="0"/>
                <w:sz w:val="24"/>
                <w:szCs w:val="24"/>
              </w:rPr>
              <w:t>5</w:t>
            </w:r>
            <w:r w:rsidRPr="00414345">
              <w:rPr>
                <w:color w:val="000000"/>
                <w:kern w:val="0"/>
                <w:sz w:val="24"/>
                <w:szCs w:val="24"/>
              </w:rPr>
              <w:t>月</w:t>
            </w:r>
            <w:r w:rsidRPr="00414345">
              <w:rPr>
                <w:color w:val="000000"/>
                <w:kern w:val="0"/>
                <w:sz w:val="24"/>
                <w:szCs w:val="24"/>
              </w:rPr>
              <w:t>5</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135,114,642.82</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本基金重点关注以科技为创新驱动力、在产业竞争中掌握核心竞争优势的优质上市公司，在控制风险并保持基金资产良好的流动性的前提下，力争实现基金资产的长期稳定增值。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将综合考虑国家经济政策、经济周期、各行业的相对估值水平和行业竞争格局等因素，进行大类资产在各行业间的配置。本基金聚焦于具有科技创新优势的行业和企业，深度挖掘依附于科技创新背后的新商业模式，重点关注以科技为创新驱动力、在产业竞争中掌握核心竞争优势的优质上市公司，致力于占领科技创新进程中的制高点。</w:t>
            </w:r>
            <w:r w:rsidRPr="00414345">
              <w:rPr>
                <w:color w:val="000000"/>
                <w:kern w:val="0"/>
                <w:sz w:val="24"/>
                <w:szCs w:val="24"/>
              </w:rPr>
              <w:t xml:space="preserve"> </w:t>
            </w:r>
            <w:r w:rsidRPr="00414345">
              <w:rPr>
                <w:color w:val="000000"/>
                <w:kern w:val="0"/>
                <w:sz w:val="24"/>
                <w:szCs w:val="24"/>
              </w:rPr>
              <w:t>其中，本基金股票投资重点关注直接受益于科技创新红利、或在新科技、新技</w:t>
            </w:r>
            <w:r w:rsidRPr="00414345">
              <w:rPr>
                <w:color w:val="000000"/>
                <w:kern w:val="0"/>
                <w:sz w:val="24"/>
                <w:szCs w:val="24"/>
              </w:rPr>
              <w:lastRenderedPageBreak/>
              <w:t>术推动下盈利水平长期显著提升的其他上市公司。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w:t>
            </w:r>
            <w:r w:rsidRPr="00414345">
              <w:rPr>
                <w:color w:val="000000"/>
                <w:kern w:val="0"/>
                <w:sz w:val="24"/>
                <w:szCs w:val="24"/>
              </w:rPr>
              <w:t>+40%×</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中国工商银行股份有限公司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2463E1" w:rsidRPr="00414345" w:rsidTr="002463E1">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-2017</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2463E1" w:rsidRPr="00414345" w:rsidTr="002463E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1,756,563.48</w:t>
            </w:r>
          </w:p>
        </w:tc>
      </w:tr>
      <w:tr w:rsidR="002463E1" w:rsidRPr="00414345" w:rsidTr="002463E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229,470.83</w:t>
            </w:r>
          </w:p>
        </w:tc>
      </w:tr>
      <w:tr w:rsidR="002463E1" w:rsidRPr="00414345" w:rsidTr="002463E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0.0012</w:t>
            </w:r>
          </w:p>
        </w:tc>
      </w:tr>
      <w:tr w:rsidR="002463E1" w:rsidRPr="00414345" w:rsidTr="002463E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138,892,295.05</w:t>
            </w:r>
          </w:p>
        </w:tc>
      </w:tr>
      <w:tr w:rsidR="002463E1" w:rsidRPr="00414345" w:rsidTr="002463E1">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1.028</w:t>
            </w:r>
          </w:p>
        </w:tc>
      </w:tr>
    </w:tbl>
    <w:p w:rsidR="009703B7" w:rsidRDefault="00D73946">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9703B7">
        <w:trPr>
          <w:jc w:val="center"/>
        </w:trPr>
        <w:tc>
          <w:tcPr>
            <w:tcW w:w="1701" w:type="dxa"/>
            <w:vAlign w:val="center"/>
          </w:tcPr>
          <w:p w:rsidR="009703B7" w:rsidRDefault="00D73946">
            <w:pPr>
              <w:jc w:val="left"/>
            </w:pPr>
            <w:r>
              <w:rPr>
                <w:color w:val="000000"/>
                <w:sz w:val="24"/>
                <w:szCs w:val="24"/>
              </w:rPr>
              <w:t>过去三个月</w:t>
            </w:r>
          </w:p>
        </w:tc>
        <w:tc>
          <w:tcPr>
            <w:tcW w:w="1045" w:type="dxa"/>
            <w:vAlign w:val="center"/>
          </w:tcPr>
          <w:p w:rsidR="009703B7" w:rsidRDefault="00D73946">
            <w:pPr>
              <w:jc w:val="center"/>
            </w:pPr>
            <w:r>
              <w:rPr>
                <w:color w:val="000000"/>
                <w:sz w:val="24"/>
                <w:szCs w:val="24"/>
              </w:rPr>
              <w:t>-0.86%</w:t>
            </w:r>
          </w:p>
        </w:tc>
        <w:tc>
          <w:tcPr>
            <w:tcW w:w="1344" w:type="dxa"/>
            <w:vAlign w:val="center"/>
          </w:tcPr>
          <w:p w:rsidR="009703B7" w:rsidRDefault="00D73946">
            <w:pPr>
              <w:jc w:val="center"/>
            </w:pPr>
            <w:r>
              <w:rPr>
                <w:color w:val="000000"/>
                <w:sz w:val="24"/>
                <w:szCs w:val="24"/>
              </w:rPr>
              <w:t>0.90%</w:t>
            </w:r>
          </w:p>
        </w:tc>
        <w:tc>
          <w:tcPr>
            <w:tcW w:w="1194" w:type="dxa"/>
            <w:vAlign w:val="center"/>
          </w:tcPr>
          <w:p w:rsidR="009703B7" w:rsidRDefault="00D73946">
            <w:pPr>
              <w:jc w:val="center"/>
            </w:pPr>
            <w:r>
              <w:rPr>
                <w:color w:val="000000"/>
                <w:sz w:val="24"/>
                <w:szCs w:val="24"/>
              </w:rPr>
              <w:t>2.59%</w:t>
            </w:r>
          </w:p>
        </w:tc>
        <w:tc>
          <w:tcPr>
            <w:tcW w:w="1492" w:type="dxa"/>
            <w:vAlign w:val="center"/>
          </w:tcPr>
          <w:p w:rsidR="009703B7" w:rsidRDefault="00D73946">
            <w:pPr>
              <w:jc w:val="center"/>
            </w:pPr>
            <w:r>
              <w:rPr>
                <w:color w:val="000000"/>
                <w:sz w:val="24"/>
                <w:szCs w:val="24"/>
              </w:rPr>
              <w:t>0.31%</w:t>
            </w:r>
          </w:p>
        </w:tc>
        <w:tc>
          <w:tcPr>
            <w:tcW w:w="1194" w:type="dxa"/>
            <w:vAlign w:val="center"/>
          </w:tcPr>
          <w:p w:rsidR="009703B7" w:rsidRDefault="00D73946">
            <w:pPr>
              <w:jc w:val="center"/>
            </w:pPr>
            <w:r>
              <w:rPr>
                <w:color w:val="000000"/>
                <w:sz w:val="24"/>
                <w:szCs w:val="24"/>
              </w:rPr>
              <w:t>-3.45%</w:t>
            </w:r>
          </w:p>
        </w:tc>
        <w:tc>
          <w:tcPr>
            <w:tcW w:w="898" w:type="dxa"/>
            <w:vAlign w:val="center"/>
          </w:tcPr>
          <w:p w:rsidR="009703B7" w:rsidRDefault="00D73946">
            <w:pPr>
              <w:jc w:val="center"/>
            </w:pPr>
            <w:r>
              <w:rPr>
                <w:color w:val="000000"/>
                <w:sz w:val="24"/>
                <w:szCs w:val="24"/>
              </w:rPr>
              <w:t>0.59%</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lastRenderedPageBreak/>
        <w:t>交银施罗德科技创新灵活配置混合型证券投资基金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5</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5</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注：本基金基金合同生效日为</w:t>
      </w:r>
      <w:r w:rsidRPr="00414345">
        <w:rPr>
          <w:color w:val="000000"/>
          <w:sz w:val="24"/>
          <w:szCs w:val="24"/>
        </w:rPr>
        <w:t>2016</w:t>
      </w:r>
      <w:r w:rsidRPr="00414345">
        <w:rPr>
          <w:color w:val="000000"/>
          <w:sz w:val="24"/>
          <w:szCs w:val="24"/>
        </w:rPr>
        <w:t>年</w:t>
      </w:r>
      <w:r w:rsidRPr="00414345">
        <w:rPr>
          <w:color w:val="000000"/>
          <w:sz w:val="24"/>
          <w:szCs w:val="24"/>
        </w:rPr>
        <w:t>5</w:t>
      </w:r>
      <w:r w:rsidRPr="00414345">
        <w:rPr>
          <w:color w:val="000000"/>
          <w:sz w:val="24"/>
          <w:szCs w:val="24"/>
        </w:rPr>
        <w:t>月</w:t>
      </w:r>
      <w:r w:rsidRPr="00414345">
        <w:rPr>
          <w:color w:val="000000"/>
          <w:sz w:val="24"/>
          <w:szCs w:val="24"/>
        </w:rPr>
        <w:t>5</w:t>
      </w:r>
      <w:r w:rsidRPr="00414345">
        <w:rPr>
          <w:color w:val="000000"/>
          <w:sz w:val="24"/>
          <w:szCs w:val="24"/>
        </w:rPr>
        <w:t>日，基金合同生效日至报告期期末，本基金运作时间未满一年。本基金建仓期为自基金合同生效日起的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9703B7">
        <w:trPr>
          <w:jc w:val="center"/>
        </w:trPr>
        <w:tc>
          <w:tcPr>
            <w:tcW w:w="846" w:type="dxa"/>
            <w:vAlign w:val="center"/>
          </w:tcPr>
          <w:p w:rsidR="009703B7" w:rsidRDefault="00D73946">
            <w:pPr>
              <w:jc w:val="center"/>
            </w:pPr>
            <w:r>
              <w:rPr>
                <w:color w:val="000000"/>
                <w:sz w:val="24"/>
                <w:szCs w:val="24"/>
              </w:rPr>
              <w:t>芮晨</w:t>
            </w:r>
          </w:p>
        </w:tc>
        <w:tc>
          <w:tcPr>
            <w:tcW w:w="845" w:type="dxa"/>
            <w:vAlign w:val="center"/>
          </w:tcPr>
          <w:p w:rsidR="009703B7" w:rsidRDefault="00D73946">
            <w:pPr>
              <w:jc w:val="center"/>
            </w:pPr>
            <w:r>
              <w:rPr>
                <w:color w:val="000000"/>
                <w:sz w:val="24"/>
                <w:szCs w:val="24"/>
              </w:rPr>
              <w:t>交银先锋混合、交银科技创新灵活配置混合、交银</w:t>
            </w:r>
            <w:r>
              <w:rPr>
                <w:color w:val="000000"/>
                <w:sz w:val="24"/>
                <w:szCs w:val="24"/>
              </w:rPr>
              <w:lastRenderedPageBreak/>
              <w:t>数据产业灵活配置混合的基金经理</w:t>
            </w:r>
          </w:p>
        </w:tc>
        <w:tc>
          <w:tcPr>
            <w:tcW w:w="1549" w:type="dxa"/>
            <w:vAlign w:val="center"/>
          </w:tcPr>
          <w:p w:rsidR="009703B7" w:rsidRDefault="00D73946">
            <w:pPr>
              <w:jc w:val="center"/>
            </w:pPr>
            <w:r>
              <w:rPr>
                <w:color w:val="000000"/>
                <w:sz w:val="24"/>
                <w:szCs w:val="24"/>
              </w:rPr>
              <w:lastRenderedPageBreak/>
              <w:t>2016-05-05</w:t>
            </w:r>
          </w:p>
        </w:tc>
        <w:tc>
          <w:tcPr>
            <w:tcW w:w="1548" w:type="dxa"/>
            <w:vAlign w:val="center"/>
          </w:tcPr>
          <w:p w:rsidR="009703B7" w:rsidRDefault="00D73946">
            <w:pPr>
              <w:jc w:val="center"/>
            </w:pPr>
            <w:r>
              <w:rPr>
                <w:color w:val="000000"/>
                <w:sz w:val="24"/>
                <w:szCs w:val="24"/>
              </w:rPr>
              <w:t>-</w:t>
            </w:r>
          </w:p>
        </w:tc>
        <w:tc>
          <w:tcPr>
            <w:tcW w:w="1407" w:type="dxa"/>
            <w:vAlign w:val="center"/>
          </w:tcPr>
          <w:p w:rsidR="009703B7" w:rsidRDefault="00D73946">
            <w:pPr>
              <w:jc w:val="center"/>
            </w:pPr>
            <w:r>
              <w:rPr>
                <w:color w:val="000000"/>
                <w:sz w:val="24"/>
                <w:szCs w:val="24"/>
              </w:rPr>
              <w:t>10</w:t>
            </w:r>
            <w:r>
              <w:rPr>
                <w:color w:val="000000"/>
                <w:sz w:val="24"/>
                <w:szCs w:val="24"/>
              </w:rPr>
              <w:t>年</w:t>
            </w:r>
          </w:p>
        </w:tc>
        <w:tc>
          <w:tcPr>
            <w:tcW w:w="2673" w:type="dxa"/>
            <w:vAlign w:val="center"/>
          </w:tcPr>
          <w:p w:rsidR="009703B7" w:rsidRDefault="00D73946">
            <w:r>
              <w:rPr>
                <w:color w:val="000000"/>
                <w:sz w:val="24"/>
                <w:szCs w:val="24"/>
              </w:rPr>
              <w:t>芮晨先生，内蒙古科技大学工学士。历任深圳尚诚资产管理有限公司研究员、研究副总监，国联安基金管理有限公司行业研究员、投资经理，浙商证券资产管理有限公司投资主办。</w:t>
            </w:r>
            <w:r>
              <w:rPr>
                <w:color w:val="000000"/>
                <w:sz w:val="24"/>
                <w:szCs w:val="24"/>
              </w:rPr>
              <w:t>2015</w:t>
            </w:r>
            <w:r>
              <w:rPr>
                <w:color w:val="000000"/>
                <w:sz w:val="24"/>
                <w:szCs w:val="24"/>
              </w:rPr>
              <w:t>年加入交银施罗德基金管理有限公司。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9703B7" w:rsidRDefault="00D73946">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9703B7" w:rsidRDefault="00D73946">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9703B7" w:rsidRDefault="00D73946">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w:t>
      </w:r>
      <w:r>
        <w:rPr>
          <w:color w:val="000000"/>
          <w:sz w:val="24"/>
          <w:szCs w:val="24"/>
        </w:rPr>
        <w:t>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lastRenderedPageBreak/>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9703B7" w:rsidRDefault="00D73946">
      <w:pPr>
        <w:spacing w:before="29" w:line="288" w:lineRule="auto"/>
        <w:ind w:firstLineChars="200" w:firstLine="480"/>
        <w:rPr>
          <w:color w:val="000000"/>
          <w:sz w:val="24"/>
          <w:szCs w:val="24"/>
        </w:rPr>
      </w:pPr>
      <w:r>
        <w:rPr>
          <w:color w:val="000000"/>
          <w:sz w:val="24"/>
          <w:szCs w:val="24"/>
        </w:rPr>
        <w:t>2017</w:t>
      </w:r>
      <w:r>
        <w:rPr>
          <w:color w:val="000000"/>
          <w:sz w:val="24"/>
          <w:szCs w:val="24"/>
        </w:rPr>
        <w:t>年一季度美联储加息，全球未来很长一段时间将处于流动性逐步收紧的周期中。国内房价继续上涨，资金难以脱虚向实，造成的影响在于一方面房价的上涨未来必然传导租金的上涨和服务价格的上涨，降低除地产以外其他行业的</w:t>
      </w:r>
      <w:r>
        <w:rPr>
          <w:color w:val="000000"/>
          <w:sz w:val="24"/>
          <w:szCs w:val="24"/>
        </w:rPr>
        <w:t>ROE</w:t>
      </w:r>
      <w:r>
        <w:rPr>
          <w:color w:val="000000"/>
          <w:sz w:val="24"/>
          <w:szCs w:val="24"/>
        </w:rPr>
        <w:t>水平，进一步消弱了中国制造的比较优势；而另一方面，在房价大涨的背景下，在比价效应下，有富余房产的持有者更倾向于卖掉部分房产将资金转移到海外，给人民币汇率稳定造成压力。从积极的方面来看，我们看到政府这次对一线城市</w:t>
      </w:r>
      <w:r>
        <w:rPr>
          <w:color w:val="000000"/>
          <w:sz w:val="24"/>
          <w:szCs w:val="24"/>
        </w:rPr>
        <w:t>地产调控的态度非常坚决，这将有力推动资金逐步从房地产行业流出，提升其他资产类别的估值。</w:t>
      </w:r>
    </w:p>
    <w:p w:rsidR="009703B7" w:rsidRDefault="00D73946">
      <w:pPr>
        <w:spacing w:before="29" w:line="288" w:lineRule="auto"/>
        <w:ind w:firstLineChars="200" w:firstLine="480"/>
        <w:rPr>
          <w:color w:val="000000"/>
          <w:sz w:val="24"/>
          <w:szCs w:val="24"/>
        </w:rPr>
      </w:pPr>
      <w:r>
        <w:rPr>
          <w:color w:val="000000"/>
          <w:sz w:val="24"/>
          <w:szCs w:val="24"/>
        </w:rPr>
        <w:t>一季度本基金仍然坚持高仓位新兴成长股的配置。</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展望二季度，从行业配置角度看，随着房地产调控，周期性行业盈利见顶相对确定。以食品饮料和家电为代表的消费类行业，在过去</w:t>
      </w:r>
      <w:r w:rsidRPr="00414345">
        <w:rPr>
          <w:color w:val="000000"/>
          <w:sz w:val="24"/>
          <w:szCs w:val="24"/>
        </w:rPr>
        <w:t>21</w:t>
      </w:r>
      <w:r w:rsidRPr="00414345">
        <w:rPr>
          <w:color w:val="000000"/>
          <w:sz w:val="24"/>
          <w:szCs w:val="24"/>
        </w:rPr>
        <w:t>个月里相对其他行业均有超额收益，同时估值水平也达到历史上沿。本基金预计二季度仍将坚持新兴成长股的配置方向。</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2017</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1.028</w:t>
      </w:r>
      <w:r w:rsidRPr="00414345">
        <w:rPr>
          <w:color w:val="000000"/>
          <w:sz w:val="24"/>
          <w:szCs w:val="24"/>
        </w:rPr>
        <w:t>元，本报告期份额净值增长率为</w:t>
      </w:r>
      <w:r w:rsidRPr="00414345">
        <w:rPr>
          <w:color w:val="000000"/>
          <w:sz w:val="24"/>
          <w:szCs w:val="24"/>
        </w:rPr>
        <w:t>-0.86%</w:t>
      </w:r>
      <w:r w:rsidRPr="00414345">
        <w:rPr>
          <w:color w:val="000000"/>
          <w:sz w:val="24"/>
          <w:szCs w:val="24"/>
        </w:rPr>
        <w:t>，同期业绩比较基准增长率为</w:t>
      </w:r>
      <w:r w:rsidRPr="00414345">
        <w:rPr>
          <w:color w:val="000000"/>
          <w:sz w:val="24"/>
          <w:szCs w:val="24"/>
        </w:rPr>
        <w:t>2.59%</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130,008,366.21</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93.04</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130,008,366.21</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93.04</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9,181,872.87</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6.57</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548,617.51</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0.39</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139,738,856.59</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57,979,103.86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41.74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48,486.60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11,367,510.00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8.18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52,089,917.29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37.50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16,930.16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8,506,418.30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6.12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130,008,366.21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93.60</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lastRenderedPageBreak/>
        <w:t>5.2.2报告期末按行业分类的沪港通投资股票投资组合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本基金本报告期末未持有通过沪港通投资的股票。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9703B7">
        <w:trPr>
          <w:jc w:val="center"/>
        </w:trPr>
        <w:tc>
          <w:tcPr>
            <w:tcW w:w="855" w:type="dxa"/>
            <w:vAlign w:val="center"/>
          </w:tcPr>
          <w:p w:rsidR="009703B7" w:rsidRDefault="00D73946">
            <w:pPr>
              <w:jc w:val="center"/>
            </w:pPr>
            <w:r>
              <w:rPr>
                <w:color w:val="000000"/>
                <w:sz w:val="24"/>
                <w:szCs w:val="24"/>
              </w:rPr>
              <w:t>1</w:t>
            </w:r>
          </w:p>
        </w:tc>
        <w:tc>
          <w:tcPr>
            <w:tcW w:w="1334" w:type="dxa"/>
            <w:vAlign w:val="center"/>
          </w:tcPr>
          <w:p w:rsidR="009703B7" w:rsidRDefault="00D73946">
            <w:pPr>
              <w:jc w:val="center"/>
            </w:pPr>
            <w:r>
              <w:rPr>
                <w:color w:val="000000"/>
                <w:sz w:val="24"/>
                <w:szCs w:val="24"/>
              </w:rPr>
              <w:t>603006</w:t>
            </w:r>
          </w:p>
        </w:tc>
        <w:tc>
          <w:tcPr>
            <w:tcW w:w="1777" w:type="dxa"/>
            <w:vAlign w:val="center"/>
          </w:tcPr>
          <w:p w:rsidR="009703B7" w:rsidRDefault="00D73946">
            <w:pPr>
              <w:jc w:val="center"/>
            </w:pPr>
            <w:r>
              <w:rPr>
                <w:color w:val="000000"/>
                <w:sz w:val="24"/>
                <w:szCs w:val="24"/>
              </w:rPr>
              <w:t>联明股份</w:t>
            </w:r>
          </w:p>
        </w:tc>
        <w:tc>
          <w:tcPr>
            <w:tcW w:w="1334" w:type="dxa"/>
            <w:vAlign w:val="center"/>
          </w:tcPr>
          <w:p w:rsidR="009703B7" w:rsidRDefault="00D73946">
            <w:pPr>
              <w:jc w:val="right"/>
            </w:pPr>
            <w:r>
              <w:rPr>
                <w:color w:val="000000"/>
                <w:sz w:val="24"/>
                <w:szCs w:val="24"/>
              </w:rPr>
              <w:t>371,611</w:t>
            </w:r>
          </w:p>
        </w:tc>
        <w:tc>
          <w:tcPr>
            <w:tcW w:w="1924" w:type="dxa"/>
            <w:vAlign w:val="center"/>
          </w:tcPr>
          <w:p w:rsidR="009703B7" w:rsidRDefault="00D73946">
            <w:pPr>
              <w:jc w:val="right"/>
            </w:pPr>
            <w:r>
              <w:rPr>
                <w:color w:val="000000"/>
                <w:sz w:val="24"/>
                <w:szCs w:val="24"/>
              </w:rPr>
              <w:t>12,151,679.70</w:t>
            </w:r>
          </w:p>
        </w:tc>
        <w:tc>
          <w:tcPr>
            <w:tcW w:w="1644" w:type="dxa"/>
            <w:vAlign w:val="center"/>
          </w:tcPr>
          <w:p w:rsidR="009703B7" w:rsidRDefault="00D73946">
            <w:pPr>
              <w:jc w:val="right"/>
            </w:pPr>
            <w:r>
              <w:rPr>
                <w:color w:val="000000"/>
                <w:sz w:val="24"/>
                <w:szCs w:val="24"/>
              </w:rPr>
              <w:t>8.75</w:t>
            </w:r>
          </w:p>
        </w:tc>
      </w:tr>
      <w:tr w:rsidR="009703B7">
        <w:trPr>
          <w:jc w:val="center"/>
        </w:trPr>
        <w:tc>
          <w:tcPr>
            <w:tcW w:w="855" w:type="dxa"/>
            <w:vAlign w:val="center"/>
          </w:tcPr>
          <w:p w:rsidR="009703B7" w:rsidRDefault="00D73946">
            <w:pPr>
              <w:jc w:val="center"/>
            </w:pPr>
            <w:r>
              <w:rPr>
                <w:color w:val="000000"/>
                <w:sz w:val="24"/>
                <w:szCs w:val="24"/>
              </w:rPr>
              <w:t>2</w:t>
            </w:r>
          </w:p>
        </w:tc>
        <w:tc>
          <w:tcPr>
            <w:tcW w:w="1334" w:type="dxa"/>
            <w:vAlign w:val="center"/>
          </w:tcPr>
          <w:p w:rsidR="009703B7" w:rsidRDefault="00D73946">
            <w:pPr>
              <w:jc w:val="center"/>
            </w:pPr>
            <w:r>
              <w:rPr>
                <w:color w:val="000000"/>
                <w:sz w:val="24"/>
                <w:szCs w:val="24"/>
              </w:rPr>
              <w:t>300365</w:t>
            </w:r>
          </w:p>
        </w:tc>
        <w:tc>
          <w:tcPr>
            <w:tcW w:w="1777" w:type="dxa"/>
            <w:vAlign w:val="center"/>
          </w:tcPr>
          <w:p w:rsidR="009703B7" w:rsidRDefault="00D73946">
            <w:pPr>
              <w:jc w:val="center"/>
            </w:pPr>
            <w:r>
              <w:rPr>
                <w:color w:val="000000"/>
                <w:sz w:val="24"/>
                <w:szCs w:val="24"/>
              </w:rPr>
              <w:t>恒华科技</w:t>
            </w:r>
          </w:p>
        </w:tc>
        <w:tc>
          <w:tcPr>
            <w:tcW w:w="1334" w:type="dxa"/>
            <w:vAlign w:val="center"/>
          </w:tcPr>
          <w:p w:rsidR="009703B7" w:rsidRDefault="00D73946">
            <w:pPr>
              <w:jc w:val="right"/>
            </w:pPr>
            <w:r>
              <w:rPr>
                <w:color w:val="000000"/>
                <w:sz w:val="24"/>
                <w:szCs w:val="24"/>
              </w:rPr>
              <w:t>306,579</w:t>
            </w:r>
          </w:p>
        </w:tc>
        <w:tc>
          <w:tcPr>
            <w:tcW w:w="1924" w:type="dxa"/>
            <w:vAlign w:val="center"/>
          </w:tcPr>
          <w:p w:rsidR="009703B7" w:rsidRDefault="00D73946">
            <w:pPr>
              <w:jc w:val="right"/>
            </w:pPr>
            <w:r>
              <w:rPr>
                <w:color w:val="000000"/>
                <w:sz w:val="24"/>
                <w:szCs w:val="24"/>
              </w:rPr>
              <w:t>11,496,712.50</w:t>
            </w:r>
          </w:p>
        </w:tc>
        <w:tc>
          <w:tcPr>
            <w:tcW w:w="1644" w:type="dxa"/>
            <w:vAlign w:val="center"/>
          </w:tcPr>
          <w:p w:rsidR="009703B7" w:rsidRDefault="00D73946">
            <w:pPr>
              <w:jc w:val="right"/>
            </w:pPr>
            <w:r>
              <w:rPr>
                <w:color w:val="000000"/>
                <w:sz w:val="24"/>
                <w:szCs w:val="24"/>
              </w:rPr>
              <w:t>8.28</w:t>
            </w:r>
          </w:p>
        </w:tc>
      </w:tr>
      <w:tr w:rsidR="009703B7">
        <w:trPr>
          <w:jc w:val="center"/>
        </w:trPr>
        <w:tc>
          <w:tcPr>
            <w:tcW w:w="855" w:type="dxa"/>
            <w:vAlign w:val="center"/>
          </w:tcPr>
          <w:p w:rsidR="009703B7" w:rsidRDefault="00D73946">
            <w:pPr>
              <w:jc w:val="center"/>
            </w:pPr>
            <w:r>
              <w:rPr>
                <w:color w:val="000000"/>
                <w:sz w:val="24"/>
                <w:szCs w:val="24"/>
              </w:rPr>
              <w:t>3</w:t>
            </w:r>
          </w:p>
        </w:tc>
        <w:tc>
          <w:tcPr>
            <w:tcW w:w="1334" w:type="dxa"/>
            <w:vAlign w:val="center"/>
          </w:tcPr>
          <w:p w:rsidR="009703B7" w:rsidRDefault="00D73946">
            <w:pPr>
              <w:jc w:val="center"/>
            </w:pPr>
            <w:r>
              <w:rPr>
                <w:color w:val="000000"/>
                <w:sz w:val="24"/>
                <w:szCs w:val="24"/>
              </w:rPr>
              <w:t>600693</w:t>
            </w:r>
          </w:p>
        </w:tc>
        <w:tc>
          <w:tcPr>
            <w:tcW w:w="1777" w:type="dxa"/>
            <w:vAlign w:val="center"/>
          </w:tcPr>
          <w:p w:rsidR="009703B7" w:rsidRDefault="00D73946">
            <w:pPr>
              <w:jc w:val="center"/>
            </w:pPr>
            <w:r>
              <w:rPr>
                <w:color w:val="000000"/>
                <w:sz w:val="24"/>
                <w:szCs w:val="24"/>
              </w:rPr>
              <w:t>东百集团</w:t>
            </w:r>
          </w:p>
        </w:tc>
        <w:tc>
          <w:tcPr>
            <w:tcW w:w="1334" w:type="dxa"/>
            <w:vAlign w:val="center"/>
          </w:tcPr>
          <w:p w:rsidR="009703B7" w:rsidRDefault="00D73946">
            <w:pPr>
              <w:jc w:val="right"/>
            </w:pPr>
            <w:r>
              <w:rPr>
                <w:color w:val="000000"/>
                <w:sz w:val="24"/>
                <w:szCs w:val="24"/>
              </w:rPr>
              <w:t>854,700</w:t>
            </w:r>
          </w:p>
        </w:tc>
        <w:tc>
          <w:tcPr>
            <w:tcW w:w="1924" w:type="dxa"/>
            <w:vAlign w:val="center"/>
          </w:tcPr>
          <w:p w:rsidR="009703B7" w:rsidRDefault="00D73946">
            <w:pPr>
              <w:jc w:val="right"/>
            </w:pPr>
            <w:r>
              <w:rPr>
                <w:color w:val="000000"/>
                <w:sz w:val="24"/>
                <w:szCs w:val="24"/>
              </w:rPr>
              <w:t>11,367,510.00</w:t>
            </w:r>
          </w:p>
        </w:tc>
        <w:tc>
          <w:tcPr>
            <w:tcW w:w="1644" w:type="dxa"/>
            <w:vAlign w:val="center"/>
          </w:tcPr>
          <w:p w:rsidR="009703B7" w:rsidRDefault="00D73946">
            <w:pPr>
              <w:jc w:val="right"/>
            </w:pPr>
            <w:r>
              <w:rPr>
                <w:color w:val="000000"/>
                <w:sz w:val="24"/>
                <w:szCs w:val="24"/>
              </w:rPr>
              <w:t>8.18</w:t>
            </w:r>
          </w:p>
        </w:tc>
      </w:tr>
      <w:tr w:rsidR="009703B7">
        <w:trPr>
          <w:jc w:val="center"/>
        </w:trPr>
        <w:tc>
          <w:tcPr>
            <w:tcW w:w="855" w:type="dxa"/>
            <w:vAlign w:val="center"/>
          </w:tcPr>
          <w:p w:rsidR="009703B7" w:rsidRDefault="00D73946">
            <w:pPr>
              <w:jc w:val="center"/>
            </w:pPr>
            <w:r>
              <w:rPr>
                <w:color w:val="000000"/>
                <w:sz w:val="24"/>
                <w:szCs w:val="24"/>
              </w:rPr>
              <w:t>4</w:t>
            </w:r>
          </w:p>
        </w:tc>
        <w:tc>
          <w:tcPr>
            <w:tcW w:w="1334" w:type="dxa"/>
            <w:vAlign w:val="center"/>
          </w:tcPr>
          <w:p w:rsidR="009703B7" w:rsidRDefault="00D73946">
            <w:pPr>
              <w:jc w:val="center"/>
            </w:pPr>
            <w:r>
              <w:rPr>
                <w:color w:val="000000"/>
                <w:sz w:val="24"/>
                <w:szCs w:val="24"/>
              </w:rPr>
              <w:t>002195</w:t>
            </w:r>
          </w:p>
        </w:tc>
        <w:tc>
          <w:tcPr>
            <w:tcW w:w="1777" w:type="dxa"/>
            <w:vAlign w:val="center"/>
          </w:tcPr>
          <w:p w:rsidR="009703B7" w:rsidRDefault="00D73946">
            <w:pPr>
              <w:jc w:val="center"/>
            </w:pPr>
            <w:r>
              <w:rPr>
                <w:color w:val="000000"/>
                <w:sz w:val="24"/>
                <w:szCs w:val="24"/>
              </w:rPr>
              <w:t>二三四五</w:t>
            </w:r>
          </w:p>
        </w:tc>
        <w:tc>
          <w:tcPr>
            <w:tcW w:w="1334" w:type="dxa"/>
            <w:vAlign w:val="center"/>
          </w:tcPr>
          <w:p w:rsidR="009703B7" w:rsidRDefault="00D73946">
            <w:pPr>
              <w:jc w:val="right"/>
            </w:pPr>
            <w:r>
              <w:rPr>
                <w:color w:val="000000"/>
                <w:sz w:val="24"/>
                <w:szCs w:val="24"/>
              </w:rPr>
              <w:t>895,400</w:t>
            </w:r>
          </w:p>
        </w:tc>
        <w:tc>
          <w:tcPr>
            <w:tcW w:w="1924" w:type="dxa"/>
            <w:vAlign w:val="center"/>
          </w:tcPr>
          <w:p w:rsidR="009703B7" w:rsidRDefault="00D73946">
            <w:pPr>
              <w:jc w:val="right"/>
            </w:pPr>
            <w:r>
              <w:rPr>
                <w:color w:val="000000"/>
                <w:sz w:val="24"/>
                <w:szCs w:val="24"/>
              </w:rPr>
              <w:t>10,368,732.00</w:t>
            </w:r>
          </w:p>
        </w:tc>
        <w:tc>
          <w:tcPr>
            <w:tcW w:w="1644" w:type="dxa"/>
            <w:vAlign w:val="center"/>
          </w:tcPr>
          <w:p w:rsidR="009703B7" w:rsidRDefault="00D73946">
            <w:pPr>
              <w:jc w:val="right"/>
            </w:pPr>
            <w:r>
              <w:rPr>
                <w:color w:val="000000"/>
                <w:sz w:val="24"/>
                <w:szCs w:val="24"/>
              </w:rPr>
              <w:t>7.47</w:t>
            </w:r>
          </w:p>
        </w:tc>
      </w:tr>
      <w:tr w:rsidR="009703B7">
        <w:trPr>
          <w:jc w:val="center"/>
        </w:trPr>
        <w:tc>
          <w:tcPr>
            <w:tcW w:w="855" w:type="dxa"/>
            <w:vAlign w:val="center"/>
          </w:tcPr>
          <w:p w:rsidR="009703B7" w:rsidRDefault="00D73946">
            <w:pPr>
              <w:jc w:val="center"/>
            </w:pPr>
            <w:r>
              <w:rPr>
                <w:color w:val="000000"/>
                <w:sz w:val="24"/>
                <w:szCs w:val="24"/>
              </w:rPr>
              <w:t>5</w:t>
            </w:r>
          </w:p>
        </w:tc>
        <w:tc>
          <w:tcPr>
            <w:tcW w:w="1334" w:type="dxa"/>
            <w:vAlign w:val="center"/>
          </w:tcPr>
          <w:p w:rsidR="009703B7" w:rsidRDefault="00D73946">
            <w:pPr>
              <w:jc w:val="center"/>
            </w:pPr>
            <w:r>
              <w:rPr>
                <w:color w:val="000000"/>
                <w:sz w:val="24"/>
                <w:szCs w:val="24"/>
              </w:rPr>
              <w:t>300212</w:t>
            </w:r>
          </w:p>
        </w:tc>
        <w:tc>
          <w:tcPr>
            <w:tcW w:w="1777" w:type="dxa"/>
            <w:vAlign w:val="center"/>
          </w:tcPr>
          <w:p w:rsidR="009703B7" w:rsidRDefault="00D73946">
            <w:pPr>
              <w:jc w:val="center"/>
            </w:pPr>
            <w:r>
              <w:rPr>
                <w:color w:val="000000"/>
                <w:sz w:val="24"/>
                <w:szCs w:val="24"/>
              </w:rPr>
              <w:t>易华录</w:t>
            </w:r>
          </w:p>
        </w:tc>
        <w:tc>
          <w:tcPr>
            <w:tcW w:w="1334" w:type="dxa"/>
            <w:vAlign w:val="center"/>
          </w:tcPr>
          <w:p w:rsidR="009703B7" w:rsidRDefault="00D73946">
            <w:pPr>
              <w:jc w:val="right"/>
            </w:pPr>
            <w:r>
              <w:rPr>
                <w:color w:val="000000"/>
                <w:sz w:val="24"/>
                <w:szCs w:val="24"/>
              </w:rPr>
              <w:t>333,157</w:t>
            </w:r>
          </w:p>
        </w:tc>
        <w:tc>
          <w:tcPr>
            <w:tcW w:w="1924" w:type="dxa"/>
            <w:vAlign w:val="center"/>
          </w:tcPr>
          <w:p w:rsidR="009703B7" w:rsidRDefault="00D73946">
            <w:pPr>
              <w:jc w:val="right"/>
            </w:pPr>
            <w:r>
              <w:rPr>
                <w:color w:val="000000"/>
                <w:sz w:val="24"/>
                <w:szCs w:val="24"/>
              </w:rPr>
              <w:t>9,758,168.53</w:t>
            </w:r>
          </w:p>
        </w:tc>
        <w:tc>
          <w:tcPr>
            <w:tcW w:w="1644" w:type="dxa"/>
            <w:vAlign w:val="center"/>
          </w:tcPr>
          <w:p w:rsidR="009703B7" w:rsidRDefault="00D73946">
            <w:pPr>
              <w:jc w:val="right"/>
            </w:pPr>
            <w:r>
              <w:rPr>
                <w:color w:val="000000"/>
                <w:sz w:val="24"/>
                <w:szCs w:val="24"/>
              </w:rPr>
              <w:t>7.03</w:t>
            </w:r>
          </w:p>
        </w:tc>
      </w:tr>
      <w:tr w:rsidR="009703B7">
        <w:trPr>
          <w:jc w:val="center"/>
        </w:trPr>
        <w:tc>
          <w:tcPr>
            <w:tcW w:w="855" w:type="dxa"/>
            <w:vAlign w:val="center"/>
          </w:tcPr>
          <w:p w:rsidR="009703B7" w:rsidRDefault="00D73946">
            <w:pPr>
              <w:jc w:val="center"/>
            </w:pPr>
            <w:r>
              <w:rPr>
                <w:color w:val="000000"/>
                <w:sz w:val="24"/>
                <w:szCs w:val="24"/>
              </w:rPr>
              <w:t>6</w:t>
            </w:r>
          </w:p>
        </w:tc>
        <w:tc>
          <w:tcPr>
            <w:tcW w:w="1334" w:type="dxa"/>
            <w:vAlign w:val="center"/>
          </w:tcPr>
          <w:p w:rsidR="009703B7" w:rsidRDefault="00D73946">
            <w:pPr>
              <w:jc w:val="center"/>
            </w:pPr>
            <w:r>
              <w:rPr>
                <w:color w:val="000000"/>
                <w:sz w:val="24"/>
                <w:szCs w:val="24"/>
              </w:rPr>
              <w:t>300279</w:t>
            </w:r>
          </w:p>
        </w:tc>
        <w:tc>
          <w:tcPr>
            <w:tcW w:w="1777" w:type="dxa"/>
            <w:vAlign w:val="center"/>
          </w:tcPr>
          <w:p w:rsidR="009703B7" w:rsidRDefault="00D73946">
            <w:pPr>
              <w:jc w:val="center"/>
            </w:pPr>
            <w:r>
              <w:rPr>
                <w:color w:val="000000"/>
                <w:sz w:val="24"/>
                <w:szCs w:val="24"/>
              </w:rPr>
              <w:t>和晶科技</w:t>
            </w:r>
          </w:p>
        </w:tc>
        <w:tc>
          <w:tcPr>
            <w:tcW w:w="1334" w:type="dxa"/>
            <w:vAlign w:val="center"/>
          </w:tcPr>
          <w:p w:rsidR="009703B7" w:rsidRDefault="00D73946">
            <w:pPr>
              <w:jc w:val="right"/>
            </w:pPr>
            <w:r>
              <w:rPr>
                <w:color w:val="000000"/>
                <w:sz w:val="24"/>
                <w:szCs w:val="24"/>
              </w:rPr>
              <w:t>227,857</w:t>
            </w:r>
          </w:p>
        </w:tc>
        <w:tc>
          <w:tcPr>
            <w:tcW w:w="1924" w:type="dxa"/>
            <w:vAlign w:val="center"/>
          </w:tcPr>
          <w:p w:rsidR="009703B7" w:rsidRDefault="00D73946">
            <w:pPr>
              <w:jc w:val="right"/>
            </w:pPr>
            <w:r>
              <w:rPr>
                <w:color w:val="000000"/>
                <w:sz w:val="24"/>
                <w:szCs w:val="24"/>
              </w:rPr>
              <w:t>8,822,623.04</w:t>
            </w:r>
          </w:p>
        </w:tc>
        <w:tc>
          <w:tcPr>
            <w:tcW w:w="1644" w:type="dxa"/>
            <w:vAlign w:val="center"/>
          </w:tcPr>
          <w:p w:rsidR="009703B7" w:rsidRDefault="00D73946">
            <w:pPr>
              <w:jc w:val="right"/>
            </w:pPr>
            <w:r>
              <w:rPr>
                <w:color w:val="000000"/>
                <w:sz w:val="24"/>
                <w:szCs w:val="24"/>
              </w:rPr>
              <w:t>6.35</w:t>
            </w:r>
          </w:p>
        </w:tc>
      </w:tr>
      <w:tr w:rsidR="009703B7">
        <w:trPr>
          <w:jc w:val="center"/>
        </w:trPr>
        <w:tc>
          <w:tcPr>
            <w:tcW w:w="855" w:type="dxa"/>
            <w:vAlign w:val="center"/>
          </w:tcPr>
          <w:p w:rsidR="009703B7" w:rsidRDefault="00D73946">
            <w:pPr>
              <w:jc w:val="center"/>
            </w:pPr>
            <w:r>
              <w:rPr>
                <w:color w:val="000000"/>
                <w:sz w:val="24"/>
                <w:szCs w:val="24"/>
              </w:rPr>
              <w:t>7</w:t>
            </w:r>
          </w:p>
        </w:tc>
        <w:tc>
          <w:tcPr>
            <w:tcW w:w="1334" w:type="dxa"/>
            <w:vAlign w:val="center"/>
          </w:tcPr>
          <w:p w:rsidR="009703B7" w:rsidRDefault="00D73946">
            <w:pPr>
              <w:jc w:val="center"/>
            </w:pPr>
            <w:r>
              <w:rPr>
                <w:color w:val="000000"/>
                <w:sz w:val="24"/>
                <w:szCs w:val="24"/>
              </w:rPr>
              <w:t>300347</w:t>
            </w:r>
          </w:p>
        </w:tc>
        <w:tc>
          <w:tcPr>
            <w:tcW w:w="1777" w:type="dxa"/>
            <w:vAlign w:val="center"/>
          </w:tcPr>
          <w:p w:rsidR="009703B7" w:rsidRDefault="00D73946">
            <w:pPr>
              <w:jc w:val="center"/>
            </w:pPr>
            <w:r>
              <w:rPr>
                <w:color w:val="000000"/>
                <w:sz w:val="24"/>
                <w:szCs w:val="24"/>
              </w:rPr>
              <w:t>泰格医药</w:t>
            </w:r>
          </w:p>
        </w:tc>
        <w:tc>
          <w:tcPr>
            <w:tcW w:w="1334" w:type="dxa"/>
            <w:vAlign w:val="center"/>
          </w:tcPr>
          <w:p w:rsidR="009703B7" w:rsidRDefault="00D73946">
            <w:pPr>
              <w:jc w:val="right"/>
            </w:pPr>
            <w:r>
              <w:rPr>
                <w:color w:val="000000"/>
                <w:sz w:val="24"/>
                <w:szCs w:val="24"/>
              </w:rPr>
              <w:t>331,505</w:t>
            </w:r>
          </w:p>
        </w:tc>
        <w:tc>
          <w:tcPr>
            <w:tcW w:w="1924" w:type="dxa"/>
            <w:vAlign w:val="center"/>
          </w:tcPr>
          <w:p w:rsidR="009703B7" w:rsidRDefault="00D73946">
            <w:pPr>
              <w:jc w:val="right"/>
            </w:pPr>
            <w:r>
              <w:rPr>
                <w:color w:val="000000"/>
                <w:sz w:val="24"/>
                <w:szCs w:val="24"/>
              </w:rPr>
              <w:t>8,506,418.30</w:t>
            </w:r>
          </w:p>
        </w:tc>
        <w:tc>
          <w:tcPr>
            <w:tcW w:w="1644" w:type="dxa"/>
            <w:vAlign w:val="center"/>
          </w:tcPr>
          <w:p w:rsidR="009703B7" w:rsidRDefault="00D73946">
            <w:pPr>
              <w:jc w:val="right"/>
            </w:pPr>
            <w:r>
              <w:rPr>
                <w:color w:val="000000"/>
                <w:sz w:val="24"/>
                <w:szCs w:val="24"/>
              </w:rPr>
              <w:t>6.12</w:t>
            </w:r>
          </w:p>
        </w:tc>
      </w:tr>
      <w:tr w:rsidR="009703B7">
        <w:trPr>
          <w:jc w:val="center"/>
        </w:trPr>
        <w:tc>
          <w:tcPr>
            <w:tcW w:w="855" w:type="dxa"/>
            <w:vAlign w:val="center"/>
          </w:tcPr>
          <w:p w:rsidR="009703B7" w:rsidRDefault="00D73946">
            <w:pPr>
              <w:jc w:val="center"/>
            </w:pPr>
            <w:r>
              <w:rPr>
                <w:color w:val="000000"/>
                <w:sz w:val="24"/>
                <w:szCs w:val="24"/>
              </w:rPr>
              <w:t>8</w:t>
            </w:r>
          </w:p>
        </w:tc>
        <w:tc>
          <w:tcPr>
            <w:tcW w:w="1334" w:type="dxa"/>
            <w:vAlign w:val="center"/>
          </w:tcPr>
          <w:p w:rsidR="009703B7" w:rsidRDefault="00D73946">
            <w:pPr>
              <w:jc w:val="center"/>
            </w:pPr>
            <w:r>
              <w:rPr>
                <w:color w:val="000000"/>
                <w:sz w:val="24"/>
                <w:szCs w:val="24"/>
              </w:rPr>
              <w:t>300231</w:t>
            </w:r>
          </w:p>
        </w:tc>
        <w:tc>
          <w:tcPr>
            <w:tcW w:w="1777" w:type="dxa"/>
            <w:vAlign w:val="center"/>
          </w:tcPr>
          <w:p w:rsidR="009703B7" w:rsidRDefault="00D73946">
            <w:pPr>
              <w:jc w:val="center"/>
            </w:pPr>
            <w:r>
              <w:rPr>
                <w:color w:val="000000"/>
                <w:sz w:val="24"/>
                <w:szCs w:val="24"/>
              </w:rPr>
              <w:t>银信科技</w:t>
            </w:r>
          </w:p>
        </w:tc>
        <w:tc>
          <w:tcPr>
            <w:tcW w:w="1334" w:type="dxa"/>
            <w:vAlign w:val="center"/>
          </w:tcPr>
          <w:p w:rsidR="009703B7" w:rsidRDefault="00D73946">
            <w:pPr>
              <w:jc w:val="right"/>
            </w:pPr>
            <w:r>
              <w:rPr>
                <w:color w:val="000000"/>
                <w:sz w:val="24"/>
                <w:szCs w:val="24"/>
              </w:rPr>
              <w:t>495,843</w:t>
            </w:r>
          </w:p>
        </w:tc>
        <w:tc>
          <w:tcPr>
            <w:tcW w:w="1924" w:type="dxa"/>
            <w:vAlign w:val="center"/>
          </w:tcPr>
          <w:p w:rsidR="009703B7" w:rsidRDefault="00D73946">
            <w:pPr>
              <w:jc w:val="right"/>
            </w:pPr>
            <w:r>
              <w:rPr>
                <w:color w:val="000000"/>
                <w:sz w:val="24"/>
                <w:szCs w:val="24"/>
              </w:rPr>
              <w:t>8,280,578.10</w:t>
            </w:r>
          </w:p>
        </w:tc>
        <w:tc>
          <w:tcPr>
            <w:tcW w:w="1644" w:type="dxa"/>
            <w:vAlign w:val="center"/>
          </w:tcPr>
          <w:p w:rsidR="009703B7" w:rsidRDefault="00D73946">
            <w:pPr>
              <w:jc w:val="right"/>
            </w:pPr>
            <w:r>
              <w:rPr>
                <w:color w:val="000000"/>
                <w:sz w:val="24"/>
                <w:szCs w:val="24"/>
              </w:rPr>
              <w:t>5.96</w:t>
            </w:r>
          </w:p>
        </w:tc>
      </w:tr>
      <w:tr w:rsidR="009703B7">
        <w:trPr>
          <w:jc w:val="center"/>
        </w:trPr>
        <w:tc>
          <w:tcPr>
            <w:tcW w:w="855" w:type="dxa"/>
            <w:vAlign w:val="center"/>
          </w:tcPr>
          <w:p w:rsidR="009703B7" w:rsidRDefault="00D73946">
            <w:pPr>
              <w:jc w:val="center"/>
            </w:pPr>
            <w:r>
              <w:rPr>
                <w:color w:val="000000"/>
                <w:sz w:val="24"/>
                <w:szCs w:val="24"/>
              </w:rPr>
              <w:t>9</w:t>
            </w:r>
          </w:p>
        </w:tc>
        <w:tc>
          <w:tcPr>
            <w:tcW w:w="1334" w:type="dxa"/>
            <w:vAlign w:val="center"/>
          </w:tcPr>
          <w:p w:rsidR="009703B7" w:rsidRDefault="00D73946">
            <w:pPr>
              <w:jc w:val="center"/>
            </w:pPr>
            <w:r>
              <w:rPr>
                <w:color w:val="000000"/>
                <w:sz w:val="24"/>
                <w:szCs w:val="24"/>
              </w:rPr>
              <w:t>600703</w:t>
            </w:r>
          </w:p>
        </w:tc>
        <w:tc>
          <w:tcPr>
            <w:tcW w:w="1777" w:type="dxa"/>
            <w:vAlign w:val="center"/>
          </w:tcPr>
          <w:p w:rsidR="009703B7" w:rsidRDefault="00D73946">
            <w:pPr>
              <w:jc w:val="center"/>
            </w:pPr>
            <w:r>
              <w:rPr>
                <w:color w:val="000000"/>
                <w:sz w:val="24"/>
                <w:szCs w:val="24"/>
              </w:rPr>
              <w:t>三安光电</w:t>
            </w:r>
          </w:p>
        </w:tc>
        <w:tc>
          <w:tcPr>
            <w:tcW w:w="1334" w:type="dxa"/>
            <w:vAlign w:val="center"/>
          </w:tcPr>
          <w:p w:rsidR="009703B7" w:rsidRDefault="00D73946">
            <w:pPr>
              <w:jc w:val="right"/>
            </w:pPr>
            <w:r>
              <w:rPr>
                <w:color w:val="000000"/>
                <w:sz w:val="24"/>
                <w:szCs w:val="24"/>
              </w:rPr>
              <w:t>504,694</w:t>
            </w:r>
          </w:p>
        </w:tc>
        <w:tc>
          <w:tcPr>
            <w:tcW w:w="1924" w:type="dxa"/>
            <w:vAlign w:val="center"/>
          </w:tcPr>
          <w:p w:rsidR="009703B7" w:rsidRDefault="00D73946">
            <w:pPr>
              <w:jc w:val="right"/>
            </w:pPr>
            <w:r>
              <w:rPr>
                <w:color w:val="000000"/>
                <w:sz w:val="24"/>
                <w:szCs w:val="24"/>
              </w:rPr>
              <w:t>8,070,057.06</w:t>
            </w:r>
          </w:p>
        </w:tc>
        <w:tc>
          <w:tcPr>
            <w:tcW w:w="1644" w:type="dxa"/>
            <w:vAlign w:val="center"/>
          </w:tcPr>
          <w:p w:rsidR="009703B7" w:rsidRDefault="00D73946">
            <w:pPr>
              <w:jc w:val="right"/>
            </w:pPr>
            <w:r>
              <w:rPr>
                <w:color w:val="000000"/>
                <w:sz w:val="24"/>
                <w:szCs w:val="24"/>
              </w:rPr>
              <w:t>5.81</w:t>
            </w:r>
          </w:p>
        </w:tc>
      </w:tr>
      <w:tr w:rsidR="009703B7">
        <w:trPr>
          <w:jc w:val="center"/>
        </w:trPr>
        <w:tc>
          <w:tcPr>
            <w:tcW w:w="855" w:type="dxa"/>
            <w:vAlign w:val="center"/>
          </w:tcPr>
          <w:p w:rsidR="009703B7" w:rsidRDefault="00D73946">
            <w:pPr>
              <w:jc w:val="center"/>
            </w:pPr>
            <w:r>
              <w:rPr>
                <w:color w:val="000000"/>
                <w:sz w:val="24"/>
                <w:szCs w:val="24"/>
              </w:rPr>
              <w:t>10</w:t>
            </w:r>
          </w:p>
        </w:tc>
        <w:tc>
          <w:tcPr>
            <w:tcW w:w="1334" w:type="dxa"/>
            <w:vAlign w:val="center"/>
          </w:tcPr>
          <w:p w:rsidR="009703B7" w:rsidRDefault="00D73946">
            <w:pPr>
              <w:jc w:val="center"/>
            </w:pPr>
            <w:r>
              <w:rPr>
                <w:color w:val="000000"/>
                <w:sz w:val="24"/>
                <w:szCs w:val="24"/>
              </w:rPr>
              <w:t>002599</w:t>
            </w:r>
          </w:p>
        </w:tc>
        <w:tc>
          <w:tcPr>
            <w:tcW w:w="1777" w:type="dxa"/>
            <w:vAlign w:val="center"/>
          </w:tcPr>
          <w:p w:rsidR="009703B7" w:rsidRDefault="00D73946">
            <w:pPr>
              <w:jc w:val="center"/>
            </w:pPr>
            <w:r>
              <w:rPr>
                <w:color w:val="000000"/>
                <w:sz w:val="24"/>
                <w:szCs w:val="24"/>
              </w:rPr>
              <w:t>盛通股份</w:t>
            </w:r>
          </w:p>
        </w:tc>
        <w:tc>
          <w:tcPr>
            <w:tcW w:w="1334" w:type="dxa"/>
            <w:vAlign w:val="center"/>
          </w:tcPr>
          <w:p w:rsidR="009703B7" w:rsidRDefault="00D73946">
            <w:pPr>
              <w:jc w:val="right"/>
            </w:pPr>
            <w:r>
              <w:rPr>
                <w:color w:val="000000"/>
                <w:sz w:val="24"/>
                <w:szCs w:val="24"/>
              </w:rPr>
              <w:t>210,097</w:t>
            </w:r>
          </w:p>
        </w:tc>
        <w:tc>
          <w:tcPr>
            <w:tcW w:w="1924" w:type="dxa"/>
            <w:vAlign w:val="center"/>
          </w:tcPr>
          <w:p w:rsidR="009703B7" w:rsidRDefault="00D73946">
            <w:pPr>
              <w:jc w:val="right"/>
            </w:pPr>
            <w:r>
              <w:rPr>
                <w:color w:val="000000"/>
                <w:sz w:val="24"/>
                <w:szCs w:val="24"/>
              </w:rPr>
              <w:t>7,584,501.70</w:t>
            </w:r>
          </w:p>
        </w:tc>
        <w:tc>
          <w:tcPr>
            <w:tcW w:w="1644" w:type="dxa"/>
            <w:vAlign w:val="center"/>
          </w:tcPr>
          <w:p w:rsidR="009703B7" w:rsidRDefault="00D73946">
            <w:pPr>
              <w:jc w:val="right"/>
            </w:pPr>
            <w:r>
              <w:rPr>
                <w:color w:val="000000"/>
                <w:sz w:val="24"/>
                <w:szCs w:val="24"/>
              </w:rPr>
              <w:t>5.46</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84,703.33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2,134.55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461,779.63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548,617.51</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9703B7">
        <w:trPr>
          <w:jc w:val="center"/>
        </w:trPr>
        <w:tc>
          <w:tcPr>
            <w:tcW w:w="1129" w:type="dxa"/>
            <w:vAlign w:val="center"/>
          </w:tcPr>
          <w:p w:rsidR="009703B7" w:rsidRDefault="00D73946">
            <w:pPr>
              <w:jc w:val="center"/>
            </w:pPr>
            <w:r>
              <w:rPr>
                <w:color w:val="000000"/>
                <w:sz w:val="24"/>
                <w:szCs w:val="24"/>
              </w:rPr>
              <w:t>1</w:t>
            </w:r>
          </w:p>
        </w:tc>
        <w:tc>
          <w:tcPr>
            <w:tcW w:w="1356" w:type="dxa"/>
            <w:vAlign w:val="center"/>
          </w:tcPr>
          <w:p w:rsidR="009703B7" w:rsidRDefault="00D73946">
            <w:pPr>
              <w:jc w:val="center"/>
            </w:pPr>
            <w:r>
              <w:rPr>
                <w:color w:val="000000"/>
                <w:sz w:val="24"/>
                <w:szCs w:val="24"/>
              </w:rPr>
              <w:t>300212</w:t>
            </w:r>
          </w:p>
        </w:tc>
        <w:tc>
          <w:tcPr>
            <w:tcW w:w="1355" w:type="dxa"/>
            <w:vAlign w:val="center"/>
          </w:tcPr>
          <w:p w:rsidR="009703B7" w:rsidRDefault="00D73946">
            <w:pPr>
              <w:jc w:val="center"/>
            </w:pPr>
            <w:r>
              <w:rPr>
                <w:color w:val="000000"/>
                <w:sz w:val="24"/>
                <w:szCs w:val="24"/>
              </w:rPr>
              <w:t>易华录</w:t>
            </w:r>
          </w:p>
        </w:tc>
        <w:tc>
          <w:tcPr>
            <w:tcW w:w="1880" w:type="dxa"/>
            <w:vAlign w:val="center"/>
          </w:tcPr>
          <w:p w:rsidR="009703B7" w:rsidRDefault="00D73946">
            <w:pPr>
              <w:jc w:val="right"/>
            </w:pPr>
            <w:r>
              <w:rPr>
                <w:color w:val="000000"/>
                <w:sz w:val="24"/>
                <w:szCs w:val="24"/>
              </w:rPr>
              <w:t>9,758,168.53</w:t>
            </w:r>
          </w:p>
        </w:tc>
        <w:tc>
          <w:tcPr>
            <w:tcW w:w="1724" w:type="dxa"/>
            <w:vAlign w:val="center"/>
          </w:tcPr>
          <w:p w:rsidR="009703B7" w:rsidRDefault="00D73946">
            <w:pPr>
              <w:jc w:val="right"/>
            </w:pPr>
            <w:r>
              <w:rPr>
                <w:color w:val="000000"/>
                <w:sz w:val="24"/>
                <w:szCs w:val="24"/>
              </w:rPr>
              <w:t>7.03</w:t>
            </w:r>
          </w:p>
        </w:tc>
        <w:tc>
          <w:tcPr>
            <w:tcW w:w="1424" w:type="dxa"/>
            <w:vAlign w:val="center"/>
          </w:tcPr>
          <w:p w:rsidR="009703B7" w:rsidRDefault="00D73946">
            <w:pPr>
              <w:jc w:val="right"/>
            </w:pPr>
            <w:r>
              <w:rPr>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196,606,830.78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7,404,872.93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68,897,060.89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135,114,642.82</w:t>
            </w:r>
          </w:p>
        </w:tc>
      </w:tr>
    </w:tbl>
    <w:p w:rsidR="009703B7" w:rsidRDefault="00D73946">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AB6E79">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A58DC" w:rsidRPr="007E75F6" w:rsidRDefault="003A58DC" w:rsidP="003A58DC">
      <w:pPr>
        <w:pStyle w:val="1"/>
        <w:spacing w:beforeLines="100" w:before="312" w:afterLines="100" w:after="312" w:line="360" w:lineRule="auto"/>
        <w:jc w:val="center"/>
        <w:rPr>
          <w:rFonts w:eastAsiaTheme="minorEastAsia"/>
          <w:color w:val="000000" w:themeColor="text1"/>
          <w:kern w:val="0"/>
          <w:sz w:val="24"/>
          <w:szCs w:val="24"/>
        </w:rPr>
      </w:pPr>
      <w:r w:rsidRPr="007E75F6">
        <w:rPr>
          <w:rFonts w:eastAsiaTheme="minorEastAsia"/>
          <w:color w:val="000000" w:themeColor="text1"/>
          <w:kern w:val="0"/>
          <w:sz w:val="24"/>
          <w:szCs w:val="24"/>
        </w:rPr>
        <w:t>§8</w:t>
      </w:r>
      <w:r w:rsidRPr="007E75F6">
        <w:rPr>
          <w:rFonts w:eastAsiaTheme="minorEastAsia"/>
          <w:color w:val="000000" w:themeColor="text1"/>
          <w:kern w:val="0"/>
          <w:sz w:val="24"/>
          <w:szCs w:val="24"/>
        </w:rPr>
        <w:t>影响投资者决策的其他重要信息</w:t>
      </w:r>
    </w:p>
    <w:p w:rsidR="003A58DC" w:rsidRPr="007E75F6" w:rsidRDefault="003A58DC" w:rsidP="003A58DC">
      <w:pPr>
        <w:autoSpaceDE w:val="0"/>
        <w:autoSpaceDN w:val="0"/>
        <w:adjustRightInd w:val="0"/>
        <w:spacing w:line="360" w:lineRule="auto"/>
        <w:jc w:val="left"/>
        <w:rPr>
          <w:rFonts w:eastAsiaTheme="minorEastAsia"/>
          <w:b/>
          <w:bCs/>
          <w:color w:val="000000" w:themeColor="text1"/>
          <w:kern w:val="0"/>
          <w:sz w:val="24"/>
        </w:rPr>
      </w:pPr>
      <w:r>
        <w:rPr>
          <w:rFonts w:eastAsiaTheme="minorEastAsia"/>
          <w:b/>
          <w:bCs/>
          <w:color w:val="000000" w:themeColor="text1"/>
          <w:kern w:val="0"/>
          <w:sz w:val="24"/>
        </w:rPr>
        <w:t>8.</w:t>
      </w:r>
      <w:r>
        <w:rPr>
          <w:rFonts w:eastAsiaTheme="minorEastAsia" w:hint="eastAsia"/>
          <w:b/>
          <w:bCs/>
          <w:color w:val="000000" w:themeColor="text1"/>
          <w:kern w:val="0"/>
          <w:sz w:val="24"/>
        </w:rPr>
        <w:t xml:space="preserve">1 </w:t>
      </w:r>
      <w:r w:rsidRPr="007E75F6">
        <w:rPr>
          <w:rFonts w:eastAsiaTheme="minorEastAsia" w:hint="eastAsia"/>
          <w:b/>
          <w:bCs/>
          <w:color w:val="000000" w:themeColor="text1"/>
          <w:kern w:val="0"/>
          <w:sz w:val="24"/>
        </w:rPr>
        <w:t>报告期内单一投资者持有基金份额比例达到或超过</w:t>
      </w:r>
      <w:r w:rsidRPr="007E75F6">
        <w:rPr>
          <w:rFonts w:eastAsiaTheme="minorEastAsia" w:hint="eastAsia"/>
          <w:b/>
          <w:bCs/>
          <w:color w:val="000000" w:themeColor="text1"/>
          <w:kern w:val="0"/>
          <w:sz w:val="24"/>
        </w:rPr>
        <w:t>20%</w:t>
      </w:r>
      <w:r w:rsidRPr="007E75F6">
        <w:rPr>
          <w:rFonts w:eastAsiaTheme="minorEastAsia" w:hint="eastAsia"/>
          <w:b/>
          <w:bCs/>
          <w:color w:val="000000" w:themeColor="text1"/>
          <w:kern w:val="0"/>
          <w:sz w:val="24"/>
        </w:rPr>
        <w:t>的情况</w:t>
      </w:r>
    </w:p>
    <w:tbl>
      <w:tblPr>
        <w:tblStyle w:val="af7"/>
        <w:tblW w:w="9212" w:type="dxa"/>
        <w:tblInd w:w="-176" w:type="dxa"/>
        <w:tblLayout w:type="fixed"/>
        <w:tblLook w:val="04A0" w:firstRow="1" w:lastRow="0" w:firstColumn="1" w:lastColumn="0" w:noHBand="0" w:noVBand="1"/>
      </w:tblPr>
      <w:tblGrid>
        <w:gridCol w:w="851"/>
        <w:gridCol w:w="1134"/>
        <w:gridCol w:w="1843"/>
        <w:gridCol w:w="851"/>
        <w:gridCol w:w="850"/>
        <w:gridCol w:w="992"/>
        <w:gridCol w:w="1418"/>
        <w:gridCol w:w="1273"/>
      </w:tblGrid>
      <w:tr w:rsidR="003A58DC" w:rsidRPr="002463E1" w:rsidTr="00B06DDA">
        <w:tc>
          <w:tcPr>
            <w:tcW w:w="851" w:type="dxa"/>
            <w:vMerge w:val="restart"/>
            <w:vAlign w:val="center"/>
          </w:tcPr>
          <w:p w:rsidR="003A58DC" w:rsidRPr="002463E1" w:rsidRDefault="003A58DC" w:rsidP="00B06DDA">
            <w:pPr>
              <w:autoSpaceDE w:val="0"/>
              <w:autoSpaceDN w:val="0"/>
              <w:adjustRightInd w:val="0"/>
              <w:jc w:val="center"/>
              <w:rPr>
                <w:rFonts w:ascii="宋体" w:hAnsi="宋体"/>
                <w:color w:val="000000"/>
                <w:sz w:val="24"/>
                <w:szCs w:val="24"/>
              </w:rPr>
            </w:pPr>
            <w:r w:rsidRPr="002463E1">
              <w:rPr>
                <w:rFonts w:ascii="宋体" w:hAnsi="宋体" w:hint="eastAsia"/>
                <w:color w:val="000000"/>
                <w:sz w:val="24"/>
                <w:szCs w:val="24"/>
              </w:rPr>
              <w:t>投资者类别</w:t>
            </w:r>
          </w:p>
        </w:tc>
        <w:tc>
          <w:tcPr>
            <w:tcW w:w="5670" w:type="dxa"/>
            <w:gridSpan w:val="5"/>
            <w:vAlign w:val="center"/>
          </w:tcPr>
          <w:p w:rsidR="003A58DC" w:rsidRPr="002463E1" w:rsidRDefault="003A58DC" w:rsidP="00B06DDA">
            <w:pPr>
              <w:autoSpaceDE w:val="0"/>
              <w:autoSpaceDN w:val="0"/>
              <w:adjustRightInd w:val="0"/>
              <w:jc w:val="center"/>
              <w:rPr>
                <w:rFonts w:ascii="宋体" w:hAnsi="宋体"/>
                <w:color w:val="000000"/>
                <w:sz w:val="24"/>
                <w:szCs w:val="24"/>
              </w:rPr>
            </w:pPr>
            <w:r w:rsidRPr="002463E1">
              <w:rPr>
                <w:rFonts w:ascii="宋体" w:hAnsi="宋体" w:hint="eastAsia"/>
                <w:color w:val="000000"/>
                <w:sz w:val="24"/>
                <w:szCs w:val="24"/>
              </w:rPr>
              <w:t>报告期内持有基金份额变化情况</w:t>
            </w:r>
          </w:p>
        </w:tc>
        <w:tc>
          <w:tcPr>
            <w:tcW w:w="2691" w:type="dxa"/>
            <w:gridSpan w:val="2"/>
            <w:vAlign w:val="center"/>
          </w:tcPr>
          <w:p w:rsidR="003A58DC" w:rsidRPr="002463E1" w:rsidRDefault="003A58DC" w:rsidP="00B06DDA">
            <w:pPr>
              <w:autoSpaceDE w:val="0"/>
              <w:autoSpaceDN w:val="0"/>
              <w:adjustRightInd w:val="0"/>
              <w:rPr>
                <w:rFonts w:ascii="宋体" w:hAnsi="宋体"/>
                <w:color w:val="000000"/>
                <w:sz w:val="24"/>
                <w:szCs w:val="24"/>
              </w:rPr>
            </w:pPr>
            <w:r w:rsidRPr="002463E1">
              <w:rPr>
                <w:rFonts w:ascii="宋体" w:hAnsi="宋体" w:hint="eastAsia"/>
                <w:color w:val="000000"/>
                <w:sz w:val="24"/>
                <w:szCs w:val="24"/>
              </w:rPr>
              <w:t>报告期末持有基金情况</w:t>
            </w:r>
          </w:p>
        </w:tc>
      </w:tr>
      <w:tr w:rsidR="003A58DC" w:rsidRPr="002463E1" w:rsidTr="00B06DDA">
        <w:tc>
          <w:tcPr>
            <w:tcW w:w="851" w:type="dxa"/>
            <w:vMerge/>
            <w:vAlign w:val="center"/>
          </w:tcPr>
          <w:p w:rsidR="003A58DC" w:rsidRPr="002463E1" w:rsidRDefault="003A58DC" w:rsidP="00B06DDA">
            <w:pPr>
              <w:autoSpaceDE w:val="0"/>
              <w:autoSpaceDN w:val="0"/>
              <w:adjustRightInd w:val="0"/>
              <w:jc w:val="center"/>
              <w:rPr>
                <w:rFonts w:ascii="宋体" w:hAnsi="宋体"/>
                <w:color w:val="000000"/>
                <w:sz w:val="24"/>
                <w:szCs w:val="24"/>
              </w:rPr>
            </w:pPr>
          </w:p>
        </w:tc>
        <w:tc>
          <w:tcPr>
            <w:tcW w:w="1134" w:type="dxa"/>
            <w:vAlign w:val="center"/>
          </w:tcPr>
          <w:p w:rsidR="003A58DC" w:rsidRPr="002463E1" w:rsidRDefault="003A58DC" w:rsidP="00B06DDA">
            <w:pPr>
              <w:autoSpaceDE w:val="0"/>
              <w:autoSpaceDN w:val="0"/>
              <w:adjustRightInd w:val="0"/>
              <w:jc w:val="center"/>
              <w:rPr>
                <w:rFonts w:ascii="宋体" w:hAnsi="宋体"/>
                <w:color w:val="000000"/>
                <w:sz w:val="24"/>
                <w:szCs w:val="24"/>
              </w:rPr>
            </w:pPr>
            <w:r w:rsidRPr="002463E1">
              <w:rPr>
                <w:rFonts w:ascii="宋体" w:hAnsi="宋体" w:hint="eastAsia"/>
                <w:color w:val="000000"/>
                <w:sz w:val="24"/>
                <w:szCs w:val="24"/>
              </w:rPr>
              <w:t>序号</w:t>
            </w:r>
          </w:p>
        </w:tc>
        <w:tc>
          <w:tcPr>
            <w:tcW w:w="1843" w:type="dxa"/>
            <w:vAlign w:val="center"/>
          </w:tcPr>
          <w:p w:rsidR="003A58DC" w:rsidRPr="002463E1" w:rsidRDefault="003A58DC" w:rsidP="00B06DDA">
            <w:pPr>
              <w:autoSpaceDE w:val="0"/>
              <w:autoSpaceDN w:val="0"/>
              <w:adjustRightInd w:val="0"/>
              <w:rPr>
                <w:rFonts w:ascii="宋体" w:hAnsi="宋体"/>
                <w:color w:val="000000"/>
                <w:sz w:val="24"/>
                <w:szCs w:val="24"/>
              </w:rPr>
            </w:pPr>
            <w:r w:rsidRPr="002463E1">
              <w:rPr>
                <w:rFonts w:ascii="宋体" w:hAnsi="宋体" w:hint="eastAsia"/>
                <w:color w:val="000000"/>
                <w:sz w:val="24"/>
                <w:szCs w:val="24"/>
              </w:rPr>
              <w:t>持有基金份额比例达到或者超过20%的时间区间</w:t>
            </w:r>
          </w:p>
        </w:tc>
        <w:tc>
          <w:tcPr>
            <w:tcW w:w="851" w:type="dxa"/>
            <w:vAlign w:val="center"/>
          </w:tcPr>
          <w:p w:rsidR="003A58DC" w:rsidRPr="002463E1" w:rsidRDefault="003A58DC" w:rsidP="00B06DDA">
            <w:pPr>
              <w:widowControl/>
              <w:jc w:val="center"/>
              <w:rPr>
                <w:rFonts w:ascii="宋体" w:hAnsi="宋体"/>
                <w:color w:val="000000"/>
                <w:sz w:val="24"/>
                <w:szCs w:val="24"/>
              </w:rPr>
            </w:pPr>
            <w:r w:rsidRPr="002463E1">
              <w:rPr>
                <w:rFonts w:ascii="宋体" w:hAnsi="宋体" w:hint="eastAsia"/>
                <w:color w:val="000000"/>
                <w:sz w:val="24"/>
                <w:szCs w:val="24"/>
              </w:rPr>
              <w:t>期初份额</w:t>
            </w:r>
          </w:p>
          <w:p w:rsidR="003A58DC" w:rsidRPr="002463E1" w:rsidRDefault="003A58DC" w:rsidP="00B06DDA">
            <w:pPr>
              <w:autoSpaceDE w:val="0"/>
              <w:autoSpaceDN w:val="0"/>
              <w:adjustRightInd w:val="0"/>
              <w:jc w:val="center"/>
              <w:rPr>
                <w:rFonts w:ascii="宋体" w:hAnsi="宋体"/>
                <w:color w:val="000000"/>
                <w:sz w:val="24"/>
                <w:szCs w:val="24"/>
              </w:rPr>
            </w:pPr>
          </w:p>
        </w:tc>
        <w:tc>
          <w:tcPr>
            <w:tcW w:w="850" w:type="dxa"/>
            <w:vAlign w:val="center"/>
          </w:tcPr>
          <w:p w:rsidR="003A58DC" w:rsidRPr="002463E1" w:rsidRDefault="003A58DC" w:rsidP="00B06DDA">
            <w:pPr>
              <w:widowControl/>
              <w:jc w:val="center"/>
              <w:rPr>
                <w:rFonts w:ascii="宋体" w:hAnsi="宋体"/>
                <w:color w:val="000000"/>
                <w:sz w:val="24"/>
                <w:szCs w:val="24"/>
              </w:rPr>
            </w:pPr>
            <w:r w:rsidRPr="002463E1">
              <w:rPr>
                <w:rFonts w:ascii="宋体" w:hAnsi="宋体" w:hint="eastAsia"/>
                <w:color w:val="000000"/>
                <w:sz w:val="24"/>
                <w:szCs w:val="24"/>
              </w:rPr>
              <w:t>申购份额</w:t>
            </w:r>
          </w:p>
          <w:p w:rsidR="003A58DC" w:rsidRPr="002463E1" w:rsidRDefault="003A58DC" w:rsidP="00B06DDA">
            <w:pPr>
              <w:autoSpaceDE w:val="0"/>
              <w:autoSpaceDN w:val="0"/>
              <w:adjustRightInd w:val="0"/>
              <w:jc w:val="center"/>
              <w:rPr>
                <w:rFonts w:ascii="宋体" w:hAnsi="宋体"/>
                <w:color w:val="000000"/>
                <w:sz w:val="24"/>
                <w:szCs w:val="24"/>
              </w:rPr>
            </w:pPr>
          </w:p>
        </w:tc>
        <w:tc>
          <w:tcPr>
            <w:tcW w:w="992" w:type="dxa"/>
            <w:vAlign w:val="center"/>
          </w:tcPr>
          <w:p w:rsidR="003A58DC" w:rsidRPr="002463E1" w:rsidRDefault="003A58DC" w:rsidP="00B06DDA">
            <w:pPr>
              <w:autoSpaceDE w:val="0"/>
              <w:autoSpaceDN w:val="0"/>
              <w:adjustRightInd w:val="0"/>
              <w:jc w:val="center"/>
              <w:rPr>
                <w:rFonts w:ascii="宋体" w:hAnsi="宋体"/>
                <w:color w:val="000000"/>
                <w:sz w:val="24"/>
                <w:szCs w:val="24"/>
              </w:rPr>
            </w:pPr>
            <w:r w:rsidRPr="002463E1">
              <w:rPr>
                <w:rFonts w:ascii="宋体" w:hAnsi="宋体" w:hint="eastAsia"/>
                <w:color w:val="000000"/>
                <w:sz w:val="24"/>
                <w:szCs w:val="24"/>
              </w:rPr>
              <w:t>赎回份额</w:t>
            </w:r>
          </w:p>
        </w:tc>
        <w:tc>
          <w:tcPr>
            <w:tcW w:w="1418" w:type="dxa"/>
            <w:vAlign w:val="center"/>
          </w:tcPr>
          <w:p w:rsidR="003A58DC" w:rsidRPr="002463E1" w:rsidRDefault="003A58DC" w:rsidP="00B06DDA">
            <w:pPr>
              <w:autoSpaceDE w:val="0"/>
              <w:autoSpaceDN w:val="0"/>
              <w:adjustRightInd w:val="0"/>
              <w:rPr>
                <w:rFonts w:ascii="宋体" w:hAnsi="宋体"/>
                <w:color w:val="000000"/>
                <w:sz w:val="24"/>
                <w:szCs w:val="24"/>
              </w:rPr>
            </w:pPr>
            <w:r w:rsidRPr="002463E1">
              <w:rPr>
                <w:rFonts w:ascii="宋体" w:hAnsi="宋体" w:hint="eastAsia"/>
                <w:color w:val="000000"/>
                <w:sz w:val="24"/>
                <w:szCs w:val="24"/>
              </w:rPr>
              <w:t>持有份额</w:t>
            </w:r>
          </w:p>
        </w:tc>
        <w:tc>
          <w:tcPr>
            <w:tcW w:w="1273" w:type="dxa"/>
            <w:vAlign w:val="center"/>
          </w:tcPr>
          <w:p w:rsidR="003A58DC" w:rsidRPr="002463E1" w:rsidRDefault="003A58DC" w:rsidP="00B06DDA">
            <w:pPr>
              <w:autoSpaceDE w:val="0"/>
              <w:autoSpaceDN w:val="0"/>
              <w:adjustRightInd w:val="0"/>
              <w:jc w:val="center"/>
              <w:rPr>
                <w:rFonts w:ascii="宋体" w:hAnsi="宋体"/>
                <w:color w:val="000000"/>
                <w:sz w:val="24"/>
                <w:szCs w:val="24"/>
              </w:rPr>
            </w:pPr>
            <w:bookmarkStart w:id="0" w:name="_GoBack"/>
            <w:bookmarkEnd w:id="0"/>
            <w:r w:rsidRPr="002463E1">
              <w:rPr>
                <w:rFonts w:ascii="宋体" w:hAnsi="宋体" w:hint="eastAsia"/>
                <w:color w:val="000000"/>
                <w:sz w:val="24"/>
                <w:szCs w:val="24"/>
              </w:rPr>
              <w:t>份额占比</w:t>
            </w:r>
          </w:p>
        </w:tc>
      </w:tr>
      <w:tr w:rsidR="009703B7" w:rsidRPr="002463E1">
        <w:tc>
          <w:tcPr>
            <w:tcW w:w="851" w:type="dxa"/>
            <w:vMerge w:val="restart"/>
          </w:tcPr>
          <w:p w:rsidR="009703B7" w:rsidRPr="002463E1" w:rsidRDefault="009703B7">
            <w:pPr>
              <w:rPr>
                <w:sz w:val="24"/>
                <w:szCs w:val="24"/>
              </w:rPr>
            </w:pPr>
          </w:p>
          <w:p w:rsidR="009703B7" w:rsidRPr="002463E1" w:rsidRDefault="00D73946">
            <w:pPr>
              <w:rPr>
                <w:sz w:val="24"/>
                <w:szCs w:val="24"/>
              </w:rPr>
            </w:pPr>
            <w:r w:rsidRPr="002463E1">
              <w:rPr>
                <w:rFonts w:eastAsiaTheme="minorEastAsia" w:hint="eastAsia"/>
                <w:bCs/>
                <w:color w:val="000000" w:themeColor="text1"/>
                <w:sz w:val="24"/>
                <w:szCs w:val="24"/>
              </w:rPr>
              <w:t>机构</w:t>
            </w:r>
          </w:p>
        </w:tc>
        <w:tc>
          <w:tcPr>
            <w:tcW w:w="1134" w:type="dxa"/>
            <w:vAlign w:val="center"/>
          </w:tcPr>
          <w:p w:rsidR="009703B7" w:rsidRPr="002463E1" w:rsidRDefault="00D73946">
            <w:pPr>
              <w:jc w:val="center"/>
              <w:rPr>
                <w:sz w:val="24"/>
                <w:szCs w:val="24"/>
              </w:rPr>
            </w:pPr>
            <w:r w:rsidRPr="002463E1">
              <w:rPr>
                <w:color w:val="000000"/>
                <w:sz w:val="24"/>
                <w:szCs w:val="24"/>
              </w:rPr>
              <w:t>1</w:t>
            </w:r>
          </w:p>
        </w:tc>
        <w:tc>
          <w:tcPr>
            <w:tcW w:w="1843" w:type="dxa"/>
            <w:vAlign w:val="center"/>
          </w:tcPr>
          <w:p w:rsidR="009703B7" w:rsidRPr="002463E1" w:rsidRDefault="00D73946">
            <w:pPr>
              <w:jc w:val="center"/>
              <w:rPr>
                <w:sz w:val="24"/>
                <w:szCs w:val="24"/>
              </w:rPr>
            </w:pPr>
            <w:r w:rsidRPr="002463E1">
              <w:rPr>
                <w:color w:val="000000"/>
                <w:sz w:val="24"/>
                <w:szCs w:val="24"/>
              </w:rPr>
              <w:t>2017/01/01-2017/01/17</w:t>
            </w:r>
          </w:p>
        </w:tc>
        <w:tc>
          <w:tcPr>
            <w:tcW w:w="851" w:type="dxa"/>
            <w:vAlign w:val="center"/>
          </w:tcPr>
          <w:p w:rsidR="009703B7" w:rsidRPr="002463E1" w:rsidRDefault="00D73946">
            <w:pPr>
              <w:jc w:val="center"/>
              <w:rPr>
                <w:sz w:val="24"/>
                <w:szCs w:val="24"/>
              </w:rPr>
            </w:pPr>
            <w:r w:rsidRPr="002463E1">
              <w:rPr>
                <w:color w:val="000000"/>
                <w:sz w:val="24"/>
                <w:szCs w:val="24"/>
              </w:rPr>
              <w:t>45,371,143.38</w:t>
            </w:r>
          </w:p>
        </w:tc>
        <w:tc>
          <w:tcPr>
            <w:tcW w:w="850" w:type="dxa"/>
            <w:vAlign w:val="center"/>
          </w:tcPr>
          <w:p w:rsidR="009703B7" w:rsidRPr="002463E1" w:rsidRDefault="00D73946">
            <w:pPr>
              <w:jc w:val="center"/>
              <w:rPr>
                <w:sz w:val="24"/>
                <w:szCs w:val="24"/>
              </w:rPr>
            </w:pPr>
            <w:r w:rsidRPr="002463E1">
              <w:rPr>
                <w:color w:val="000000"/>
                <w:sz w:val="24"/>
                <w:szCs w:val="24"/>
              </w:rPr>
              <w:t>-</w:t>
            </w:r>
          </w:p>
        </w:tc>
        <w:tc>
          <w:tcPr>
            <w:tcW w:w="992" w:type="dxa"/>
            <w:vAlign w:val="center"/>
          </w:tcPr>
          <w:p w:rsidR="009703B7" w:rsidRPr="002463E1" w:rsidRDefault="00D73946">
            <w:pPr>
              <w:jc w:val="center"/>
              <w:rPr>
                <w:sz w:val="24"/>
                <w:szCs w:val="24"/>
              </w:rPr>
            </w:pPr>
            <w:r w:rsidRPr="002463E1">
              <w:rPr>
                <w:color w:val="000000"/>
                <w:sz w:val="24"/>
                <w:szCs w:val="24"/>
              </w:rPr>
              <w:t>45,371,143.38</w:t>
            </w:r>
          </w:p>
        </w:tc>
        <w:tc>
          <w:tcPr>
            <w:tcW w:w="1418" w:type="dxa"/>
            <w:vAlign w:val="center"/>
          </w:tcPr>
          <w:p w:rsidR="009703B7" w:rsidRPr="002463E1" w:rsidRDefault="00D73946">
            <w:pPr>
              <w:jc w:val="center"/>
              <w:rPr>
                <w:sz w:val="24"/>
                <w:szCs w:val="24"/>
              </w:rPr>
            </w:pPr>
            <w:r w:rsidRPr="002463E1">
              <w:rPr>
                <w:color w:val="000000"/>
                <w:sz w:val="24"/>
                <w:szCs w:val="24"/>
              </w:rPr>
              <w:t>-</w:t>
            </w:r>
          </w:p>
        </w:tc>
        <w:tc>
          <w:tcPr>
            <w:tcW w:w="1273" w:type="dxa"/>
            <w:vAlign w:val="center"/>
          </w:tcPr>
          <w:p w:rsidR="009703B7" w:rsidRPr="002463E1" w:rsidRDefault="00D73946">
            <w:pPr>
              <w:jc w:val="center"/>
              <w:rPr>
                <w:sz w:val="24"/>
                <w:szCs w:val="24"/>
              </w:rPr>
            </w:pPr>
            <w:r w:rsidRPr="002463E1">
              <w:rPr>
                <w:color w:val="000000"/>
                <w:sz w:val="24"/>
                <w:szCs w:val="24"/>
              </w:rPr>
              <w:t>-</w:t>
            </w:r>
          </w:p>
        </w:tc>
      </w:tr>
      <w:tr w:rsidR="003A58DC" w:rsidRPr="002463E1" w:rsidTr="00B06DDA">
        <w:tc>
          <w:tcPr>
            <w:tcW w:w="9212" w:type="dxa"/>
            <w:gridSpan w:val="8"/>
            <w:vAlign w:val="center"/>
          </w:tcPr>
          <w:p w:rsidR="003A58DC" w:rsidRPr="002463E1" w:rsidRDefault="003A58DC" w:rsidP="00B06DDA">
            <w:pPr>
              <w:autoSpaceDE w:val="0"/>
              <w:autoSpaceDN w:val="0"/>
              <w:adjustRightInd w:val="0"/>
              <w:ind w:firstLine="1126"/>
              <w:jc w:val="center"/>
              <w:rPr>
                <w:sz w:val="24"/>
                <w:szCs w:val="24"/>
              </w:rPr>
            </w:pPr>
            <w:r w:rsidRPr="002463E1">
              <w:rPr>
                <w:color w:val="000000"/>
                <w:sz w:val="24"/>
                <w:szCs w:val="24"/>
              </w:rPr>
              <w:t>产品特有风险</w:t>
            </w:r>
          </w:p>
        </w:tc>
      </w:tr>
      <w:tr w:rsidR="003A58DC" w:rsidRPr="002463E1" w:rsidTr="00B06DDA">
        <w:tc>
          <w:tcPr>
            <w:tcW w:w="9212" w:type="dxa"/>
            <w:gridSpan w:val="8"/>
            <w:vAlign w:val="center"/>
          </w:tcPr>
          <w:p w:rsidR="003A58DC" w:rsidRPr="002463E1" w:rsidRDefault="003A58DC" w:rsidP="00B06DDA">
            <w:pPr>
              <w:autoSpaceDE w:val="0"/>
              <w:autoSpaceDN w:val="0"/>
              <w:adjustRightInd w:val="0"/>
              <w:jc w:val="left"/>
              <w:rPr>
                <w:sz w:val="24"/>
                <w:szCs w:val="24"/>
              </w:rPr>
            </w:pPr>
            <w:r w:rsidRPr="002463E1">
              <w:rPr>
                <w:rFonts w:hint="eastAsia"/>
                <w:sz w:val="24"/>
                <w:szCs w:val="24"/>
              </w:rPr>
              <w:t>本基金本报告期内出现单一投资者持有基金份额比例超过基金总份额</w:t>
            </w:r>
            <w:r w:rsidRPr="002463E1">
              <w:rPr>
                <w:rFonts w:hint="eastAsia"/>
                <w:sz w:val="24"/>
                <w:szCs w:val="24"/>
              </w:rPr>
              <w:t>20%</w:t>
            </w:r>
            <w:r w:rsidRPr="002463E1">
              <w:rPr>
                <w:rFonts w:hint="eastAsia"/>
                <w:sz w:val="24"/>
                <w:szCs w:val="24"/>
              </w:rPr>
              <w:t>的情况。如该类投资者集中赎回，可能会对本基金带来流动性冲击，从而影响基金的投资运作和收益水平。基金管理人将加强流动性管理，防范相关风险，保护持有人利益。</w:t>
            </w:r>
          </w:p>
        </w:tc>
      </w:tr>
    </w:tbl>
    <w:p w:rsidR="00B22DEE" w:rsidRPr="00E02660"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lastRenderedPageBreak/>
        <w:t>§</w:t>
      </w:r>
      <w:r w:rsidR="00D02347" w:rsidRPr="00414345">
        <w:rPr>
          <w:color w:val="000000"/>
          <w:kern w:val="0"/>
          <w:sz w:val="24"/>
          <w:szCs w:val="24"/>
        </w:rPr>
        <w:t>9</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9703B7" w:rsidRDefault="00D73946">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、中国证监会准予交银施罗德科技创新灵活配置混合型证券投资基金募集注册的文件；</w:t>
      </w:r>
      <w:r>
        <w:rPr>
          <w:color w:val="000000"/>
          <w:sz w:val="24"/>
          <w:szCs w:val="24"/>
        </w:rPr>
        <w:t xml:space="preserve"> </w:t>
      </w:r>
    </w:p>
    <w:p w:rsidR="009703B7" w:rsidRDefault="00D73946">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、《交银施罗德科技创新灵活配置混合型证券投资基金基金合同》；</w:t>
      </w:r>
      <w:r>
        <w:rPr>
          <w:color w:val="000000"/>
          <w:sz w:val="24"/>
          <w:szCs w:val="24"/>
        </w:rPr>
        <w:t xml:space="preserve"> </w:t>
      </w:r>
    </w:p>
    <w:p w:rsidR="009703B7" w:rsidRDefault="00D73946">
      <w:pPr>
        <w:spacing w:before="29" w:line="288" w:lineRule="auto"/>
        <w:ind w:firstLineChars="200" w:firstLine="480"/>
        <w:rPr>
          <w:color w:val="000000"/>
          <w:sz w:val="24"/>
          <w:szCs w:val="24"/>
        </w:rPr>
      </w:pPr>
      <w:r>
        <w:rPr>
          <w:color w:val="000000"/>
          <w:sz w:val="24"/>
          <w:szCs w:val="24"/>
        </w:rPr>
        <w:t>3</w:t>
      </w:r>
      <w:r>
        <w:rPr>
          <w:color w:val="000000"/>
          <w:sz w:val="24"/>
          <w:szCs w:val="24"/>
        </w:rPr>
        <w:t>、《交银施罗德科技创新灵活配置混合型证券投资基金招募说明书》；</w:t>
      </w:r>
      <w:r>
        <w:rPr>
          <w:color w:val="000000"/>
          <w:sz w:val="24"/>
          <w:szCs w:val="24"/>
        </w:rPr>
        <w:t xml:space="preserve"> </w:t>
      </w:r>
    </w:p>
    <w:p w:rsidR="009703B7" w:rsidRDefault="00D73946">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、《交银施罗德科技创新灵活配置混合型证券投资基金托管协议》；</w:t>
      </w:r>
      <w:r>
        <w:rPr>
          <w:color w:val="000000"/>
          <w:sz w:val="24"/>
          <w:szCs w:val="24"/>
        </w:rPr>
        <w:t xml:space="preserve"> </w:t>
      </w:r>
    </w:p>
    <w:p w:rsidR="009703B7" w:rsidRDefault="00D73946">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、关于申请募集注册交银施罗德科技创新灵活配置混合型证券投资基金的法律意见书；</w:t>
      </w:r>
      <w:r>
        <w:rPr>
          <w:color w:val="000000"/>
          <w:sz w:val="24"/>
          <w:szCs w:val="24"/>
        </w:rPr>
        <w:t xml:space="preserve"> </w:t>
      </w:r>
    </w:p>
    <w:p w:rsidR="009703B7" w:rsidRDefault="00D73946">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9703B7" w:rsidRDefault="00D73946">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、报告期内交银施罗德科技创新灵活配置混合型证券投资基金在指定报刊上各项公告的原稿。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9703B7" w:rsidRDefault="00D73946">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946" w:rsidRDefault="00D73946" w:rsidP="00876D65">
      <w:r>
        <w:separator/>
      </w:r>
    </w:p>
  </w:endnote>
  <w:endnote w:type="continuationSeparator" w:id="0">
    <w:p w:rsidR="00D73946" w:rsidRDefault="00D73946"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B62AC1">
      <w:rPr>
        <w:kern w:val="0"/>
        <w:szCs w:val="21"/>
      </w:rPr>
      <w:fldChar w:fldCharType="begin"/>
    </w:r>
    <w:r>
      <w:rPr>
        <w:kern w:val="0"/>
        <w:szCs w:val="21"/>
      </w:rPr>
      <w:instrText xml:space="preserve"> PAGE </w:instrText>
    </w:r>
    <w:r w:rsidR="00B62AC1">
      <w:rPr>
        <w:kern w:val="0"/>
        <w:szCs w:val="21"/>
      </w:rPr>
      <w:fldChar w:fldCharType="separate"/>
    </w:r>
    <w:r w:rsidR="002463E1">
      <w:rPr>
        <w:noProof/>
        <w:kern w:val="0"/>
        <w:szCs w:val="21"/>
      </w:rPr>
      <w:t>10</w:t>
    </w:r>
    <w:r w:rsidR="00B62AC1">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B62AC1">
      <w:rPr>
        <w:kern w:val="0"/>
        <w:szCs w:val="21"/>
      </w:rPr>
      <w:fldChar w:fldCharType="begin"/>
    </w:r>
    <w:r>
      <w:rPr>
        <w:kern w:val="0"/>
        <w:szCs w:val="21"/>
      </w:rPr>
      <w:instrText xml:space="preserve"> NUMPAGES </w:instrText>
    </w:r>
    <w:r w:rsidR="00B62AC1">
      <w:rPr>
        <w:kern w:val="0"/>
        <w:szCs w:val="21"/>
      </w:rPr>
      <w:fldChar w:fldCharType="separate"/>
    </w:r>
    <w:r w:rsidR="002463E1">
      <w:rPr>
        <w:noProof/>
        <w:kern w:val="0"/>
        <w:szCs w:val="21"/>
      </w:rPr>
      <w:t>11</w:t>
    </w:r>
    <w:r w:rsidR="00B62AC1">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946" w:rsidRDefault="00D73946" w:rsidP="00876D65">
      <w:r>
        <w:separator/>
      </w:r>
    </w:p>
  </w:footnote>
  <w:footnote w:type="continuationSeparator" w:id="0">
    <w:p w:rsidR="00D73946" w:rsidRDefault="00D73946"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63E1"/>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03B7"/>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3946"/>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C66C08-2945-418B-A243-7FA021B40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1774C-D495-4A22-A8D0-1966B0584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1791</TotalTime>
  <Pages>1</Pages>
  <Words>1005</Words>
  <Characters>5732</Characters>
  <Application>Microsoft Office Word</Application>
  <DocSecurity>0</DocSecurity>
  <Lines>47</Lines>
  <Paragraphs>13</Paragraphs>
  <ScaleCrop>false</ScaleCrop>
  <Company/>
  <LinksUpToDate>false</LinksUpToDate>
  <CharactersWithSpaces>6724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564</cp:revision>
  <dcterms:created xsi:type="dcterms:W3CDTF">2012-10-16T06:07:00Z</dcterms:created>
  <dcterms:modified xsi:type="dcterms:W3CDTF">2017-04-19T09:52:00Z</dcterms:modified>
</cp:coreProperties>
</file>