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交银施罗德荣鑫保本混合型证券投资基金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426DE" w:rsidRDefault="00D12BB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426DE" w:rsidRDefault="00D12BB5">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426DE" w:rsidRDefault="00D12BB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426DE" w:rsidRDefault="00D12BB5">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3426DE" w:rsidRDefault="00D12BB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交银荣鑫保本混合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875,434,488.30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本基金通过运用投资组合保险技术，有效控制本金损失的风险，在追求保本周期到期时本金安全的基础上，力争实现基金资产的稳定增值。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）原理，动态调整固定收益类资产与权益类资产在基金组合中的投资比例，以确保本基金在保本周期到期时的本金安全，并实现基金资产在保本基础上的保值增值目的。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本基金是一只保本混合型基金，在证券投资基金中属于低风险品种。其风险和预期收益低于股票型基金和非保本的混合型基金，高于货币市场基金和债券型基</w:t>
            </w:r>
            <w:r w:rsidRPr="00414345">
              <w:rPr>
                <w:color w:val="000000"/>
                <w:kern w:val="0"/>
                <w:sz w:val="24"/>
                <w:szCs w:val="24"/>
              </w:rPr>
              <w:lastRenderedPageBreak/>
              <w:t>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241E3" w:rsidRPr="00414345" w:rsidTr="001241E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1241E3" w:rsidRPr="00414345" w:rsidTr="001241E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1,782,878.43</w:t>
            </w:r>
          </w:p>
        </w:tc>
      </w:tr>
      <w:tr w:rsidR="001241E3" w:rsidRPr="00414345" w:rsidTr="001241E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2,622,980.97</w:t>
            </w:r>
          </w:p>
        </w:tc>
      </w:tr>
      <w:tr w:rsidR="001241E3" w:rsidRPr="00414345" w:rsidTr="001241E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0.0029</w:t>
            </w:r>
          </w:p>
        </w:tc>
      </w:tr>
      <w:tr w:rsidR="001241E3" w:rsidRPr="00414345" w:rsidTr="001241E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879,182,196.64</w:t>
            </w:r>
          </w:p>
        </w:tc>
      </w:tr>
      <w:tr w:rsidR="001241E3" w:rsidRPr="00414345" w:rsidTr="001241E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1.004</w:t>
            </w:r>
          </w:p>
        </w:tc>
      </w:tr>
    </w:tbl>
    <w:p w:rsidR="003426DE" w:rsidRDefault="00D12BB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426DE">
        <w:trPr>
          <w:jc w:val="center"/>
        </w:trPr>
        <w:tc>
          <w:tcPr>
            <w:tcW w:w="1701" w:type="dxa"/>
            <w:vAlign w:val="center"/>
          </w:tcPr>
          <w:p w:rsidR="003426DE" w:rsidRDefault="00D12BB5">
            <w:pPr>
              <w:jc w:val="left"/>
            </w:pPr>
            <w:r>
              <w:rPr>
                <w:color w:val="000000"/>
                <w:sz w:val="24"/>
                <w:szCs w:val="24"/>
              </w:rPr>
              <w:t>过去三个月</w:t>
            </w:r>
          </w:p>
        </w:tc>
        <w:tc>
          <w:tcPr>
            <w:tcW w:w="1045" w:type="dxa"/>
            <w:vAlign w:val="center"/>
          </w:tcPr>
          <w:p w:rsidR="003426DE" w:rsidRDefault="00D12BB5">
            <w:pPr>
              <w:jc w:val="center"/>
            </w:pPr>
            <w:r>
              <w:rPr>
                <w:color w:val="000000"/>
                <w:sz w:val="24"/>
                <w:szCs w:val="24"/>
              </w:rPr>
              <w:t>0.30%</w:t>
            </w:r>
          </w:p>
        </w:tc>
        <w:tc>
          <w:tcPr>
            <w:tcW w:w="1344" w:type="dxa"/>
            <w:vAlign w:val="center"/>
          </w:tcPr>
          <w:p w:rsidR="003426DE" w:rsidRDefault="00D12BB5">
            <w:pPr>
              <w:jc w:val="center"/>
            </w:pPr>
            <w:r>
              <w:rPr>
                <w:color w:val="000000"/>
                <w:sz w:val="24"/>
                <w:szCs w:val="24"/>
              </w:rPr>
              <w:t>0.05%</w:t>
            </w:r>
          </w:p>
        </w:tc>
        <w:tc>
          <w:tcPr>
            <w:tcW w:w="1194" w:type="dxa"/>
            <w:vAlign w:val="center"/>
          </w:tcPr>
          <w:p w:rsidR="003426DE" w:rsidRDefault="00D12BB5">
            <w:pPr>
              <w:jc w:val="center"/>
            </w:pPr>
            <w:r>
              <w:rPr>
                <w:color w:val="000000"/>
                <w:sz w:val="24"/>
                <w:szCs w:val="24"/>
              </w:rPr>
              <w:t>0.69%</w:t>
            </w:r>
          </w:p>
        </w:tc>
        <w:tc>
          <w:tcPr>
            <w:tcW w:w="1492" w:type="dxa"/>
            <w:vAlign w:val="center"/>
          </w:tcPr>
          <w:p w:rsidR="003426DE" w:rsidRDefault="00D12BB5">
            <w:pPr>
              <w:jc w:val="center"/>
            </w:pPr>
            <w:r>
              <w:rPr>
                <w:color w:val="000000"/>
                <w:sz w:val="24"/>
                <w:szCs w:val="24"/>
              </w:rPr>
              <w:t>0.01%</w:t>
            </w:r>
          </w:p>
        </w:tc>
        <w:tc>
          <w:tcPr>
            <w:tcW w:w="1194" w:type="dxa"/>
            <w:vAlign w:val="center"/>
          </w:tcPr>
          <w:p w:rsidR="003426DE" w:rsidRDefault="00D12BB5">
            <w:pPr>
              <w:jc w:val="center"/>
            </w:pPr>
            <w:r>
              <w:rPr>
                <w:color w:val="000000"/>
                <w:sz w:val="24"/>
                <w:szCs w:val="24"/>
              </w:rPr>
              <w:t>-0.39%</w:t>
            </w:r>
          </w:p>
        </w:tc>
        <w:tc>
          <w:tcPr>
            <w:tcW w:w="898" w:type="dxa"/>
            <w:vAlign w:val="center"/>
          </w:tcPr>
          <w:p w:rsidR="003426DE" w:rsidRDefault="00D12BB5">
            <w:pPr>
              <w:jc w:val="center"/>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交银施罗德荣鑫保本混合型证券投资基金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25</w:t>
      </w:r>
      <w:r w:rsidRPr="00414345">
        <w:rPr>
          <w:color w:val="000000"/>
          <w:sz w:val="24"/>
          <w:szCs w:val="24"/>
        </w:rPr>
        <w:t>日，截至报告期期末，本基金已完成</w:t>
      </w:r>
      <w:proofErr w:type="gramStart"/>
      <w:r w:rsidRPr="00414345">
        <w:rPr>
          <w:color w:val="000000"/>
          <w:sz w:val="24"/>
          <w:szCs w:val="24"/>
        </w:rPr>
        <w:t>建仓但</w:t>
      </w:r>
      <w:proofErr w:type="gramEnd"/>
      <w:r w:rsidRPr="00414345">
        <w:rPr>
          <w:color w:val="000000"/>
          <w:sz w:val="24"/>
          <w:szCs w:val="24"/>
        </w:rPr>
        <w:t>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426DE">
        <w:trPr>
          <w:jc w:val="center"/>
        </w:trPr>
        <w:tc>
          <w:tcPr>
            <w:tcW w:w="846" w:type="dxa"/>
            <w:vAlign w:val="center"/>
          </w:tcPr>
          <w:p w:rsidR="003426DE" w:rsidRDefault="00D12BB5">
            <w:pPr>
              <w:jc w:val="center"/>
            </w:pPr>
            <w:r>
              <w:rPr>
                <w:color w:val="000000"/>
                <w:sz w:val="24"/>
                <w:szCs w:val="24"/>
              </w:rPr>
              <w:t>孙超</w:t>
            </w:r>
          </w:p>
        </w:tc>
        <w:tc>
          <w:tcPr>
            <w:tcW w:w="845" w:type="dxa"/>
            <w:vAlign w:val="center"/>
          </w:tcPr>
          <w:p w:rsidR="003426DE" w:rsidRDefault="00D12BB5">
            <w:pPr>
              <w:jc w:val="center"/>
            </w:pPr>
            <w:r>
              <w:rPr>
                <w:color w:val="000000"/>
                <w:sz w:val="24"/>
                <w:szCs w:val="24"/>
              </w:rPr>
              <w:t>交银增利债券、交</w:t>
            </w:r>
            <w:proofErr w:type="gramStart"/>
            <w:r>
              <w:rPr>
                <w:color w:val="000000"/>
                <w:sz w:val="24"/>
                <w:szCs w:val="24"/>
              </w:rPr>
              <w:t>银纯债</w:t>
            </w:r>
            <w:proofErr w:type="gramEnd"/>
            <w:r>
              <w:rPr>
                <w:color w:val="000000"/>
                <w:sz w:val="24"/>
                <w:szCs w:val="24"/>
              </w:rPr>
              <w:t>债券发起、交银荣祥保本混合、交银定期支付</w:t>
            </w:r>
            <w:r>
              <w:rPr>
                <w:color w:val="000000"/>
                <w:sz w:val="24"/>
                <w:szCs w:val="24"/>
              </w:rPr>
              <w:lastRenderedPageBreak/>
              <w:t>月月丰债券、交</w:t>
            </w:r>
            <w:proofErr w:type="gramStart"/>
            <w:r>
              <w:rPr>
                <w:color w:val="000000"/>
                <w:sz w:val="24"/>
                <w:szCs w:val="24"/>
              </w:rPr>
              <w:t>银增强</w:t>
            </w:r>
            <w:proofErr w:type="gramEnd"/>
            <w:r>
              <w:rPr>
                <w:color w:val="000000"/>
                <w:sz w:val="24"/>
                <w:szCs w:val="24"/>
              </w:rPr>
              <w:t>收益债券、交银强化回报债券、交银丰硕收益债券、交银荣鑫保本混合的基金经理，公司固定收益部助理总经理</w:t>
            </w:r>
          </w:p>
        </w:tc>
        <w:tc>
          <w:tcPr>
            <w:tcW w:w="1549" w:type="dxa"/>
            <w:vAlign w:val="center"/>
          </w:tcPr>
          <w:p w:rsidR="003426DE" w:rsidRDefault="00D12BB5">
            <w:pPr>
              <w:jc w:val="center"/>
            </w:pPr>
            <w:r>
              <w:rPr>
                <w:color w:val="000000"/>
                <w:sz w:val="24"/>
                <w:szCs w:val="24"/>
              </w:rPr>
              <w:lastRenderedPageBreak/>
              <w:t>2016-03-25</w:t>
            </w:r>
          </w:p>
        </w:tc>
        <w:tc>
          <w:tcPr>
            <w:tcW w:w="1548" w:type="dxa"/>
            <w:vAlign w:val="center"/>
          </w:tcPr>
          <w:p w:rsidR="003426DE" w:rsidRDefault="00D12BB5">
            <w:pPr>
              <w:jc w:val="center"/>
            </w:pPr>
            <w:r>
              <w:rPr>
                <w:color w:val="000000"/>
                <w:sz w:val="24"/>
                <w:szCs w:val="24"/>
              </w:rPr>
              <w:t>-</w:t>
            </w:r>
          </w:p>
        </w:tc>
        <w:tc>
          <w:tcPr>
            <w:tcW w:w="1407" w:type="dxa"/>
            <w:vAlign w:val="center"/>
          </w:tcPr>
          <w:p w:rsidR="003426DE" w:rsidRDefault="00D12BB5">
            <w:pPr>
              <w:jc w:val="center"/>
            </w:pPr>
            <w:r>
              <w:rPr>
                <w:color w:val="000000"/>
                <w:sz w:val="24"/>
                <w:szCs w:val="24"/>
              </w:rPr>
              <w:t>6</w:t>
            </w:r>
            <w:r>
              <w:rPr>
                <w:color w:val="000000"/>
                <w:sz w:val="24"/>
                <w:szCs w:val="24"/>
              </w:rPr>
              <w:t>年</w:t>
            </w:r>
          </w:p>
        </w:tc>
        <w:tc>
          <w:tcPr>
            <w:tcW w:w="2673" w:type="dxa"/>
            <w:vAlign w:val="center"/>
          </w:tcPr>
          <w:p w:rsidR="003426DE" w:rsidRDefault="00D12BB5">
            <w:r>
              <w:rPr>
                <w:color w:val="000000"/>
                <w:sz w:val="24"/>
                <w:szCs w:val="24"/>
              </w:rPr>
              <w:t>孙超先生，美国哥伦比亚大学经济学硕士。历任中</w:t>
            </w:r>
            <w:proofErr w:type="gramStart"/>
            <w:r>
              <w:rPr>
                <w:color w:val="000000"/>
                <w:sz w:val="24"/>
                <w:szCs w:val="24"/>
              </w:rPr>
              <w:t>信建投证券</w:t>
            </w:r>
            <w:proofErr w:type="gramEnd"/>
            <w:r>
              <w:rPr>
                <w:color w:val="000000"/>
                <w:sz w:val="24"/>
                <w:szCs w:val="24"/>
              </w:rPr>
              <w:t>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w:t>
            </w:r>
            <w:proofErr w:type="gramStart"/>
            <w:r>
              <w:rPr>
                <w:color w:val="000000"/>
                <w:sz w:val="24"/>
                <w:szCs w:val="24"/>
              </w:rPr>
              <w:t>基金基金</w:t>
            </w:r>
            <w:proofErr w:type="gramEnd"/>
            <w:r>
              <w:rPr>
                <w:color w:val="000000"/>
                <w:sz w:val="24"/>
                <w:szCs w:val="24"/>
              </w:rPr>
              <w:t>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w:t>
            </w:r>
            <w:r>
              <w:rPr>
                <w:color w:val="000000"/>
                <w:sz w:val="24"/>
                <w:szCs w:val="24"/>
              </w:rPr>
              <w:lastRenderedPageBreak/>
              <w:t>轮动债券型证券投资</w:t>
            </w:r>
            <w:proofErr w:type="gramStart"/>
            <w:r>
              <w:rPr>
                <w:color w:val="000000"/>
                <w:sz w:val="24"/>
                <w:szCs w:val="24"/>
              </w:rPr>
              <w:t>基金基金</w:t>
            </w:r>
            <w:proofErr w:type="gramEnd"/>
            <w:r>
              <w:rPr>
                <w:color w:val="000000"/>
                <w:sz w:val="24"/>
                <w:szCs w:val="24"/>
              </w:rPr>
              <w:t>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15</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日担任交银施罗德丰润收益债券型证券投资</w:t>
            </w:r>
            <w:proofErr w:type="gramStart"/>
            <w:r>
              <w:rPr>
                <w:color w:val="000000"/>
                <w:sz w:val="24"/>
                <w:szCs w:val="24"/>
              </w:rPr>
              <w:t>基金基金</w:t>
            </w:r>
            <w:proofErr w:type="gramEnd"/>
            <w:r>
              <w:rPr>
                <w:color w:val="000000"/>
                <w:sz w:val="24"/>
                <w:szCs w:val="24"/>
              </w:rPr>
              <w:t>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日担任交银施罗德丰享收益债券型证券投资</w:t>
            </w:r>
            <w:proofErr w:type="gramStart"/>
            <w:r>
              <w:rPr>
                <w:color w:val="000000"/>
                <w:sz w:val="24"/>
                <w:szCs w:val="24"/>
              </w:rPr>
              <w:t>基金基金</w:t>
            </w:r>
            <w:proofErr w:type="gramEnd"/>
            <w:r>
              <w:rPr>
                <w:color w:val="000000"/>
                <w:sz w:val="24"/>
                <w:szCs w:val="24"/>
              </w:rPr>
              <w:t>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30</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日担任交银施罗德丰泽收益债券型证券投资</w:t>
            </w:r>
            <w:proofErr w:type="gramStart"/>
            <w:r>
              <w:rPr>
                <w:color w:val="000000"/>
                <w:sz w:val="24"/>
                <w:szCs w:val="24"/>
              </w:rPr>
              <w:t>基金基金</w:t>
            </w:r>
            <w:proofErr w:type="gramEnd"/>
            <w:r>
              <w:rPr>
                <w:color w:val="000000"/>
                <w:sz w:val="24"/>
                <w:szCs w:val="24"/>
              </w:rPr>
              <w:t>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426DE" w:rsidRDefault="00D12BB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426DE" w:rsidRDefault="00D12BB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w:t>
      </w:r>
      <w:r>
        <w:rPr>
          <w:color w:val="000000"/>
          <w:sz w:val="24"/>
          <w:szCs w:val="24"/>
        </w:rPr>
        <w:lastRenderedPageBreak/>
        <w:t>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426DE" w:rsidRDefault="00D12BB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426DE" w:rsidRDefault="00D12BB5">
      <w:pPr>
        <w:spacing w:before="29" w:line="288" w:lineRule="auto"/>
        <w:ind w:firstLineChars="200" w:firstLine="480"/>
        <w:rPr>
          <w:color w:val="000000"/>
          <w:sz w:val="24"/>
          <w:szCs w:val="24"/>
        </w:rPr>
      </w:pPr>
      <w:r>
        <w:rPr>
          <w:color w:val="000000"/>
          <w:sz w:val="24"/>
          <w:szCs w:val="24"/>
        </w:rPr>
        <w:t>本报告期内，经济基本面走势较为平稳，</w:t>
      </w:r>
      <w:r>
        <w:rPr>
          <w:color w:val="000000"/>
          <w:sz w:val="24"/>
          <w:szCs w:val="24"/>
        </w:rPr>
        <w:t>PPI</w:t>
      </w:r>
      <w:r>
        <w:rPr>
          <w:color w:val="000000"/>
          <w:sz w:val="24"/>
          <w:szCs w:val="24"/>
        </w:rPr>
        <w:t>环比增速和上游资源品价格缓步走低。央行先后于</w:t>
      </w:r>
      <w:r>
        <w:rPr>
          <w:color w:val="000000"/>
          <w:sz w:val="24"/>
          <w:szCs w:val="24"/>
        </w:rPr>
        <w:t>1</w:t>
      </w:r>
      <w:r>
        <w:rPr>
          <w:color w:val="000000"/>
          <w:sz w:val="24"/>
          <w:szCs w:val="24"/>
        </w:rPr>
        <w:t>月</w:t>
      </w:r>
      <w:r>
        <w:rPr>
          <w:color w:val="000000"/>
          <w:sz w:val="24"/>
          <w:szCs w:val="24"/>
        </w:rPr>
        <w:t>24</w:t>
      </w:r>
      <w:r>
        <w:rPr>
          <w:color w:val="000000"/>
          <w:sz w:val="24"/>
          <w:szCs w:val="24"/>
        </w:rPr>
        <w:t>日、</w:t>
      </w:r>
      <w:r>
        <w:rPr>
          <w:color w:val="000000"/>
          <w:sz w:val="24"/>
          <w:szCs w:val="24"/>
        </w:rPr>
        <w:t>2</w:t>
      </w:r>
      <w:r>
        <w:rPr>
          <w:color w:val="000000"/>
          <w:sz w:val="24"/>
          <w:szCs w:val="24"/>
        </w:rPr>
        <w:t>月</w:t>
      </w:r>
      <w:r>
        <w:rPr>
          <w:color w:val="000000"/>
          <w:sz w:val="24"/>
          <w:szCs w:val="24"/>
        </w:rPr>
        <w:t>3</w:t>
      </w:r>
      <w:r>
        <w:rPr>
          <w:color w:val="000000"/>
          <w:sz w:val="24"/>
          <w:szCs w:val="24"/>
        </w:rPr>
        <w:t>日上调</w:t>
      </w:r>
      <w:r>
        <w:rPr>
          <w:color w:val="000000"/>
          <w:sz w:val="24"/>
          <w:szCs w:val="24"/>
        </w:rPr>
        <w:t>MLF</w:t>
      </w:r>
      <w:r>
        <w:rPr>
          <w:color w:val="000000"/>
          <w:sz w:val="24"/>
          <w:szCs w:val="24"/>
        </w:rPr>
        <w:t>和公开市场操作利率，资金</w:t>
      </w:r>
      <w:proofErr w:type="gramStart"/>
      <w:r>
        <w:rPr>
          <w:color w:val="000000"/>
          <w:sz w:val="24"/>
          <w:szCs w:val="24"/>
        </w:rPr>
        <w:t>面整体</w:t>
      </w:r>
      <w:proofErr w:type="gramEnd"/>
      <w:r>
        <w:rPr>
          <w:color w:val="000000"/>
          <w:sz w:val="24"/>
          <w:szCs w:val="24"/>
        </w:rPr>
        <w:t>处于紧平衡状态，资金利率在每月</w:t>
      </w:r>
      <w:r>
        <w:rPr>
          <w:color w:val="000000"/>
          <w:sz w:val="24"/>
          <w:szCs w:val="24"/>
        </w:rPr>
        <w:t>7-9</w:t>
      </w:r>
      <w:r>
        <w:rPr>
          <w:color w:val="000000"/>
          <w:sz w:val="24"/>
          <w:szCs w:val="24"/>
        </w:rPr>
        <w:t>日、</w:t>
      </w:r>
      <w:r>
        <w:rPr>
          <w:color w:val="000000"/>
          <w:sz w:val="24"/>
          <w:szCs w:val="24"/>
        </w:rPr>
        <w:t>18-21</w:t>
      </w:r>
      <w:r>
        <w:rPr>
          <w:color w:val="000000"/>
          <w:sz w:val="24"/>
          <w:szCs w:val="24"/>
        </w:rPr>
        <w:t>日以及月末出现不同程度的抬升。现券收益率呈现震荡上行态势，首次政策利率上调令十年国债收益率上行至</w:t>
      </w:r>
      <w:r>
        <w:rPr>
          <w:color w:val="000000"/>
          <w:sz w:val="24"/>
          <w:szCs w:val="24"/>
        </w:rPr>
        <w:t>3.49%</w:t>
      </w:r>
      <w:r>
        <w:rPr>
          <w:color w:val="000000"/>
          <w:sz w:val="24"/>
          <w:szCs w:val="24"/>
        </w:rPr>
        <w:t>，十年国开收益率上行至</w:t>
      </w:r>
      <w:r>
        <w:rPr>
          <w:color w:val="000000"/>
          <w:sz w:val="24"/>
          <w:szCs w:val="24"/>
        </w:rPr>
        <w:t>4.19%</w:t>
      </w:r>
      <w:r>
        <w:rPr>
          <w:color w:val="000000"/>
          <w:sz w:val="24"/>
          <w:szCs w:val="24"/>
        </w:rPr>
        <w:t>的阶段高点；</w:t>
      </w:r>
      <w:r>
        <w:rPr>
          <w:color w:val="000000"/>
          <w:sz w:val="24"/>
          <w:szCs w:val="24"/>
        </w:rPr>
        <w:t>2</w:t>
      </w:r>
      <w:r>
        <w:rPr>
          <w:color w:val="000000"/>
          <w:sz w:val="24"/>
          <w:szCs w:val="24"/>
        </w:rPr>
        <w:t>月中旬现券收益率开始回落，国债期货</w:t>
      </w:r>
      <w:proofErr w:type="gramStart"/>
      <w:r>
        <w:rPr>
          <w:color w:val="000000"/>
          <w:sz w:val="24"/>
          <w:szCs w:val="24"/>
        </w:rPr>
        <w:t>在基差修复</w:t>
      </w:r>
      <w:proofErr w:type="gramEnd"/>
      <w:r>
        <w:rPr>
          <w:color w:val="000000"/>
          <w:sz w:val="24"/>
          <w:szCs w:val="24"/>
        </w:rPr>
        <w:t>下连续大涨对债市情绪也有一定推动</w:t>
      </w:r>
      <w:r>
        <w:rPr>
          <w:color w:val="000000"/>
          <w:sz w:val="24"/>
          <w:szCs w:val="24"/>
        </w:rPr>
        <w:t>作用，</w:t>
      </w:r>
      <w:r>
        <w:rPr>
          <w:color w:val="000000"/>
          <w:sz w:val="24"/>
          <w:szCs w:val="24"/>
        </w:rPr>
        <w:t>2</w:t>
      </w:r>
      <w:r>
        <w:rPr>
          <w:color w:val="000000"/>
          <w:sz w:val="24"/>
          <w:szCs w:val="24"/>
        </w:rPr>
        <w:t>月末十年国债及国开收益率分别下行至</w:t>
      </w:r>
      <w:r>
        <w:rPr>
          <w:color w:val="000000"/>
          <w:sz w:val="24"/>
          <w:szCs w:val="24"/>
        </w:rPr>
        <w:t>3.29%</w:t>
      </w:r>
      <w:r>
        <w:rPr>
          <w:color w:val="000000"/>
          <w:sz w:val="24"/>
          <w:szCs w:val="24"/>
        </w:rPr>
        <w:t>和</w:t>
      </w:r>
      <w:r>
        <w:rPr>
          <w:color w:val="000000"/>
          <w:sz w:val="24"/>
          <w:szCs w:val="24"/>
        </w:rPr>
        <w:t>4.06%</w:t>
      </w:r>
      <w:r>
        <w:rPr>
          <w:color w:val="000000"/>
          <w:sz w:val="24"/>
          <w:szCs w:val="24"/>
        </w:rPr>
        <w:t>；</w:t>
      </w:r>
      <w:r>
        <w:rPr>
          <w:color w:val="000000"/>
          <w:sz w:val="24"/>
          <w:szCs w:val="24"/>
        </w:rPr>
        <w:t>3</w:t>
      </w:r>
      <w:r>
        <w:rPr>
          <w:color w:val="000000"/>
          <w:sz w:val="24"/>
          <w:szCs w:val="24"/>
        </w:rPr>
        <w:t>月受联储加息预期升温影响，国</w:t>
      </w:r>
      <w:proofErr w:type="gramStart"/>
      <w:r>
        <w:rPr>
          <w:color w:val="000000"/>
          <w:sz w:val="24"/>
          <w:szCs w:val="24"/>
        </w:rPr>
        <w:t>内债市</w:t>
      </w:r>
      <w:proofErr w:type="gramEnd"/>
      <w:r>
        <w:rPr>
          <w:color w:val="000000"/>
          <w:sz w:val="24"/>
          <w:szCs w:val="24"/>
        </w:rPr>
        <w:t>收益率再度上调，但随着联储加息及央行再度上调政策利率两件事情靴子落地，现券市场收益率回落，月末</w:t>
      </w:r>
      <w:r>
        <w:rPr>
          <w:color w:val="000000"/>
          <w:sz w:val="24"/>
          <w:szCs w:val="24"/>
        </w:rPr>
        <w:t>MPA</w:t>
      </w:r>
      <w:r>
        <w:rPr>
          <w:color w:val="000000"/>
          <w:sz w:val="24"/>
          <w:szCs w:val="24"/>
        </w:rPr>
        <w:t>考核尽管令非</w:t>
      </w:r>
      <w:proofErr w:type="gramStart"/>
      <w:r>
        <w:rPr>
          <w:color w:val="000000"/>
          <w:sz w:val="24"/>
          <w:szCs w:val="24"/>
        </w:rPr>
        <w:t>银资金</w:t>
      </w:r>
      <w:proofErr w:type="gramEnd"/>
      <w:r>
        <w:rPr>
          <w:color w:val="000000"/>
          <w:sz w:val="24"/>
          <w:szCs w:val="24"/>
        </w:rPr>
        <w:t>面高度紧张，但因被市场预期未对现券形成过大冲击。权益市场方面，</w:t>
      </w:r>
      <w:r>
        <w:rPr>
          <w:color w:val="000000"/>
          <w:sz w:val="24"/>
          <w:szCs w:val="24"/>
        </w:rPr>
        <w:t>1</w:t>
      </w:r>
      <w:r>
        <w:rPr>
          <w:color w:val="000000"/>
          <w:sz w:val="24"/>
          <w:szCs w:val="24"/>
        </w:rPr>
        <w:t>月整体处于调整阶段，随后一带一路、消费、苹果产业链、新能源汽车等主题发力，带动大盘缓步上涨，</w:t>
      </w:r>
      <w:r>
        <w:rPr>
          <w:color w:val="000000"/>
          <w:sz w:val="24"/>
          <w:szCs w:val="24"/>
        </w:rPr>
        <w:t>3</w:t>
      </w:r>
      <w:r>
        <w:rPr>
          <w:color w:val="000000"/>
          <w:sz w:val="24"/>
          <w:szCs w:val="24"/>
        </w:rPr>
        <w:t>月底市场寻顶，创业板出现较大幅度回调。</w:t>
      </w:r>
    </w:p>
    <w:p w:rsidR="003426DE" w:rsidRDefault="00D12BB5">
      <w:pPr>
        <w:spacing w:before="29" w:line="288" w:lineRule="auto"/>
        <w:ind w:firstLineChars="200" w:firstLine="480"/>
        <w:rPr>
          <w:color w:val="000000"/>
          <w:sz w:val="24"/>
          <w:szCs w:val="24"/>
        </w:rPr>
      </w:pPr>
      <w:r>
        <w:rPr>
          <w:color w:val="000000"/>
          <w:sz w:val="24"/>
          <w:szCs w:val="24"/>
        </w:rPr>
        <w:t>我们认为，经济增长在今年上半年难以出现明显回落，央行去杠杆将令资金面维持紧平衡状态，债市或难有</w:t>
      </w:r>
      <w:r>
        <w:rPr>
          <w:color w:val="000000"/>
          <w:sz w:val="24"/>
          <w:szCs w:val="24"/>
        </w:rPr>
        <w:t>趋势性机会。因此组合操作中我们不断降低长久期信用债配置比例，增配收益较好的高等级存单及</w:t>
      </w:r>
      <w:proofErr w:type="gramStart"/>
      <w:r>
        <w:rPr>
          <w:color w:val="000000"/>
          <w:sz w:val="24"/>
          <w:szCs w:val="24"/>
        </w:rPr>
        <w:t>短久期高</w:t>
      </w:r>
      <w:proofErr w:type="gramEnd"/>
      <w:r>
        <w:rPr>
          <w:color w:val="000000"/>
          <w:sz w:val="24"/>
          <w:szCs w:val="24"/>
        </w:rPr>
        <w:t>等级信用，辅以利率债波段赚取超额收益。在权益配置方面，我们于</w:t>
      </w:r>
      <w:r>
        <w:rPr>
          <w:color w:val="000000"/>
          <w:sz w:val="24"/>
          <w:szCs w:val="24"/>
        </w:rPr>
        <w:t>2</w:t>
      </w:r>
      <w:r>
        <w:rPr>
          <w:color w:val="000000"/>
          <w:sz w:val="24"/>
          <w:szCs w:val="24"/>
        </w:rPr>
        <w:t>月开始布局一带一路及地产产业链相关的消费板块，取得了较好收益。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展望后市，我们认为在顺应大方向、确保自身资产负债安全稳定的同时，如何抓住市场情绪波动的投资机会，在波动中更好地改善资产负债结构，将是</w:t>
      </w:r>
      <w:r w:rsidRPr="00414345">
        <w:rPr>
          <w:color w:val="000000"/>
          <w:sz w:val="24"/>
          <w:szCs w:val="24"/>
        </w:rPr>
        <w:t>2017</w:t>
      </w:r>
      <w:r w:rsidRPr="00414345">
        <w:rPr>
          <w:color w:val="000000"/>
          <w:sz w:val="24"/>
          <w:szCs w:val="24"/>
        </w:rPr>
        <w:t>年投资中最</w:t>
      </w:r>
      <w:r w:rsidRPr="00414345">
        <w:rPr>
          <w:color w:val="000000"/>
          <w:sz w:val="24"/>
          <w:szCs w:val="24"/>
        </w:rPr>
        <w:lastRenderedPageBreak/>
        <w:t>值得关注的事情。二季度债券市场在前期利空落地后或将迎来阶段性反弹，但在经济没有出现明显下行前，金融去杠杆将制约债券收益率的下行空间，因此信用债配置中高等级</w:t>
      </w:r>
      <w:proofErr w:type="gramStart"/>
      <w:r w:rsidRPr="00414345">
        <w:rPr>
          <w:color w:val="000000"/>
          <w:sz w:val="24"/>
          <w:szCs w:val="24"/>
        </w:rPr>
        <w:t>短久期</w:t>
      </w:r>
      <w:proofErr w:type="gramEnd"/>
      <w:r w:rsidRPr="00414345">
        <w:rPr>
          <w:color w:val="000000"/>
          <w:sz w:val="24"/>
          <w:szCs w:val="24"/>
        </w:rPr>
        <w:t>可能相对更优。利率</w:t>
      </w:r>
      <w:proofErr w:type="gramStart"/>
      <w:r w:rsidRPr="00414345">
        <w:rPr>
          <w:color w:val="000000"/>
          <w:sz w:val="24"/>
          <w:szCs w:val="24"/>
        </w:rPr>
        <w:t>债操作</w:t>
      </w:r>
      <w:proofErr w:type="gramEnd"/>
      <w:r w:rsidRPr="00414345">
        <w:rPr>
          <w:color w:val="000000"/>
          <w:sz w:val="24"/>
          <w:szCs w:val="24"/>
        </w:rPr>
        <w:t>方面，长债的趋势性机会还未出现前，我们将侧重于博弈市场对已知风险的预期程度，寻找区间博弈机会。权益方面，</w:t>
      </w:r>
      <w:r w:rsidRPr="00414345">
        <w:rPr>
          <w:color w:val="000000"/>
          <w:sz w:val="24"/>
          <w:szCs w:val="24"/>
        </w:rPr>
        <w:t>2017</w:t>
      </w:r>
      <w:r w:rsidRPr="00414345">
        <w:rPr>
          <w:color w:val="000000"/>
          <w:sz w:val="24"/>
          <w:szCs w:val="24"/>
        </w:rPr>
        <w:t>年二季度我们将重点</w:t>
      </w:r>
      <w:proofErr w:type="gramStart"/>
      <w:r w:rsidRPr="00414345">
        <w:rPr>
          <w:color w:val="000000"/>
          <w:sz w:val="24"/>
          <w:szCs w:val="24"/>
        </w:rPr>
        <w:t>关注混改和</w:t>
      </w:r>
      <w:proofErr w:type="gramEnd"/>
      <w:r w:rsidRPr="00414345">
        <w:rPr>
          <w:color w:val="000000"/>
          <w:sz w:val="24"/>
          <w:szCs w:val="24"/>
        </w:rPr>
        <w:t>电子产业链、</w:t>
      </w:r>
      <w:r w:rsidRPr="00414345">
        <w:rPr>
          <w:color w:val="000000"/>
          <w:sz w:val="24"/>
          <w:szCs w:val="24"/>
        </w:rPr>
        <w:t>PPP</w:t>
      </w:r>
      <w:r w:rsidRPr="00414345">
        <w:rPr>
          <w:color w:val="000000"/>
          <w:sz w:val="24"/>
          <w:szCs w:val="24"/>
        </w:rPr>
        <w:t>等行业表现。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1.004</w:t>
      </w:r>
      <w:r w:rsidRPr="00414345">
        <w:rPr>
          <w:color w:val="000000"/>
          <w:sz w:val="24"/>
          <w:szCs w:val="24"/>
        </w:rPr>
        <w:t>元，本报告期份额净值增长率为</w:t>
      </w:r>
      <w:r w:rsidRPr="00414345">
        <w:rPr>
          <w:color w:val="000000"/>
          <w:sz w:val="24"/>
          <w:szCs w:val="24"/>
        </w:rPr>
        <w:t>0.30%</w:t>
      </w:r>
      <w:r w:rsidRPr="00414345">
        <w:rPr>
          <w:color w:val="000000"/>
          <w:sz w:val="24"/>
          <w:szCs w:val="24"/>
        </w:rPr>
        <w:t>，同期业绩比较基准增长率为</w:t>
      </w:r>
      <w:r w:rsidRPr="00414345">
        <w:rPr>
          <w:color w:val="000000"/>
          <w:sz w:val="24"/>
          <w:szCs w:val="24"/>
        </w:rPr>
        <w:t>0.69%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12,235,332.52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12,235,332.52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1,121,726,600.00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97.69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1,121,726,600.00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97.69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3,028,815.36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0.26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11,300,973.53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0.98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1,148,291,721.41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w:t>
            </w:r>
            <w:r w:rsidRPr="00414345">
              <w:rPr>
                <w:sz w:val="24"/>
                <w:szCs w:val="24"/>
              </w:rPr>
              <w:lastRenderedPageBreak/>
              <w:t>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6,262,932.52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3,450,000.00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12,235,332.52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w:t>
            </w:r>
          </w:p>
        </w:tc>
      </w:tr>
    </w:tbl>
    <w:p w:rsidR="001241E3" w:rsidRDefault="001241E3"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426DE">
        <w:trPr>
          <w:jc w:val="center"/>
        </w:trPr>
        <w:tc>
          <w:tcPr>
            <w:tcW w:w="855" w:type="dxa"/>
            <w:vAlign w:val="center"/>
          </w:tcPr>
          <w:p w:rsidR="003426DE" w:rsidRDefault="00D12BB5">
            <w:pPr>
              <w:jc w:val="center"/>
            </w:pPr>
            <w:r>
              <w:rPr>
                <w:color w:val="000000"/>
                <w:sz w:val="24"/>
                <w:szCs w:val="24"/>
              </w:rPr>
              <w:t>1</w:t>
            </w:r>
          </w:p>
        </w:tc>
        <w:tc>
          <w:tcPr>
            <w:tcW w:w="1334" w:type="dxa"/>
            <w:vAlign w:val="center"/>
          </w:tcPr>
          <w:p w:rsidR="003426DE" w:rsidRDefault="00D12BB5">
            <w:pPr>
              <w:jc w:val="center"/>
            </w:pPr>
            <w:r>
              <w:rPr>
                <w:color w:val="000000"/>
                <w:sz w:val="24"/>
                <w:szCs w:val="24"/>
              </w:rPr>
              <w:t>000928</w:t>
            </w:r>
          </w:p>
        </w:tc>
        <w:tc>
          <w:tcPr>
            <w:tcW w:w="1777" w:type="dxa"/>
            <w:vAlign w:val="center"/>
          </w:tcPr>
          <w:p w:rsidR="003426DE" w:rsidRDefault="00D12BB5">
            <w:pPr>
              <w:jc w:val="center"/>
            </w:pPr>
            <w:r>
              <w:rPr>
                <w:color w:val="000000"/>
                <w:sz w:val="24"/>
                <w:szCs w:val="24"/>
              </w:rPr>
              <w:t>中</w:t>
            </w:r>
            <w:proofErr w:type="gramStart"/>
            <w:r>
              <w:rPr>
                <w:color w:val="000000"/>
                <w:sz w:val="24"/>
                <w:szCs w:val="24"/>
              </w:rPr>
              <w:t>钢国际</w:t>
            </w:r>
            <w:proofErr w:type="gramEnd"/>
          </w:p>
        </w:tc>
        <w:tc>
          <w:tcPr>
            <w:tcW w:w="1334" w:type="dxa"/>
            <w:vAlign w:val="center"/>
          </w:tcPr>
          <w:p w:rsidR="003426DE" w:rsidRDefault="00D12BB5">
            <w:pPr>
              <w:jc w:val="right"/>
            </w:pPr>
            <w:r>
              <w:rPr>
                <w:color w:val="000000"/>
                <w:sz w:val="24"/>
                <w:szCs w:val="24"/>
              </w:rPr>
              <w:t>150,000</w:t>
            </w:r>
          </w:p>
        </w:tc>
        <w:tc>
          <w:tcPr>
            <w:tcW w:w="1924" w:type="dxa"/>
            <w:vAlign w:val="center"/>
          </w:tcPr>
          <w:p w:rsidR="003426DE" w:rsidRDefault="00D12BB5">
            <w:pPr>
              <w:jc w:val="right"/>
            </w:pPr>
            <w:r>
              <w:rPr>
                <w:color w:val="000000"/>
                <w:sz w:val="24"/>
                <w:szCs w:val="24"/>
              </w:rPr>
              <w:t>3,450,000.00</w:t>
            </w:r>
          </w:p>
        </w:tc>
        <w:tc>
          <w:tcPr>
            <w:tcW w:w="1644" w:type="dxa"/>
            <w:vAlign w:val="center"/>
          </w:tcPr>
          <w:p w:rsidR="003426DE" w:rsidRDefault="00D12BB5">
            <w:pPr>
              <w:jc w:val="right"/>
            </w:pPr>
            <w:r>
              <w:rPr>
                <w:color w:val="000000"/>
                <w:sz w:val="24"/>
                <w:szCs w:val="24"/>
              </w:rPr>
              <w:t>0.39</w:t>
            </w:r>
          </w:p>
        </w:tc>
      </w:tr>
      <w:tr w:rsidR="003426DE">
        <w:trPr>
          <w:jc w:val="center"/>
        </w:trPr>
        <w:tc>
          <w:tcPr>
            <w:tcW w:w="855" w:type="dxa"/>
            <w:vAlign w:val="center"/>
          </w:tcPr>
          <w:p w:rsidR="003426DE" w:rsidRDefault="00D12BB5">
            <w:pPr>
              <w:jc w:val="center"/>
            </w:pPr>
            <w:r>
              <w:rPr>
                <w:color w:val="000000"/>
                <w:sz w:val="24"/>
                <w:szCs w:val="24"/>
              </w:rPr>
              <w:lastRenderedPageBreak/>
              <w:t>2</w:t>
            </w:r>
          </w:p>
        </w:tc>
        <w:tc>
          <w:tcPr>
            <w:tcW w:w="1334" w:type="dxa"/>
            <w:vAlign w:val="center"/>
          </w:tcPr>
          <w:p w:rsidR="003426DE" w:rsidRDefault="00D12BB5">
            <w:pPr>
              <w:jc w:val="center"/>
            </w:pPr>
            <w:r>
              <w:rPr>
                <w:color w:val="000000"/>
                <w:sz w:val="24"/>
                <w:szCs w:val="24"/>
              </w:rPr>
              <w:t>000821</w:t>
            </w:r>
          </w:p>
        </w:tc>
        <w:tc>
          <w:tcPr>
            <w:tcW w:w="1777" w:type="dxa"/>
            <w:vAlign w:val="center"/>
          </w:tcPr>
          <w:p w:rsidR="003426DE" w:rsidRDefault="00D12BB5">
            <w:pPr>
              <w:jc w:val="center"/>
            </w:pPr>
            <w:r>
              <w:rPr>
                <w:color w:val="000000"/>
                <w:sz w:val="24"/>
                <w:szCs w:val="24"/>
              </w:rPr>
              <w:t>京山轻机</w:t>
            </w:r>
          </w:p>
        </w:tc>
        <w:tc>
          <w:tcPr>
            <w:tcW w:w="1334" w:type="dxa"/>
            <w:vAlign w:val="center"/>
          </w:tcPr>
          <w:p w:rsidR="003426DE" w:rsidRDefault="00D12BB5">
            <w:pPr>
              <w:jc w:val="right"/>
            </w:pPr>
            <w:r>
              <w:rPr>
                <w:color w:val="000000"/>
                <w:sz w:val="24"/>
                <w:szCs w:val="24"/>
              </w:rPr>
              <w:t>201,409</w:t>
            </w:r>
          </w:p>
        </w:tc>
        <w:tc>
          <w:tcPr>
            <w:tcW w:w="1924" w:type="dxa"/>
            <w:vAlign w:val="center"/>
          </w:tcPr>
          <w:p w:rsidR="003426DE" w:rsidRDefault="00D12BB5">
            <w:pPr>
              <w:jc w:val="right"/>
            </w:pPr>
            <w:r>
              <w:rPr>
                <w:color w:val="000000"/>
                <w:sz w:val="24"/>
                <w:szCs w:val="24"/>
              </w:rPr>
              <w:t>3,190,318.56</w:t>
            </w:r>
          </w:p>
        </w:tc>
        <w:tc>
          <w:tcPr>
            <w:tcW w:w="1644" w:type="dxa"/>
            <w:vAlign w:val="center"/>
          </w:tcPr>
          <w:p w:rsidR="003426DE" w:rsidRDefault="00D12BB5">
            <w:pPr>
              <w:jc w:val="right"/>
            </w:pPr>
            <w:r>
              <w:rPr>
                <w:color w:val="000000"/>
                <w:sz w:val="24"/>
                <w:szCs w:val="24"/>
              </w:rPr>
              <w:t>0.36</w:t>
            </w:r>
          </w:p>
        </w:tc>
      </w:tr>
      <w:tr w:rsidR="003426DE">
        <w:trPr>
          <w:jc w:val="center"/>
        </w:trPr>
        <w:tc>
          <w:tcPr>
            <w:tcW w:w="855" w:type="dxa"/>
            <w:vAlign w:val="center"/>
          </w:tcPr>
          <w:p w:rsidR="003426DE" w:rsidRDefault="00D12BB5">
            <w:pPr>
              <w:jc w:val="center"/>
            </w:pPr>
            <w:r>
              <w:rPr>
                <w:color w:val="000000"/>
                <w:sz w:val="24"/>
                <w:szCs w:val="24"/>
              </w:rPr>
              <w:t>3</w:t>
            </w:r>
          </w:p>
        </w:tc>
        <w:tc>
          <w:tcPr>
            <w:tcW w:w="1334" w:type="dxa"/>
            <w:vAlign w:val="center"/>
          </w:tcPr>
          <w:p w:rsidR="003426DE" w:rsidRDefault="00D12BB5">
            <w:pPr>
              <w:jc w:val="center"/>
            </w:pPr>
            <w:r>
              <w:rPr>
                <w:color w:val="000000"/>
                <w:sz w:val="24"/>
                <w:szCs w:val="24"/>
              </w:rPr>
              <w:t>603018</w:t>
            </w:r>
          </w:p>
        </w:tc>
        <w:tc>
          <w:tcPr>
            <w:tcW w:w="1777" w:type="dxa"/>
            <w:vAlign w:val="center"/>
          </w:tcPr>
          <w:p w:rsidR="003426DE" w:rsidRDefault="00D12BB5">
            <w:pPr>
              <w:jc w:val="center"/>
            </w:pPr>
            <w:r>
              <w:rPr>
                <w:color w:val="000000"/>
                <w:sz w:val="24"/>
                <w:szCs w:val="24"/>
              </w:rPr>
              <w:t>中</w:t>
            </w:r>
            <w:proofErr w:type="gramStart"/>
            <w:r>
              <w:rPr>
                <w:color w:val="000000"/>
                <w:sz w:val="24"/>
                <w:szCs w:val="24"/>
              </w:rPr>
              <w:t>设集团</w:t>
            </w:r>
            <w:proofErr w:type="gramEnd"/>
          </w:p>
        </w:tc>
        <w:tc>
          <w:tcPr>
            <w:tcW w:w="1334" w:type="dxa"/>
            <w:vAlign w:val="center"/>
          </w:tcPr>
          <w:p w:rsidR="003426DE" w:rsidRDefault="00D12BB5">
            <w:pPr>
              <w:jc w:val="right"/>
            </w:pPr>
            <w:r>
              <w:rPr>
                <w:color w:val="000000"/>
                <w:sz w:val="24"/>
                <w:szCs w:val="24"/>
              </w:rPr>
              <w:t>60,000</w:t>
            </w:r>
          </w:p>
        </w:tc>
        <w:tc>
          <w:tcPr>
            <w:tcW w:w="1924" w:type="dxa"/>
            <w:vAlign w:val="center"/>
          </w:tcPr>
          <w:p w:rsidR="003426DE" w:rsidRDefault="00D12BB5">
            <w:pPr>
              <w:jc w:val="right"/>
            </w:pPr>
            <w:r>
              <w:rPr>
                <w:color w:val="000000"/>
                <w:sz w:val="24"/>
                <w:szCs w:val="24"/>
              </w:rPr>
              <w:t>2,199,000.00</w:t>
            </w:r>
          </w:p>
        </w:tc>
        <w:tc>
          <w:tcPr>
            <w:tcW w:w="1644" w:type="dxa"/>
            <w:vAlign w:val="center"/>
          </w:tcPr>
          <w:p w:rsidR="003426DE" w:rsidRDefault="00D12BB5">
            <w:pPr>
              <w:jc w:val="right"/>
            </w:pPr>
            <w:r>
              <w:rPr>
                <w:color w:val="000000"/>
                <w:sz w:val="24"/>
                <w:szCs w:val="24"/>
              </w:rPr>
              <w:t>0.25</w:t>
            </w:r>
          </w:p>
        </w:tc>
      </w:tr>
      <w:tr w:rsidR="003426DE">
        <w:trPr>
          <w:jc w:val="center"/>
        </w:trPr>
        <w:tc>
          <w:tcPr>
            <w:tcW w:w="855" w:type="dxa"/>
            <w:vAlign w:val="center"/>
          </w:tcPr>
          <w:p w:rsidR="003426DE" w:rsidRDefault="00D12BB5">
            <w:pPr>
              <w:jc w:val="center"/>
            </w:pPr>
            <w:r>
              <w:rPr>
                <w:color w:val="000000"/>
                <w:sz w:val="24"/>
                <w:szCs w:val="24"/>
              </w:rPr>
              <w:t>4</w:t>
            </w:r>
          </w:p>
        </w:tc>
        <w:tc>
          <w:tcPr>
            <w:tcW w:w="1334" w:type="dxa"/>
            <w:vAlign w:val="center"/>
          </w:tcPr>
          <w:p w:rsidR="003426DE" w:rsidRDefault="00D12BB5">
            <w:pPr>
              <w:jc w:val="center"/>
            </w:pPr>
            <w:r>
              <w:rPr>
                <w:color w:val="000000"/>
                <w:sz w:val="24"/>
                <w:szCs w:val="24"/>
              </w:rPr>
              <w:t>603008</w:t>
            </w:r>
          </w:p>
        </w:tc>
        <w:tc>
          <w:tcPr>
            <w:tcW w:w="1777" w:type="dxa"/>
            <w:vAlign w:val="center"/>
          </w:tcPr>
          <w:p w:rsidR="003426DE" w:rsidRDefault="00D12BB5">
            <w:pPr>
              <w:jc w:val="center"/>
            </w:pPr>
            <w:r>
              <w:rPr>
                <w:color w:val="000000"/>
                <w:sz w:val="24"/>
                <w:szCs w:val="24"/>
              </w:rPr>
              <w:t>喜临门</w:t>
            </w:r>
          </w:p>
        </w:tc>
        <w:tc>
          <w:tcPr>
            <w:tcW w:w="1334" w:type="dxa"/>
            <w:vAlign w:val="center"/>
          </w:tcPr>
          <w:p w:rsidR="003426DE" w:rsidRDefault="00D12BB5">
            <w:pPr>
              <w:jc w:val="right"/>
            </w:pPr>
            <w:r>
              <w:rPr>
                <w:color w:val="000000"/>
                <w:sz w:val="24"/>
                <w:szCs w:val="24"/>
              </w:rPr>
              <w:t>80,000</w:t>
            </w:r>
          </w:p>
        </w:tc>
        <w:tc>
          <w:tcPr>
            <w:tcW w:w="1924" w:type="dxa"/>
            <w:vAlign w:val="center"/>
          </w:tcPr>
          <w:p w:rsidR="003426DE" w:rsidRDefault="00D12BB5">
            <w:pPr>
              <w:jc w:val="right"/>
            </w:pPr>
            <w:r>
              <w:rPr>
                <w:color w:val="000000"/>
                <w:sz w:val="24"/>
                <w:szCs w:val="24"/>
              </w:rPr>
              <w:t>1,622,400.00</w:t>
            </w:r>
          </w:p>
        </w:tc>
        <w:tc>
          <w:tcPr>
            <w:tcW w:w="1644" w:type="dxa"/>
            <w:vAlign w:val="center"/>
          </w:tcPr>
          <w:p w:rsidR="003426DE" w:rsidRDefault="00D12BB5">
            <w:pPr>
              <w:jc w:val="right"/>
            </w:pPr>
            <w:r>
              <w:rPr>
                <w:color w:val="000000"/>
                <w:sz w:val="24"/>
                <w:szCs w:val="24"/>
              </w:rPr>
              <w:t>0.18</w:t>
            </w:r>
          </w:p>
        </w:tc>
      </w:tr>
      <w:tr w:rsidR="003426DE">
        <w:trPr>
          <w:jc w:val="center"/>
        </w:trPr>
        <w:tc>
          <w:tcPr>
            <w:tcW w:w="855" w:type="dxa"/>
            <w:vAlign w:val="center"/>
          </w:tcPr>
          <w:p w:rsidR="003426DE" w:rsidRDefault="00D12BB5">
            <w:pPr>
              <w:jc w:val="center"/>
            </w:pPr>
            <w:r>
              <w:rPr>
                <w:color w:val="000000"/>
                <w:sz w:val="24"/>
                <w:szCs w:val="24"/>
              </w:rPr>
              <w:t>5</w:t>
            </w:r>
          </w:p>
        </w:tc>
        <w:tc>
          <w:tcPr>
            <w:tcW w:w="1334" w:type="dxa"/>
            <w:vAlign w:val="center"/>
          </w:tcPr>
          <w:p w:rsidR="003426DE" w:rsidRDefault="00D12BB5">
            <w:pPr>
              <w:jc w:val="center"/>
            </w:pPr>
            <w:r>
              <w:rPr>
                <w:color w:val="000000"/>
                <w:sz w:val="24"/>
                <w:szCs w:val="24"/>
              </w:rPr>
              <w:t>603556</w:t>
            </w:r>
          </w:p>
        </w:tc>
        <w:tc>
          <w:tcPr>
            <w:tcW w:w="1777" w:type="dxa"/>
            <w:vAlign w:val="center"/>
          </w:tcPr>
          <w:p w:rsidR="003426DE" w:rsidRDefault="00D12BB5">
            <w:pPr>
              <w:jc w:val="center"/>
            </w:pPr>
            <w:r>
              <w:rPr>
                <w:color w:val="000000"/>
                <w:sz w:val="24"/>
                <w:szCs w:val="24"/>
              </w:rPr>
              <w:t>海兴电力</w:t>
            </w:r>
          </w:p>
        </w:tc>
        <w:tc>
          <w:tcPr>
            <w:tcW w:w="1334" w:type="dxa"/>
            <w:vAlign w:val="center"/>
          </w:tcPr>
          <w:p w:rsidR="003426DE" w:rsidRDefault="00D12BB5">
            <w:pPr>
              <w:jc w:val="right"/>
            </w:pPr>
            <w:r>
              <w:rPr>
                <w:color w:val="000000"/>
                <w:sz w:val="24"/>
                <w:szCs w:val="24"/>
              </w:rPr>
              <w:t>29,926</w:t>
            </w:r>
          </w:p>
        </w:tc>
        <w:tc>
          <w:tcPr>
            <w:tcW w:w="1924" w:type="dxa"/>
            <w:vAlign w:val="center"/>
          </w:tcPr>
          <w:p w:rsidR="003426DE" w:rsidRDefault="00D12BB5">
            <w:pPr>
              <w:jc w:val="right"/>
            </w:pPr>
            <w:r>
              <w:rPr>
                <w:color w:val="000000"/>
                <w:sz w:val="24"/>
                <w:szCs w:val="24"/>
              </w:rPr>
              <w:t>1,450,213.96</w:t>
            </w:r>
          </w:p>
        </w:tc>
        <w:tc>
          <w:tcPr>
            <w:tcW w:w="1644" w:type="dxa"/>
            <w:vAlign w:val="center"/>
          </w:tcPr>
          <w:p w:rsidR="003426DE" w:rsidRDefault="00D12BB5">
            <w:pPr>
              <w:jc w:val="right"/>
            </w:pPr>
            <w:r>
              <w:rPr>
                <w:color w:val="000000"/>
                <w:sz w:val="24"/>
                <w:szCs w:val="24"/>
              </w:rPr>
              <w:t>0.16</w:t>
            </w:r>
          </w:p>
        </w:tc>
      </w:tr>
      <w:tr w:rsidR="003426DE">
        <w:trPr>
          <w:jc w:val="center"/>
        </w:trPr>
        <w:tc>
          <w:tcPr>
            <w:tcW w:w="855" w:type="dxa"/>
            <w:vAlign w:val="center"/>
          </w:tcPr>
          <w:p w:rsidR="003426DE" w:rsidRDefault="00D12BB5">
            <w:pPr>
              <w:jc w:val="center"/>
            </w:pPr>
            <w:r>
              <w:rPr>
                <w:color w:val="000000"/>
                <w:sz w:val="24"/>
                <w:szCs w:val="24"/>
              </w:rPr>
              <w:t>6</w:t>
            </w:r>
          </w:p>
        </w:tc>
        <w:tc>
          <w:tcPr>
            <w:tcW w:w="1334" w:type="dxa"/>
            <w:vAlign w:val="center"/>
          </w:tcPr>
          <w:p w:rsidR="003426DE" w:rsidRDefault="00D12BB5">
            <w:pPr>
              <w:jc w:val="center"/>
            </w:pPr>
            <w:r>
              <w:rPr>
                <w:color w:val="000000"/>
                <w:sz w:val="24"/>
                <w:szCs w:val="24"/>
              </w:rPr>
              <w:t>600617</w:t>
            </w:r>
          </w:p>
        </w:tc>
        <w:tc>
          <w:tcPr>
            <w:tcW w:w="1777" w:type="dxa"/>
            <w:vAlign w:val="center"/>
          </w:tcPr>
          <w:p w:rsidR="003426DE" w:rsidRDefault="00D12BB5">
            <w:pPr>
              <w:jc w:val="center"/>
            </w:pPr>
            <w:r>
              <w:rPr>
                <w:color w:val="000000"/>
                <w:sz w:val="24"/>
                <w:szCs w:val="24"/>
              </w:rPr>
              <w:t>国新能源</w:t>
            </w:r>
          </w:p>
        </w:tc>
        <w:tc>
          <w:tcPr>
            <w:tcW w:w="1334" w:type="dxa"/>
            <w:vAlign w:val="center"/>
          </w:tcPr>
          <w:p w:rsidR="003426DE" w:rsidRDefault="00D12BB5">
            <w:pPr>
              <w:jc w:val="right"/>
            </w:pPr>
            <w:r>
              <w:rPr>
                <w:color w:val="000000"/>
                <w:sz w:val="24"/>
                <w:szCs w:val="24"/>
              </w:rPr>
              <w:t>30,000</w:t>
            </w:r>
          </w:p>
        </w:tc>
        <w:tc>
          <w:tcPr>
            <w:tcW w:w="1924" w:type="dxa"/>
            <w:vAlign w:val="center"/>
          </w:tcPr>
          <w:p w:rsidR="003426DE" w:rsidRDefault="00D12BB5">
            <w:pPr>
              <w:jc w:val="right"/>
            </w:pPr>
            <w:r>
              <w:rPr>
                <w:color w:val="000000"/>
                <w:sz w:val="24"/>
                <w:szCs w:val="24"/>
              </w:rPr>
              <w:t>323,400.00</w:t>
            </w:r>
          </w:p>
        </w:tc>
        <w:tc>
          <w:tcPr>
            <w:tcW w:w="1644" w:type="dxa"/>
            <w:vAlign w:val="center"/>
          </w:tcPr>
          <w:p w:rsidR="003426DE" w:rsidRDefault="00D12BB5">
            <w:pPr>
              <w:jc w:val="right"/>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68,225,000.00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68,225,000.00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5,590,600.00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1,009,835,000.00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114.86</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38,076,000.00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4.33</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1,121,726,600.00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127.59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426DE">
        <w:trPr>
          <w:jc w:val="center"/>
        </w:trPr>
        <w:tc>
          <w:tcPr>
            <w:tcW w:w="850" w:type="dxa"/>
            <w:vAlign w:val="center"/>
          </w:tcPr>
          <w:p w:rsidR="003426DE" w:rsidRDefault="00D12BB5">
            <w:pPr>
              <w:jc w:val="center"/>
            </w:pPr>
            <w:r>
              <w:rPr>
                <w:color w:val="000000"/>
                <w:sz w:val="24"/>
                <w:szCs w:val="24"/>
              </w:rPr>
              <w:t>1</w:t>
            </w:r>
          </w:p>
        </w:tc>
        <w:tc>
          <w:tcPr>
            <w:tcW w:w="1475" w:type="dxa"/>
            <w:vAlign w:val="center"/>
          </w:tcPr>
          <w:p w:rsidR="003426DE" w:rsidRDefault="00D12BB5">
            <w:pPr>
              <w:jc w:val="center"/>
            </w:pPr>
            <w:r>
              <w:rPr>
                <w:color w:val="000000"/>
                <w:sz w:val="24"/>
                <w:szCs w:val="24"/>
              </w:rPr>
              <w:t>111699758</w:t>
            </w:r>
          </w:p>
        </w:tc>
        <w:tc>
          <w:tcPr>
            <w:tcW w:w="1769" w:type="dxa"/>
            <w:vAlign w:val="center"/>
          </w:tcPr>
          <w:p w:rsidR="003426DE" w:rsidRDefault="00D12BB5">
            <w:pPr>
              <w:jc w:val="center"/>
            </w:pPr>
            <w:r>
              <w:rPr>
                <w:color w:val="000000"/>
                <w:sz w:val="24"/>
                <w:szCs w:val="24"/>
              </w:rPr>
              <w:t>16</w:t>
            </w:r>
            <w:r>
              <w:rPr>
                <w:color w:val="000000"/>
                <w:sz w:val="24"/>
                <w:szCs w:val="24"/>
              </w:rPr>
              <w:t>广州农村商业银行</w:t>
            </w:r>
            <w:r>
              <w:rPr>
                <w:color w:val="000000"/>
                <w:sz w:val="24"/>
                <w:szCs w:val="24"/>
              </w:rPr>
              <w:t>CD143</w:t>
            </w:r>
          </w:p>
        </w:tc>
        <w:tc>
          <w:tcPr>
            <w:tcW w:w="1387" w:type="dxa"/>
            <w:vAlign w:val="center"/>
          </w:tcPr>
          <w:p w:rsidR="003426DE" w:rsidRDefault="00D12BB5">
            <w:pPr>
              <w:jc w:val="right"/>
            </w:pPr>
            <w:r>
              <w:rPr>
                <w:color w:val="000000"/>
                <w:sz w:val="24"/>
                <w:szCs w:val="24"/>
              </w:rPr>
              <w:t>1,100,000</w:t>
            </w:r>
          </w:p>
        </w:tc>
        <w:tc>
          <w:tcPr>
            <w:tcW w:w="2150" w:type="dxa"/>
            <w:vAlign w:val="center"/>
          </w:tcPr>
          <w:p w:rsidR="003426DE" w:rsidRDefault="00D12BB5">
            <w:pPr>
              <w:jc w:val="right"/>
            </w:pPr>
            <w:r>
              <w:rPr>
                <w:color w:val="000000"/>
                <w:sz w:val="24"/>
                <w:szCs w:val="24"/>
              </w:rPr>
              <w:t>105,721,000.00</w:t>
            </w:r>
          </w:p>
        </w:tc>
        <w:tc>
          <w:tcPr>
            <w:tcW w:w="1237" w:type="dxa"/>
            <w:vAlign w:val="center"/>
          </w:tcPr>
          <w:p w:rsidR="003426DE" w:rsidRDefault="00D12BB5">
            <w:pPr>
              <w:jc w:val="right"/>
            </w:pPr>
            <w:r>
              <w:rPr>
                <w:color w:val="000000"/>
                <w:sz w:val="24"/>
                <w:szCs w:val="24"/>
              </w:rPr>
              <w:t>12.02</w:t>
            </w:r>
          </w:p>
        </w:tc>
      </w:tr>
      <w:tr w:rsidR="003426DE">
        <w:trPr>
          <w:jc w:val="center"/>
        </w:trPr>
        <w:tc>
          <w:tcPr>
            <w:tcW w:w="850" w:type="dxa"/>
            <w:vAlign w:val="center"/>
          </w:tcPr>
          <w:p w:rsidR="003426DE" w:rsidRDefault="00D12BB5">
            <w:pPr>
              <w:jc w:val="center"/>
            </w:pPr>
            <w:r>
              <w:rPr>
                <w:color w:val="000000"/>
                <w:sz w:val="24"/>
                <w:szCs w:val="24"/>
              </w:rPr>
              <w:t>2</w:t>
            </w:r>
          </w:p>
        </w:tc>
        <w:tc>
          <w:tcPr>
            <w:tcW w:w="1475" w:type="dxa"/>
            <w:vAlign w:val="center"/>
          </w:tcPr>
          <w:p w:rsidR="003426DE" w:rsidRDefault="00D12BB5">
            <w:pPr>
              <w:jc w:val="center"/>
            </w:pPr>
            <w:r>
              <w:rPr>
                <w:color w:val="000000"/>
                <w:sz w:val="24"/>
                <w:szCs w:val="24"/>
              </w:rPr>
              <w:t>111714011</w:t>
            </w:r>
          </w:p>
        </w:tc>
        <w:tc>
          <w:tcPr>
            <w:tcW w:w="1769" w:type="dxa"/>
            <w:vAlign w:val="center"/>
          </w:tcPr>
          <w:p w:rsidR="003426DE" w:rsidRDefault="00D12BB5">
            <w:pPr>
              <w:jc w:val="center"/>
            </w:pPr>
            <w:r>
              <w:rPr>
                <w:color w:val="000000"/>
                <w:sz w:val="24"/>
                <w:szCs w:val="24"/>
              </w:rPr>
              <w:t>17</w:t>
            </w:r>
            <w:r>
              <w:rPr>
                <w:color w:val="000000"/>
                <w:sz w:val="24"/>
                <w:szCs w:val="24"/>
              </w:rPr>
              <w:t>江苏银行</w:t>
            </w:r>
            <w:r>
              <w:rPr>
                <w:color w:val="000000"/>
                <w:sz w:val="24"/>
                <w:szCs w:val="24"/>
              </w:rPr>
              <w:t>CD011</w:t>
            </w:r>
          </w:p>
        </w:tc>
        <w:tc>
          <w:tcPr>
            <w:tcW w:w="1387" w:type="dxa"/>
            <w:vAlign w:val="center"/>
          </w:tcPr>
          <w:p w:rsidR="003426DE" w:rsidRDefault="00D12BB5">
            <w:pPr>
              <w:jc w:val="right"/>
            </w:pPr>
            <w:r>
              <w:rPr>
                <w:color w:val="000000"/>
                <w:sz w:val="24"/>
                <w:szCs w:val="24"/>
              </w:rPr>
              <w:t>1,000,000</w:t>
            </w:r>
          </w:p>
        </w:tc>
        <w:tc>
          <w:tcPr>
            <w:tcW w:w="2150" w:type="dxa"/>
            <w:vAlign w:val="center"/>
          </w:tcPr>
          <w:p w:rsidR="003426DE" w:rsidRDefault="00D12BB5">
            <w:pPr>
              <w:jc w:val="right"/>
            </w:pPr>
            <w:r>
              <w:rPr>
                <w:color w:val="000000"/>
                <w:sz w:val="24"/>
                <w:szCs w:val="24"/>
              </w:rPr>
              <w:t>99,010,000.00</w:t>
            </w:r>
          </w:p>
        </w:tc>
        <w:tc>
          <w:tcPr>
            <w:tcW w:w="1237" w:type="dxa"/>
            <w:vAlign w:val="center"/>
          </w:tcPr>
          <w:p w:rsidR="003426DE" w:rsidRDefault="00D12BB5">
            <w:pPr>
              <w:jc w:val="right"/>
            </w:pPr>
            <w:r>
              <w:rPr>
                <w:color w:val="000000"/>
                <w:sz w:val="24"/>
                <w:szCs w:val="24"/>
              </w:rPr>
              <w:t>11.26</w:t>
            </w:r>
          </w:p>
        </w:tc>
      </w:tr>
      <w:tr w:rsidR="003426DE">
        <w:trPr>
          <w:jc w:val="center"/>
        </w:trPr>
        <w:tc>
          <w:tcPr>
            <w:tcW w:w="850" w:type="dxa"/>
            <w:vAlign w:val="center"/>
          </w:tcPr>
          <w:p w:rsidR="003426DE" w:rsidRDefault="00D12BB5">
            <w:pPr>
              <w:jc w:val="center"/>
            </w:pPr>
            <w:r>
              <w:rPr>
                <w:color w:val="000000"/>
                <w:sz w:val="24"/>
                <w:szCs w:val="24"/>
              </w:rPr>
              <w:t>3</w:t>
            </w:r>
          </w:p>
        </w:tc>
        <w:tc>
          <w:tcPr>
            <w:tcW w:w="1475" w:type="dxa"/>
            <w:vAlign w:val="center"/>
          </w:tcPr>
          <w:p w:rsidR="003426DE" w:rsidRDefault="00D12BB5">
            <w:pPr>
              <w:jc w:val="center"/>
            </w:pPr>
            <w:r>
              <w:rPr>
                <w:color w:val="000000"/>
                <w:sz w:val="24"/>
                <w:szCs w:val="24"/>
              </w:rPr>
              <w:t>111791811</w:t>
            </w:r>
          </w:p>
        </w:tc>
        <w:tc>
          <w:tcPr>
            <w:tcW w:w="1769" w:type="dxa"/>
            <w:vAlign w:val="center"/>
          </w:tcPr>
          <w:p w:rsidR="003426DE" w:rsidRDefault="00D12BB5">
            <w:pPr>
              <w:jc w:val="center"/>
            </w:pPr>
            <w:r>
              <w:rPr>
                <w:color w:val="000000"/>
                <w:sz w:val="24"/>
                <w:szCs w:val="24"/>
              </w:rPr>
              <w:t>17</w:t>
            </w:r>
            <w:r>
              <w:rPr>
                <w:color w:val="000000"/>
                <w:sz w:val="24"/>
                <w:szCs w:val="24"/>
              </w:rPr>
              <w:t>宁波银行</w:t>
            </w:r>
            <w:r>
              <w:rPr>
                <w:color w:val="000000"/>
                <w:sz w:val="24"/>
                <w:szCs w:val="24"/>
              </w:rPr>
              <w:t>CD034</w:t>
            </w:r>
          </w:p>
        </w:tc>
        <w:tc>
          <w:tcPr>
            <w:tcW w:w="1387" w:type="dxa"/>
            <w:vAlign w:val="center"/>
          </w:tcPr>
          <w:p w:rsidR="003426DE" w:rsidRDefault="00D12BB5">
            <w:pPr>
              <w:jc w:val="right"/>
            </w:pPr>
            <w:r>
              <w:rPr>
                <w:color w:val="000000"/>
                <w:sz w:val="24"/>
                <w:szCs w:val="24"/>
              </w:rPr>
              <w:t>1,000,000</w:t>
            </w:r>
          </w:p>
        </w:tc>
        <w:tc>
          <w:tcPr>
            <w:tcW w:w="2150" w:type="dxa"/>
            <w:vAlign w:val="center"/>
          </w:tcPr>
          <w:p w:rsidR="003426DE" w:rsidRDefault="00D12BB5">
            <w:pPr>
              <w:jc w:val="right"/>
            </w:pPr>
            <w:r>
              <w:rPr>
                <w:color w:val="000000"/>
                <w:sz w:val="24"/>
                <w:szCs w:val="24"/>
              </w:rPr>
              <w:t>98,890,000.00</w:t>
            </w:r>
          </w:p>
        </w:tc>
        <w:tc>
          <w:tcPr>
            <w:tcW w:w="1237" w:type="dxa"/>
            <w:vAlign w:val="center"/>
          </w:tcPr>
          <w:p w:rsidR="003426DE" w:rsidRDefault="00D12BB5">
            <w:pPr>
              <w:jc w:val="right"/>
            </w:pPr>
            <w:r>
              <w:rPr>
                <w:color w:val="000000"/>
                <w:sz w:val="24"/>
                <w:szCs w:val="24"/>
              </w:rPr>
              <w:t>11.25</w:t>
            </w:r>
          </w:p>
        </w:tc>
      </w:tr>
      <w:tr w:rsidR="003426DE">
        <w:trPr>
          <w:jc w:val="center"/>
        </w:trPr>
        <w:tc>
          <w:tcPr>
            <w:tcW w:w="850" w:type="dxa"/>
            <w:vAlign w:val="center"/>
          </w:tcPr>
          <w:p w:rsidR="003426DE" w:rsidRDefault="00D12BB5">
            <w:pPr>
              <w:jc w:val="center"/>
            </w:pPr>
            <w:r>
              <w:rPr>
                <w:color w:val="000000"/>
                <w:sz w:val="24"/>
                <w:szCs w:val="24"/>
              </w:rPr>
              <w:t>4</w:t>
            </w:r>
          </w:p>
        </w:tc>
        <w:tc>
          <w:tcPr>
            <w:tcW w:w="1475" w:type="dxa"/>
            <w:vAlign w:val="center"/>
          </w:tcPr>
          <w:p w:rsidR="003426DE" w:rsidRDefault="00D12BB5">
            <w:pPr>
              <w:jc w:val="center"/>
            </w:pPr>
            <w:r>
              <w:rPr>
                <w:color w:val="000000"/>
                <w:sz w:val="24"/>
                <w:szCs w:val="24"/>
              </w:rPr>
              <w:t>111708061</w:t>
            </w:r>
          </w:p>
        </w:tc>
        <w:tc>
          <w:tcPr>
            <w:tcW w:w="1769" w:type="dxa"/>
            <w:vAlign w:val="center"/>
          </w:tcPr>
          <w:p w:rsidR="003426DE" w:rsidRDefault="00D12BB5">
            <w:pPr>
              <w:jc w:val="center"/>
            </w:pPr>
            <w:r>
              <w:rPr>
                <w:color w:val="000000"/>
                <w:sz w:val="24"/>
                <w:szCs w:val="24"/>
              </w:rPr>
              <w:t>17</w:t>
            </w:r>
            <w:r>
              <w:rPr>
                <w:color w:val="000000"/>
                <w:sz w:val="24"/>
                <w:szCs w:val="24"/>
              </w:rPr>
              <w:t>中信银行</w:t>
            </w:r>
            <w:r>
              <w:rPr>
                <w:color w:val="000000"/>
                <w:sz w:val="24"/>
                <w:szCs w:val="24"/>
              </w:rPr>
              <w:t>CD061</w:t>
            </w:r>
          </w:p>
        </w:tc>
        <w:tc>
          <w:tcPr>
            <w:tcW w:w="1387" w:type="dxa"/>
            <w:vAlign w:val="center"/>
          </w:tcPr>
          <w:p w:rsidR="003426DE" w:rsidRDefault="00D12BB5">
            <w:pPr>
              <w:jc w:val="right"/>
            </w:pPr>
            <w:r>
              <w:rPr>
                <w:color w:val="000000"/>
                <w:sz w:val="24"/>
                <w:szCs w:val="24"/>
              </w:rPr>
              <w:t>1,000,000</w:t>
            </w:r>
          </w:p>
        </w:tc>
        <w:tc>
          <w:tcPr>
            <w:tcW w:w="2150" w:type="dxa"/>
            <w:vAlign w:val="center"/>
          </w:tcPr>
          <w:p w:rsidR="003426DE" w:rsidRDefault="00D12BB5">
            <w:pPr>
              <w:jc w:val="right"/>
            </w:pPr>
            <w:r>
              <w:rPr>
                <w:color w:val="000000"/>
                <w:sz w:val="24"/>
                <w:szCs w:val="24"/>
              </w:rPr>
              <w:t>98,870,000.00</w:t>
            </w:r>
          </w:p>
        </w:tc>
        <w:tc>
          <w:tcPr>
            <w:tcW w:w="1237" w:type="dxa"/>
            <w:vAlign w:val="center"/>
          </w:tcPr>
          <w:p w:rsidR="003426DE" w:rsidRDefault="00D12BB5">
            <w:pPr>
              <w:jc w:val="right"/>
            </w:pPr>
            <w:r>
              <w:rPr>
                <w:color w:val="000000"/>
                <w:sz w:val="24"/>
                <w:szCs w:val="24"/>
              </w:rPr>
              <w:t>11.25</w:t>
            </w:r>
          </w:p>
        </w:tc>
      </w:tr>
      <w:tr w:rsidR="003426DE">
        <w:trPr>
          <w:jc w:val="center"/>
        </w:trPr>
        <w:tc>
          <w:tcPr>
            <w:tcW w:w="850" w:type="dxa"/>
            <w:vAlign w:val="center"/>
          </w:tcPr>
          <w:p w:rsidR="003426DE" w:rsidRDefault="00D12BB5">
            <w:pPr>
              <w:jc w:val="center"/>
            </w:pPr>
            <w:r>
              <w:rPr>
                <w:color w:val="000000"/>
                <w:sz w:val="24"/>
                <w:szCs w:val="24"/>
              </w:rPr>
              <w:t>5</w:t>
            </w:r>
          </w:p>
        </w:tc>
        <w:tc>
          <w:tcPr>
            <w:tcW w:w="1475" w:type="dxa"/>
            <w:vAlign w:val="center"/>
          </w:tcPr>
          <w:p w:rsidR="003426DE" w:rsidRDefault="00D12BB5">
            <w:pPr>
              <w:jc w:val="center"/>
            </w:pPr>
            <w:r>
              <w:rPr>
                <w:color w:val="000000"/>
                <w:sz w:val="24"/>
                <w:szCs w:val="24"/>
              </w:rPr>
              <w:t>111707078</w:t>
            </w:r>
          </w:p>
        </w:tc>
        <w:tc>
          <w:tcPr>
            <w:tcW w:w="1769" w:type="dxa"/>
            <w:vAlign w:val="center"/>
          </w:tcPr>
          <w:p w:rsidR="003426DE" w:rsidRDefault="00D12BB5">
            <w:pPr>
              <w:jc w:val="center"/>
            </w:pPr>
            <w:r>
              <w:rPr>
                <w:color w:val="000000"/>
                <w:sz w:val="24"/>
                <w:szCs w:val="24"/>
              </w:rPr>
              <w:t>17</w:t>
            </w:r>
            <w:r>
              <w:rPr>
                <w:color w:val="000000"/>
                <w:sz w:val="24"/>
                <w:szCs w:val="24"/>
              </w:rPr>
              <w:t>招商银行</w:t>
            </w:r>
            <w:r>
              <w:rPr>
                <w:color w:val="000000"/>
                <w:sz w:val="24"/>
                <w:szCs w:val="24"/>
              </w:rPr>
              <w:lastRenderedPageBreak/>
              <w:t>CD078</w:t>
            </w:r>
          </w:p>
        </w:tc>
        <w:tc>
          <w:tcPr>
            <w:tcW w:w="1387" w:type="dxa"/>
            <w:vAlign w:val="center"/>
          </w:tcPr>
          <w:p w:rsidR="003426DE" w:rsidRDefault="00D12BB5">
            <w:pPr>
              <w:jc w:val="right"/>
            </w:pPr>
            <w:r>
              <w:rPr>
                <w:color w:val="000000"/>
                <w:sz w:val="24"/>
                <w:szCs w:val="24"/>
              </w:rPr>
              <w:lastRenderedPageBreak/>
              <w:t>1,000,000</w:t>
            </w:r>
          </w:p>
        </w:tc>
        <w:tc>
          <w:tcPr>
            <w:tcW w:w="2150" w:type="dxa"/>
            <w:vAlign w:val="center"/>
          </w:tcPr>
          <w:p w:rsidR="003426DE" w:rsidRDefault="00D12BB5">
            <w:pPr>
              <w:jc w:val="right"/>
            </w:pPr>
            <w:r>
              <w:rPr>
                <w:color w:val="000000"/>
                <w:sz w:val="24"/>
                <w:szCs w:val="24"/>
              </w:rPr>
              <w:t>98,860,000.00</w:t>
            </w:r>
          </w:p>
        </w:tc>
        <w:tc>
          <w:tcPr>
            <w:tcW w:w="1237" w:type="dxa"/>
            <w:vAlign w:val="center"/>
          </w:tcPr>
          <w:p w:rsidR="003426DE" w:rsidRDefault="00D12BB5">
            <w:pPr>
              <w:jc w:val="right"/>
            </w:pPr>
            <w:r>
              <w:rPr>
                <w:color w:val="000000"/>
                <w:sz w:val="24"/>
                <w:szCs w:val="24"/>
              </w:rPr>
              <w:t>11.24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260,792.55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11,039,852.17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118.81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11,300,973.53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3426DE">
        <w:trPr>
          <w:jc w:val="center"/>
        </w:trPr>
        <w:tc>
          <w:tcPr>
            <w:tcW w:w="1883" w:type="dxa"/>
            <w:vAlign w:val="center"/>
          </w:tcPr>
          <w:p w:rsidR="003426DE" w:rsidRDefault="00D12BB5">
            <w:pPr>
              <w:jc w:val="center"/>
            </w:pPr>
            <w:r>
              <w:rPr>
                <w:color w:val="000000"/>
                <w:sz w:val="24"/>
                <w:szCs w:val="24"/>
              </w:rPr>
              <w:t>1</w:t>
            </w:r>
          </w:p>
        </w:tc>
        <w:tc>
          <w:tcPr>
            <w:tcW w:w="1801" w:type="dxa"/>
            <w:vAlign w:val="center"/>
          </w:tcPr>
          <w:p w:rsidR="003426DE" w:rsidRDefault="00D12BB5">
            <w:pPr>
              <w:jc w:val="center"/>
            </w:pPr>
            <w:r>
              <w:rPr>
                <w:color w:val="000000"/>
                <w:sz w:val="24"/>
                <w:szCs w:val="24"/>
              </w:rPr>
              <w:t>113008</w:t>
            </w:r>
          </w:p>
        </w:tc>
        <w:tc>
          <w:tcPr>
            <w:tcW w:w="1727" w:type="dxa"/>
            <w:vAlign w:val="center"/>
          </w:tcPr>
          <w:p w:rsidR="003426DE" w:rsidRDefault="00D12BB5">
            <w:pPr>
              <w:jc w:val="center"/>
            </w:pPr>
            <w:r>
              <w:rPr>
                <w:color w:val="000000"/>
                <w:sz w:val="24"/>
                <w:szCs w:val="24"/>
              </w:rPr>
              <w:t>电气转债</w:t>
            </w:r>
          </w:p>
        </w:tc>
        <w:tc>
          <w:tcPr>
            <w:tcW w:w="1768" w:type="dxa"/>
            <w:vAlign w:val="center"/>
          </w:tcPr>
          <w:p w:rsidR="003426DE" w:rsidRDefault="00D12BB5">
            <w:pPr>
              <w:jc w:val="right"/>
            </w:pPr>
            <w:r>
              <w:rPr>
                <w:color w:val="000000"/>
                <w:sz w:val="24"/>
                <w:szCs w:val="24"/>
              </w:rPr>
              <w:t>1,141,600.00</w:t>
            </w:r>
          </w:p>
        </w:tc>
        <w:tc>
          <w:tcPr>
            <w:tcW w:w="1689" w:type="dxa"/>
            <w:vAlign w:val="center"/>
          </w:tcPr>
          <w:p w:rsidR="003426DE" w:rsidRDefault="00D12BB5">
            <w:pPr>
              <w:jc w:val="right"/>
            </w:pPr>
            <w:r>
              <w:rPr>
                <w:color w:val="000000"/>
                <w:sz w:val="24"/>
                <w:szCs w:val="24"/>
              </w:rPr>
              <w:t>0.13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426DE">
        <w:trPr>
          <w:jc w:val="center"/>
        </w:trPr>
        <w:tc>
          <w:tcPr>
            <w:tcW w:w="1129" w:type="dxa"/>
            <w:vAlign w:val="center"/>
          </w:tcPr>
          <w:p w:rsidR="003426DE" w:rsidRDefault="00D12BB5">
            <w:pPr>
              <w:jc w:val="center"/>
            </w:pPr>
            <w:r>
              <w:rPr>
                <w:color w:val="000000"/>
                <w:sz w:val="24"/>
                <w:szCs w:val="24"/>
              </w:rPr>
              <w:t>1</w:t>
            </w:r>
          </w:p>
        </w:tc>
        <w:tc>
          <w:tcPr>
            <w:tcW w:w="1356" w:type="dxa"/>
            <w:vAlign w:val="center"/>
          </w:tcPr>
          <w:p w:rsidR="003426DE" w:rsidRDefault="00D12BB5">
            <w:pPr>
              <w:jc w:val="center"/>
            </w:pPr>
            <w:r>
              <w:rPr>
                <w:color w:val="000000"/>
                <w:sz w:val="24"/>
                <w:szCs w:val="24"/>
              </w:rPr>
              <w:t>000821</w:t>
            </w:r>
          </w:p>
        </w:tc>
        <w:tc>
          <w:tcPr>
            <w:tcW w:w="1355" w:type="dxa"/>
            <w:vAlign w:val="center"/>
          </w:tcPr>
          <w:p w:rsidR="003426DE" w:rsidRDefault="00D12BB5">
            <w:pPr>
              <w:jc w:val="center"/>
            </w:pPr>
            <w:r>
              <w:rPr>
                <w:color w:val="000000"/>
                <w:sz w:val="24"/>
                <w:szCs w:val="24"/>
              </w:rPr>
              <w:t>京山轻机</w:t>
            </w:r>
          </w:p>
        </w:tc>
        <w:tc>
          <w:tcPr>
            <w:tcW w:w="1880" w:type="dxa"/>
            <w:vAlign w:val="center"/>
          </w:tcPr>
          <w:p w:rsidR="003426DE" w:rsidRDefault="00D12BB5">
            <w:pPr>
              <w:jc w:val="right"/>
            </w:pPr>
            <w:r>
              <w:rPr>
                <w:color w:val="000000"/>
                <w:sz w:val="24"/>
                <w:szCs w:val="24"/>
              </w:rPr>
              <w:t>3,190,318.56</w:t>
            </w:r>
          </w:p>
        </w:tc>
        <w:tc>
          <w:tcPr>
            <w:tcW w:w="1724" w:type="dxa"/>
            <w:vAlign w:val="center"/>
          </w:tcPr>
          <w:p w:rsidR="003426DE" w:rsidRDefault="00D12BB5">
            <w:pPr>
              <w:jc w:val="right"/>
            </w:pPr>
            <w:r>
              <w:rPr>
                <w:color w:val="000000"/>
                <w:sz w:val="24"/>
                <w:szCs w:val="24"/>
              </w:rPr>
              <w:t>0.36</w:t>
            </w:r>
          </w:p>
        </w:tc>
        <w:tc>
          <w:tcPr>
            <w:tcW w:w="1424" w:type="dxa"/>
            <w:vAlign w:val="center"/>
          </w:tcPr>
          <w:p w:rsidR="003426DE" w:rsidRDefault="00D12BB5">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927,224,727.22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93,922.92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51,884,161.84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875,434,488.30</w:t>
            </w:r>
          </w:p>
        </w:tc>
      </w:tr>
    </w:tbl>
    <w:p w:rsidR="003426DE" w:rsidRDefault="00D12BB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A58DC" w:rsidRPr="001241E3" w:rsidRDefault="003A58DC" w:rsidP="003A58DC">
      <w:pPr>
        <w:pStyle w:val="1"/>
        <w:spacing w:beforeLines="100" w:before="312" w:afterLines="100" w:after="312" w:line="360" w:lineRule="auto"/>
        <w:jc w:val="center"/>
        <w:rPr>
          <w:rFonts w:eastAsiaTheme="minorEastAsia"/>
          <w:color w:val="000000" w:themeColor="text1"/>
          <w:kern w:val="0"/>
          <w:sz w:val="24"/>
          <w:szCs w:val="24"/>
        </w:rPr>
      </w:pPr>
      <w:r w:rsidRPr="001241E3">
        <w:rPr>
          <w:rFonts w:eastAsiaTheme="minorEastAsia"/>
          <w:color w:val="000000" w:themeColor="text1"/>
          <w:kern w:val="0"/>
          <w:sz w:val="24"/>
          <w:szCs w:val="24"/>
        </w:rPr>
        <w:lastRenderedPageBreak/>
        <w:t>§8</w:t>
      </w:r>
      <w:r w:rsidRPr="001241E3">
        <w:rPr>
          <w:rFonts w:eastAsiaTheme="minorEastAsia"/>
          <w:color w:val="000000" w:themeColor="text1"/>
          <w:kern w:val="0"/>
          <w:sz w:val="24"/>
          <w:szCs w:val="24"/>
        </w:rPr>
        <w:t>影响投资者决策的其他重要信息</w:t>
      </w:r>
    </w:p>
    <w:p w:rsidR="003A58DC" w:rsidRPr="001241E3" w:rsidRDefault="003A58DC" w:rsidP="003A58DC">
      <w:pPr>
        <w:autoSpaceDE w:val="0"/>
        <w:autoSpaceDN w:val="0"/>
        <w:adjustRightInd w:val="0"/>
        <w:spacing w:line="360" w:lineRule="auto"/>
        <w:jc w:val="left"/>
        <w:rPr>
          <w:rFonts w:eastAsiaTheme="minorEastAsia"/>
          <w:b/>
          <w:bCs/>
          <w:color w:val="000000" w:themeColor="text1"/>
          <w:kern w:val="0"/>
          <w:sz w:val="24"/>
          <w:szCs w:val="24"/>
        </w:rPr>
      </w:pPr>
      <w:r w:rsidRPr="001241E3">
        <w:rPr>
          <w:rFonts w:eastAsiaTheme="minorEastAsia"/>
          <w:b/>
          <w:bCs/>
          <w:color w:val="000000" w:themeColor="text1"/>
          <w:kern w:val="0"/>
          <w:sz w:val="24"/>
          <w:szCs w:val="24"/>
        </w:rPr>
        <w:t>8.</w:t>
      </w:r>
      <w:r w:rsidRPr="001241E3">
        <w:rPr>
          <w:rFonts w:eastAsiaTheme="minorEastAsia" w:hint="eastAsia"/>
          <w:b/>
          <w:bCs/>
          <w:color w:val="000000" w:themeColor="text1"/>
          <w:kern w:val="0"/>
          <w:sz w:val="24"/>
          <w:szCs w:val="24"/>
        </w:rPr>
        <w:t xml:space="preserve">1 </w:t>
      </w:r>
      <w:r w:rsidRPr="001241E3">
        <w:rPr>
          <w:rFonts w:eastAsiaTheme="minorEastAsia" w:hint="eastAsia"/>
          <w:b/>
          <w:bCs/>
          <w:color w:val="000000" w:themeColor="text1"/>
          <w:kern w:val="0"/>
          <w:sz w:val="24"/>
          <w:szCs w:val="24"/>
        </w:rPr>
        <w:t>报告期内单一投资者持有基金份额比例达到或超过</w:t>
      </w:r>
      <w:r w:rsidRPr="001241E3">
        <w:rPr>
          <w:rFonts w:eastAsiaTheme="minorEastAsia" w:hint="eastAsia"/>
          <w:b/>
          <w:bCs/>
          <w:color w:val="000000" w:themeColor="text1"/>
          <w:kern w:val="0"/>
          <w:sz w:val="24"/>
          <w:szCs w:val="24"/>
        </w:rPr>
        <w:t>20%</w:t>
      </w:r>
      <w:r w:rsidRPr="001241E3">
        <w:rPr>
          <w:rFonts w:eastAsiaTheme="minorEastAsia" w:hint="eastAsia"/>
          <w:b/>
          <w:bCs/>
          <w:color w:val="000000" w:themeColor="text1"/>
          <w:kern w:val="0"/>
          <w:sz w:val="24"/>
          <w:szCs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3A58DC" w:rsidRPr="001241E3" w:rsidTr="00B06DDA">
        <w:tc>
          <w:tcPr>
            <w:tcW w:w="851" w:type="dxa"/>
            <w:vMerge w:val="restart"/>
            <w:vAlign w:val="center"/>
          </w:tcPr>
          <w:p w:rsidR="003A58DC" w:rsidRPr="001241E3" w:rsidRDefault="003A58DC" w:rsidP="00B06DDA">
            <w:pPr>
              <w:autoSpaceDE w:val="0"/>
              <w:autoSpaceDN w:val="0"/>
              <w:adjustRightInd w:val="0"/>
              <w:jc w:val="center"/>
              <w:rPr>
                <w:rFonts w:ascii="宋体" w:hAnsi="宋体"/>
                <w:color w:val="000000"/>
                <w:sz w:val="24"/>
                <w:szCs w:val="24"/>
              </w:rPr>
            </w:pPr>
            <w:r w:rsidRPr="001241E3">
              <w:rPr>
                <w:rFonts w:ascii="宋体" w:hAnsi="宋体" w:hint="eastAsia"/>
                <w:color w:val="000000"/>
                <w:sz w:val="24"/>
                <w:szCs w:val="24"/>
              </w:rPr>
              <w:t>投资者类别</w:t>
            </w:r>
          </w:p>
        </w:tc>
        <w:tc>
          <w:tcPr>
            <w:tcW w:w="5670" w:type="dxa"/>
            <w:gridSpan w:val="5"/>
            <w:vAlign w:val="center"/>
          </w:tcPr>
          <w:p w:rsidR="003A58DC" w:rsidRPr="001241E3" w:rsidRDefault="003A58DC" w:rsidP="00B06DDA">
            <w:pPr>
              <w:autoSpaceDE w:val="0"/>
              <w:autoSpaceDN w:val="0"/>
              <w:adjustRightInd w:val="0"/>
              <w:jc w:val="center"/>
              <w:rPr>
                <w:rFonts w:ascii="宋体" w:hAnsi="宋体"/>
                <w:color w:val="000000"/>
                <w:sz w:val="24"/>
                <w:szCs w:val="24"/>
              </w:rPr>
            </w:pPr>
            <w:r w:rsidRPr="001241E3">
              <w:rPr>
                <w:rFonts w:ascii="宋体" w:hAnsi="宋体" w:hint="eastAsia"/>
                <w:color w:val="000000"/>
                <w:sz w:val="24"/>
                <w:szCs w:val="24"/>
              </w:rPr>
              <w:t>报告期内持有基金份额变化情况</w:t>
            </w:r>
          </w:p>
        </w:tc>
        <w:tc>
          <w:tcPr>
            <w:tcW w:w="2691" w:type="dxa"/>
            <w:gridSpan w:val="2"/>
            <w:vAlign w:val="center"/>
          </w:tcPr>
          <w:p w:rsidR="003A58DC" w:rsidRPr="001241E3" w:rsidRDefault="003A58DC" w:rsidP="00B06DDA">
            <w:pPr>
              <w:autoSpaceDE w:val="0"/>
              <w:autoSpaceDN w:val="0"/>
              <w:adjustRightInd w:val="0"/>
              <w:rPr>
                <w:rFonts w:ascii="宋体" w:hAnsi="宋体"/>
                <w:color w:val="000000"/>
                <w:sz w:val="24"/>
                <w:szCs w:val="24"/>
              </w:rPr>
            </w:pPr>
            <w:r w:rsidRPr="001241E3">
              <w:rPr>
                <w:rFonts w:ascii="宋体" w:hAnsi="宋体" w:hint="eastAsia"/>
                <w:color w:val="000000"/>
                <w:sz w:val="24"/>
                <w:szCs w:val="24"/>
              </w:rPr>
              <w:t>报告期末持有基金情况</w:t>
            </w:r>
          </w:p>
        </w:tc>
      </w:tr>
      <w:tr w:rsidR="003A58DC" w:rsidRPr="001241E3" w:rsidTr="00B06DDA">
        <w:tc>
          <w:tcPr>
            <w:tcW w:w="851" w:type="dxa"/>
            <w:vMerge/>
            <w:vAlign w:val="center"/>
          </w:tcPr>
          <w:p w:rsidR="003A58DC" w:rsidRPr="001241E3" w:rsidRDefault="003A58DC" w:rsidP="00B06DDA">
            <w:pPr>
              <w:autoSpaceDE w:val="0"/>
              <w:autoSpaceDN w:val="0"/>
              <w:adjustRightInd w:val="0"/>
              <w:jc w:val="center"/>
              <w:rPr>
                <w:rFonts w:ascii="宋体" w:hAnsi="宋体"/>
                <w:color w:val="000000"/>
                <w:sz w:val="24"/>
                <w:szCs w:val="24"/>
              </w:rPr>
            </w:pPr>
          </w:p>
        </w:tc>
        <w:tc>
          <w:tcPr>
            <w:tcW w:w="1134" w:type="dxa"/>
            <w:vAlign w:val="center"/>
          </w:tcPr>
          <w:p w:rsidR="003A58DC" w:rsidRPr="001241E3" w:rsidRDefault="003A58DC" w:rsidP="00B06DDA">
            <w:pPr>
              <w:autoSpaceDE w:val="0"/>
              <w:autoSpaceDN w:val="0"/>
              <w:adjustRightInd w:val="0"/>
              <w:jc w:val="center"/>
              <w:rPr>
                <w:rFonts w:ascii="宋体" w:hAnsi="宋体"/>
                <w:color w:val="000000"/>
                <w:sz w:val="24"/>
                <w:szCs w:val="24"/>
              </w:rPr>
            </w:pPr>
            <w:r w:rsidRPr="001241E3">
              <w:rPr>
                <w:rFonts w:ascii="宋体" w:hAnsi="宋体" w:hint="eastAsia"/>
                <w:color w:val="000000"/>
                <w:sz w:val="24"/>
                <w:szCs w:val="24"/>
              </w:rPr>
              <w:t>序号</w:t>
            </w:r>
          </w:p>
        </w:tc>
        <w:tc>
          <w:tcPr>
            <w:tcW w:w="1843" w:type="dxa"/>
            <w:vAlign w:val="center"/>
          </w:tcPr>
          <w:p w:rsidR="003A58DC" w:rsidRPr="001241E3" w:rsidRDefault="003A58DC" w:rsidP="00B06DDA">
            <w:pPr>
              <w:autoSpaceDE w:val="0"/>
              <w:autoSpaceDN w:val="0"/>
              <w:adjustRightInd w:val="0"/>
              <w:rPr>
                <w:rFonts w:ascii="宋体" w:hAnsi="宋体"/>
                <w:color w:val="000000"/>
                <w:sz w:val="24"/>
                <w:szCs w:val="24"/>
              </w:rPr>
            </w:pPr>
            <w:r w:rsidRPr="001241E3">
              <w:rPr>
                <w:rFonts w:ascii="宋体" w:hAnsi="宋体" w:hint="eastAsia"/>
                <w:color w:val="000000"/>
                <w:sz w:val="24"/>
                <w:szCs w:val="24"/>
              </w:rPr>
              <w:t>持有基金份额比例达到或者超过20%的时间区间</w:t>
            </w:r>
          </w:p>
        </w:tc>
        <w:tc>
          <w:tcPr>
            <w:tcW w:w="851" w:type="dxa"/>
            <w:vAlign w:val="center"/>
          </w:tcPr>
          <w:p w:rsidR="003A58DC" w:rsidRPr="001241E3" w:rsidRDefault="003A58DC" w:rsidP="00B06DDA">
            <w:pPr>
              <w:widowControl/>
              <w:jc w:val="center"/>
              <w:rPr>
                <w:rFonts w:ascii="宋体" w:hAnsi="宋体"/>
                <w:color w:val="000000"/>
                <w:sz w:val="24"/>
                <w:szCs w:val="24"/>
              </w:rPr>
            </w:pPr>
            <w:r w:rsidRPr="001241E3">
              <w:rPr>
                <w:rFonts w:ascii="宋体" w:hAnsi="宋体" w:hint="eastAsia"/>
                <w:color w:val="000000"/>
                <w:sz w:val="24"/>
                <w:szCs w:val="24"/>
              </w:rPr>
              <w:t>期初份额</w:t>
            </w:r>
          </w:p>
          <w:p w:rsidR="003A58DC" w:rsidRPr="001241E3" w:rsidRDefault="003A58DC" w:rsidP="00B06DDA">
            <w:pPr>
              <w:autoSpaceDE w:val="0"/>
              <w:autoSpaceDN w:val="0"/>
              <w:adjustRightInd w:val="0"/>
              <w:jc w:val="center"/>
              <w:rPr>
                <w:rFonts w:ascii="宋体" w:hAnsi="宋体"/>
                <w:color w:val="000000"/>
                <w:sz w:val="24"/>
                <w:szCs w:val="24"/>
              </w:rPr>
            </w:pPr>
          </w:p>
        </w:tc>
        <w:tc>
          <w:tcPr>
            <w:tcW w:w="850" w:type="dxa"/>
            <w:vAlign w:val="center"/>
          </w:tcPr>
          <w:p w:rsidR="003A58DC" w:rsidRPr="001241E3" w:rsidRDefault="003A58DC" w:rsidP="00B06DDA">
            <w:pPr>
              <w:widowControl/>
              <w:jc w:val="center"/>
              <w:rPr>
                <w:rFonts w:ascii="宋体" w:hAnsi="宋体"/>
                <w:color w:val="000000"/>
                <w:sz w:val="24"/>
                <w:szCs w:val="24"/>
              </w:rPr>
            </w:pPr>
            <w:r w:rsidRPr="001241E3">
              <w:rPr>
                <w:rFonts w:ascii="宋体" w:hAnsi="宋体" w:hint="eastAsia"/>
                <w:color w:val="000000"/>
                <w:sz w:val="24"/>
                <w:szCs w:val="24"/>
              </w:rPr>
              <w:t>申购份额</w:t>
            </w:r>
          </w:p>
          <w:p w:rsidR="003A58DC" w:rsidRPr="001241E3" w:rsidRDefault="003A58DC" w:rsidP="00B06DDA">
            <w:pPr>
              <w:autoSpaceDE w:val="0"/>
              <w:autoSpaceDN w:val="0"/>
              <w:adjustRightInd w:val="0"/>
              <w:jc w:val="center"/>
              <w:rPr>
                <w:rFonts w:ascii="宋体" w:hAnsi="宋体"/>
                <w:color w:val="000000"/>
                <w:sz w:val="24"/>
                <w:szCs w:val="24"/>
              </w:rPr>
            </w:pPr>
          </w:p>
        </w:tc>
        <w:tc>
          <w:tcPr>
            <w:tcW w:w="992" w:type="dxa"/>
            <w:vAlign w:val="center"/>
          </w:tcPr>
          <w:p w:rsidR="003A58DC" w:rsidRPr="001241E3" w:rsidRDefault="003A58DC" w:rsidP="00B06DDA">
            <w:pPr>
              <w:autoSpaceDE w:val="0"/>
              <w:autoSpaceDN w:val="0"/>
              <w:adjustRightInd w:val="0"/>
              <w:jc w:val="center"/>
              <w:rPr>
                <w:rFonts w:ascii="宋体" w:hAnsi="宋体"/>
                <w:color w:val="000000"/>
                <w:sz w:val="24"/>
                <w:szCs w:val="24"/>
              </w:rPr>
            </w:pPr>
            <w:r w:rsidRPr="001241E3">
              <w:rPr>
                <w:rFonts w:ascii="宋体" w:hAnsi="宋体" w:hint="eastAsia"/>
                <w:color w:val="000000"/>
                <w:sz w:val="24"/>
                <w:szCs w:val="24"/>
              </w:rPr>
              <w:t>赎回份额</w:t>
            </w:r>
          </w:p>
        </w:tc>
        <w:tc>
          <w:tcPr>
            <w:tcW w:w="1418" w:type="dxa"/>
            <w:vAlign w:val="center"/>
          </w:tcPr>
          <w:p w:rsidR="003A58DC" w:rsidRPr="001241E3" w:rsidRDefault="003A58DC" w:rsidP="00B06DDA">
            <w:pPr>
              <w:autoSpaceDE w:val="0"/>
              <w:autoSpaceDN w:val="0"/>
              <w:adjustRightInd w:val="0"/>
              <w:rPr>
                <w:rFonts w:ascii="宋体" w:hAnsi="宋体"/>
                <w:color w:val="000000"/>
                <w:sz w:val="24"/>
                <w:szCs w:val="24"/>
              </w:rPr>
            </w:pPr>
            <w:r w:rsidRPr="001241E3">
              <w:rPr>
                <w:rFonts w:ascii="宋体" w:hAnsi="宋体" w:hint="eastAsia"/>
                <w:color w:val="000000"/>
                <w:sz w:val="24"/>
                <w:szCs w:val="24"/>
              </w:rPr>
              <w:t>持有份额</w:t>
            </w:r>
          </w:p>
        </w:tc>
        <w:tc>
          <w:tcPr>
            <w:tcW w:w="1273" w:type="dxa"/>
            <w:vAlign w:val="center"/>
          </w:tcPr>
          <w:p w:rsidR="003A58DC" w:rsidRPr="001241E3" w:rsidRDefault="003A58DC" w:rsidP="00B06DDA">
            <w:pPr>
              <w:autoSpaceDE w:val="0"/>
              <w:autoSpaceDN w:val="0"/>
              <w:adjustRightInd w:val="0"/>
              <w:jc w:val="center"/>
              <w:rPr>
                <w:rFonts w:ascii="宋体" w:hAnsi="宋体"/>
                <w:color w:val="000000"/>
                <w:sz w:val="24"/>
                <w:szCs w:val="24"/>
              </w:rPr>
            </w:pPr>
            <w:bookmarkStart w:id="0" w:name="_GoBack"/>
            <w:bookmarkEnd w:id="0"/>
            <w:r w:rsidRPr="001241E3">
              <w:rPr>
                <w:rFonts w:ascii="宋体" w:hAnsi="宋体" w:hint="eastAsia"/>
                <w:color w:val="000000"/>
                <w:sz w:val="24"/>
                <w:szCs w:val="24"/>
              </w:rPr>
              <w:t>份额占比</w:t>
            </w:r>
          </w:p>
        </w:tc>
      </w:tr>
      <w:tr w:rsidR="003426DE" w:rsidRPr="001241E3">
        <w:tc>
          <w:tcPr>
            <w:tcW w:w="851" w:type="dxa"/>
            <w:vMerge w:val="restart"/>
          </w:tcPr>
          <w:p w:rsidR="003426DE" w:rsidRPr="001241E3" w:rsidRDefault="003426DE">
            <w:pPr>
              <w:rPr>
                <w:sz w:val="24"/>
                <w:szCs w:val="24"/>
              </w:rPr>
            </w:pPr>
          </w:p>
          <w:p w:rsidR="003426DE" w:rsidRPr="001241E3" w:rsidRDefault="00D12BB5">
            <w:pPr>
              <w:rPr>
                <w:sz w:val="24"/>
                <w:szCs w:val="24"/>
              </w:rPr>
            </w:pPr>
            <w:r w:rsidRPr="001241E3">
              <w:rPr>
                <w:rFonts w:eastAsiaTheme="minorEastAsia" w:hint="eastAsia"/>
                <w:bCs/>
                <w:color w:val="000000" w:themeColor="text1"/>
                <w:sz w:val="24"/>
                <w:szCs w:val="24"/>
              </w:rPr>
              <w:t>机构</w:t>
            </w:r>
          </w:p>
        </w:tc>
        <w:tc>
          <w:tcPr>
            <w:tcW w:w="1134" w:type="dxa"/>
            <w:vAlign w:val="center"/>
          </w:tcPr>
          <w:p w:rsidR="003426DE" w:rsidRPr="001241E3" w:rsidRDefault="00D12BB5">
            <w:pPr>
              <w:jc w:val="center"/>
              <w:rPr>
                <w:sz w:val="24"/>
                <w:szCs w:val="24"/>
              </w:rPr>
            </w:pPr>
            <w:r w:rsidRPr="001241E3">
              <w:rPr>
                <w:color w:val="000000"/>
                <w:sz w:val="24"/>
                <w:szCs w:val="24"/>
              </w:rPr>
              <w:t>1</w:t>
            </w:r>
          </w:p>
        </w:tc>
        <w:tc>
          <w:tcPr>
            <w:tcW w:w="1843" w:type="dxa"/>
            <w:vAlign w:val="center"/>
          </w:tcPr>
          <w:p w:rsidR="003426DE" w:rsidRPr="001241E3" w:rsidRDefault="00D12BB5">
            <w:pPr>
              <w:jc w:val="center"/>
              <w:rPr>
                <w:sz w:val="24"/>
                <w:szCs w:val="24"/>
              </w:rPr>
            </w:pPr>
            <w:r w:rsidRPr="001241E3">
              <w:rPr>
                <w:color w:val="000000"/>
                <w:sz w:val="24"/>
                <w:szCs w:val="24"/>
              </w:rPr>
              <w:t>2017/1/1-2017/3/31</w:t>
            </w:r>
          </w:p>
        </w:tc>
        <w:tc>
          <w:tcPr>
            <w:tcW w:w="851" w:type="dxa"/>
            <w:vAlign w:val="center"/>
          </w:tcPr>
          <w:p w:rsidR="003426DE" w:rsidRPr="001241E3" w:rsidRDefault="00D12BB5">
            <w:pPr>
              <w:jc w:val="center"/>
              <w:rPr>
                <w:sz w:val="24"/>
                <w:szCs w:val="24"/>
              </w:rPr>
            </w:pPr>
            <w:r w:rsidRPr="001241E3">
              <w:rPr>
                <w:color w:val="000000"/>
                <w:sz w:val="24"/>
                <w:szCs w:val="24"/>
              </w:rPr>
              <w:t>200,017,000.00</w:t>
            </w:r>
          </w:p>
        </w:tc>
        <w:tc>
          <w:tcPr>
            <w:tcW w:w="850" w:type="dxa"/>
            <w:vAlign w:val="center"/>
          </w:tcPr>
          <w:p w:rsidR="003426DE" w:rsidRPr="001241E3" w:rsidRDefault="00D12BB5">
            <w:pPr>
              <w:jc w:val="center"/>
              <w:rPr>
                <w:sz w:val="24"/>
                <w:szCs w:val="24"/>
              </w:rPr>
            </w:pPr>
            <w:r w:rsidRPr="001241E3">
              <w:rPr>
                <w:color w:val="000000"/>
                <w:sz w:val="24"/>
                <w:szCs w:val="24"/>
              </w:rPr>
              <w:t>-</w:t>
            </w:r>
          </w:p>
        </w:tc>
        <w:tc>
          <w:tcPr>
            <w:tcW w:w="992" w:type="dxa"/>
            <w:vAlign w:val="center"/>
          </w:tcPr>
          <w:p w:rsidR="003426DE" w:rsidRPr="001241E3" w:rsidRDefault="00D12BB5">
            <w:pPr>
              <w:jc w:val="center"/>
              <w:rPr>
                <w:sz w:val="24"/>
                <w:szCs w:val="24"/>
              </w:rPr>
            </w:pPr>
            <w:r w:rsidRPr="001241E3">
              <w:rPr>
                <w:color w:val="000000"/>
                <w:sz w:val="24"/>
                <w:szCs w:val="24"/>
              </w:rPr>
              <w:t>-</w:t>
            </w:r>
          </w:p>
        </w:tc>
        <w:tc>
          <w:tcPr>
            <w:tcW w:w="1418" w:type="dxa"/>
            <w:vAlign w:val="center"/>
          </w:tcPr>
          <w:p w:rsidR="003426DE" w:rsidRPr="001241E3" w:rsidRDefault="00D12BB5">
            <w:pPr>
              <w:jc w:val="center"/>
              <w:rPr>
                <w:sz w:val="24"/>
                <w:szCs w:val="24"/>
              </w:rPr>
            </w:pPr>
            <w:r w:rsidRPr="001241E3">
              <w:rPr>
                <w:color w:val="000000"/>
                <w:sz w:val="24"/>
                <w:szCs w:val="24"/>
              </w:rPr>
              <w:t>200,017,000.00</w:t>
            </w:r>
          </w:p>
        </w:tc>
        <w:tc>
          <w:tcPr>
            <w:tcW w:w="1273" w:type="dxa"/>
            <w:vAlign w:val="center"/>
          </w:tcPr>
          <w:p w:rsidR="003426DE" w:rsidRPr="001241E3" w:rsidRDefault="00D12BB5">
            <w:pPr>
              <w:jc w:val="center"/>
              <w:rPr>
                <w:sz w:val="24"/>
                <w:szCs w:val="24"/>
              </w:rPr>
            </w:pPr>
            <w:r w:rsidRPr="001241E3">
              <w:rPr>
                <w:color w:val="000000"/>
                <w:sz w:val="24"/>
                <w:szCs w:val="24"/>
              </w:rPr>
              <w:t>22.85%</w:t>
            </w:r>
          </w:p>
        </w:tc>
      </w:tr>
      <w:tr w:rsidR="003A58DC" w:rsidRPr="001241E3" w:rsidTr="00B06DDA">
        <w:tc>
          <w:tcPr>
            <w:tcW w:w="9212" w:type="dxa"/>
            <w:gridSpan w:val="8"/>
            <w:vAlign w:val="center"/>
          </w:tcPr>
          <w:p w:rsidR="003A58DC" w:rsidRPr="001241E3" w:rsidRDefault="003A58DC" w:rsidP="00B06DDA">
            <w:pPr>
              <w:autoSpaceDE w:val="0"/>
              <w:autoSpaceDN w:val="0"/>
              <w:adjustRightInd w:val="0"/>
              <w:ind w:firstLine="1126"/>
              <w:jc w:val="center"/>
              <w:rPr>
                <w:sz w:val="24"/>
                <w:szCs w:val="24"/>
              </w:rPr>
            </w:pPr>
            <w:r w:rsidRPr="001241E3">
              <w:rPr>
                <w:color w:val="000000"/>
                <w:sz w:val="24"/>
                <w:szCs w:val="24"/>
              </w:rPr>
              <w:t>产品特有风险</w:t>
            </w:r>
          </w:p>
        </w:tc>
      </w:tr>
      <w:tr w:rsidR="003A58DC" w:rsidRPr="001241E3" w:rsidTr="00B06DDA">
        <w:tc>
          <w:tcPr>
            <w:tcW w:w="9212" w:type="dxa"/>
            <w:gridSpan w:val="8"/>
            <w:vAlign w:val="center"/>
          </w:tcPr>
          <w:p w:rsidR="003A58DC" w:rsidRPr="001241E3" w:rsidRDefault="003A58DC" w:rsidP="00B06DDA">
            <w:pPr>
              <w:autoSpaceDE w:val="0"/>
              <w:autoSpaceDN w:val="0"/>
              <w:adjustRightInd w:val="0"/>
              <w:jc w:val="left"/>
              <w:rPr>
                <w:sz w:val="24"/>
                <w:szCs w:val="24"/>
              </w:rPr>
            </w:pPr>
            <w:r w:rsidRPr="001241E3">
              <w:rPr>
                <w:rFonts w:hint="eastAsia"/>
                <w:sz w:val="24"/>
                <w:szCs w:val="24"/>
              </w:rPr>
              <w:t>本基金本报告期内出现单一投资者持有基金份额比例超过基金总份额</w:t>
            </w:r>
            <w:r w:rsidRPr="001241E3">
              <w:rPr>
                <w:rFonts w:hint="eastAsia"/>
                <w:sz w:val="24"/>
                <w:szCs w:val="24"/>
              </w:rPr>
              <w:t>20%</w:t>
            </w:r>
            <w:r w:rsidRPr="001241E3">
              <w:rPr>
                <w:rFonts w:hint="eastAsia"/>
                <w:sz w:val="24"/>
                <w:szCs w:val="24"/>
              </w:rPr>
              <w:t>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426DE" w:rsidRDefault="00D12BB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、中国证监会准予交银施罗德荣鑫保本混合型证券投资基金募集注册的文件；</w:t>
      </w:r>
      <w:r>
        <w:rPr>
          <w:color w:val="000000"/>
          <w:sz w:val="24"/>
          <w:szCs w:val="24"/>
        </w:rPr>
        <w:t xml:space="preserve"> </w:t>
      </w:r>
    </w:p>
    <w:p w:rsidR="003426DE" w:rsidRDefault="00D12BB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、《交银施罗德荣鑫保本混合型证券投资基金基金合同》；</w:t>
      </w:r>
      <w:r>
        <w:rPr>
          <w:color w:val="000000"/>
          <w:sz w:val="24"/>
          <w:szCs w:val="24"/>
        </w:rPr>
        <w:t xml:space="preserve"> </w:t>
      </w:r>
    </w:p>
    <w:p w:rsidR="003426DE" w:rsidRDefault="00D12BB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、《交银施罗德荣鑫保本混合型证券投资基金招募说明书》；</w:t>
      </w:r>
      <w:r>
        <w:rPr>
          <w:color w:val="000000"/>
          <w:sz w:val="24"/>
          <w:szCs w:val="24"/>
        </w:rPr>
        <w:t xml:space="preserve"> </w:t>
      </w:r>
    </w:p>
    <w:p w:rsidR="003426DE" w:rsidRDefault="00D12BB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、《交银施罗德荣鑫保本混合型证券投资基金托管协议》；</w:t>
      </w:r>
      <w:r>
        <w:rPr>
          <w:color w:val="000000"/>
          <w:sz w:val="24"/>
          <w:szCs w:val="24"/>
        </w:rPr>
        <w:t xml:space="preserve"> </w:t>
      </w:r>
    </w:p>
    <w:p w:rsidR="003426DE" w:rsidRDefault="00D12BB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、关于申请募集注册交银施罗德荣鑫保本混合型证券投资基金的法律意见书；</w:t>
      </w:r>
      <w:r>
        <w:rPr>
          <w:color w:val="000000"/>
          <w:sz w:val="24"/>
          <w:szCs w:val="24"/>
        </w:rPr>
        <w:t xml:space="preserve"> </w:t>
      </w:r>
    </w:p>
    <w:p w:rsidR="003426DE" w:rsidRDefault="00D12BB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426DE" w:rsidRDefault="00D12BB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3426DE" w:rsidRDefault="00D12BB5">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、《交银施罗德荣鑫保本混合型证券投资基金保证合同》；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、报告期内交银施罗德荣鑫保本混合型证券投资基金在指定报刊上各项公告的原稿。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426DE" w:rsidRDefault="00D12BB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w:t>
      </w:r>
      <w:r>
        <w:rPr>
          <w:color w:val="000000"/>
          <w:sz w:val="24"/>
          <w:szCs w:val="24"/>
        </w:rPr>
        <w:t>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B5" w:rsidRDefault="00D12BB5" w:rsidP="00876D65">
      <w:r>
        <w:separator/>
      </w:r>
    </w:p>
  </w:endnote>
  <w:endnote w:type="continuationSeparator" w:id="0">
    <w:p w:rsidR="00D12BB5" w:rsidRDefault="00D12BB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0D5A97">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0D5A97">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B5" w:rsidRDefault="00D12BB5" w:rsidP="00876D65">
      <w:r>
        <w:separator/>
      </w:r>
    </w:p>
  </w:footnote>
  <w:footnote w:type="continuationSeparator" w:id="0">
    <w:p w:rsidR="00D12BB5" w:rsidRDefault="00D12BB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D5A97"/>
    <w:rsid w:val="000E5DA5"/>
    <w:rsid w:val="000E7E5E"/>
    <w:rsid w:val="000F6CC8"/>
    <w:rsid w:val="00111261"/>
    <w:rsid w:val="001241E3"/>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26DE"/>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2BB5"/>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1E8C7D-671C-44F4-8B7E-CC4FBD2A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F0D8D-A744-4BDF-9462-7F63ADA8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13</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564</cp:revision>
  <dcterms:created xsi:type="dcterms:W3CDTF">2012-10-16T06:07:00Z</dcterms:created>
  <dcterms:modified xsi:type="dcterms:W3CDTF">2017-04-19T09:49:00Z</dcterms:modified>
</cp:coreProperties>
</file>