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交银施罗德中证环境治理指数型证券投资基金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2017</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2017</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二〇一七年四月二十四日</w:t>
      </w:r>
    </w:p>
    <w:p w:rsidR="00220542" w:rsidRPr="0036023B" w:rsidRDefault="00220542" w:rsidP="00C468DC">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6F3227" w:rsidRDefault="00515F6B">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F3227" w:rsidRDefault="00515F6B">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F3227" w:rsidRDefault="00515F6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F3227" w:rsidRDefault="00515F6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F3227" w:rsidRDefault="00515F6B">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2017</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C468DC">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138,839,258.79</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C468DC">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15F6B" w:rsidRPr="0036023B" w:rsidTr="00515F6B">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(2017</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-2017</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515F6B" w:rsidRPr="0036023B" w:rsidTr="00515F6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-300,859.60</w:t>
            </w:r>
          </w:p>
        </w:tc>
      </w:tr>
      <w:tr w:rsidR="00515F6B" w:rsidRPr="0036023B" w:rsidTr="00515F6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1,589,688.72</w:t>
            </w:r>
          </w:p>
        </w:tc>
      </w:tr>
      <w:tr w:rsidR="00515F6B" w:rsidRPr="0036023B" w:rsidTr="00515F6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0.0111</w:t>
            </w:r>
          </w:p>
        </w:tc>
      </w:tr>
      <w:tr w:rsidR="00515F6B" w:rsidRPr="0036023B" w:rsidTr="00515F6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137,291,313.53</w:t>
            </w:r>
          </w:p>
        </w:tc>
      </w:tr>
      <w:tr w:rsidR="00515F6B" w:rsidRPr="0036023B" w:rsidTr="00515F6B">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0.989</w:t>
            </w:r>
          </w:p>
        </w:tc>
      </w:tr>
    </w:tbl>
    <w:p w:rsidR="006F3227" w:rsidRDefault="00515F6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lastRenderedPageBreak/>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6F3227">
        <w:trPr>
          <w:jc w:val="center"/>
        </w:trPr>
        <w:tc>
          <w:tcPr>
            <w:tcW w:w="1469" w:type="dxa"/>
            <w:vAlign w:val="center"/>
          </w:tcPr>
          <w:p w:rsidR="006F3227" w:rsidRDefault="00515F6B">
            <w:pPr>
              <w:jc w:val="left"/>
            </w:pPr>
            <w:r>
              <w:rPr>
                <w:color w:val="000000"/>
                <w:sz w:val="24"/>
              </w:rPr>
              <w:t>过去三个月</w:t>
            </w:r>
          </w:p>
        </w:tc>
        <w:tc>
          <w:tcPr>
            <w:tcW w:w="1150" w:type="dxa"/>
            <w:vAlign w:val="center"/>
          </w:tcPr>
          <w:p w:rsidR="006F3227" w:rsidRDefault="00515F6B">
            <w:pPr>
              <w:jc w:val="center"/>
            </w:pPr>
            <w:r>
              <w:rPr>
                <w:color w:val="000000"/>
                <w:sz w:val="24"/>
              </w:rPr>
              <w:t>1.12%</w:t>
            </w:r>
          </w:p>
        </w:tc>
        <w:tc>
          <w:tcPr>
            <w:tcW w:w="1223" w:type="dxa"/>
            <w:vAlign w:val="center"/>
          </w:tcPr>
          <w:p w:rsidR="006F3227" w:rsidRDefault="00515F6B">
            <w:pPr>
              <w:jc w:val="center"/>
            </w:pPr>
            <w:r>
              <w:rPr>
                <w:color w:val="000000"/>
                <w:sz w:val="24"/>
              </w:rPr>
              <w:t>0.87%</w:t>
            </w:r>
          </w:p>
        </w:tc>
        <w:tc>
          <w:tcPr>
            <w:tcW w:w="1244" w:type="dxa"/>
            <w:vAlign w:val="center"/>
          </w:tcPr>
          <w:p w:rsidR="006F3227" w:rsidRDefault="00515F6B">
            <w:pPr>
              <w:jc w:val="center"/>
            </w:pPr>
            <w:r>
              <w:rPr>
                <w:color w:val="000000"/>
                <w:sz w:val="24"/>
              </w:rPr>
              <w:t>1.44%</w:t>
            </w:r>
          </w:p>
        </w:tc>
        <w:tc>
          <w:tcPr>
            <w:tcW w:w="1251" w:type="dxa"/>
            <w:vAlign w:val="center"/>
          </w:tcPr>
          <w:p w:rsidR="006F3227" w:rsidRDefault="00515F6B">
            <w:pPr>
              <w:jc w:val="center"/>
            </w:pPr>
            <w:r>
              <w:rPr>
                <w:color w:val="000000"/>
                <w:sz w:val="24"/>
              </w:rPr>
              <w:t>0.86%</w:t>
            </w:r>
          </w:p>
        </w:tc>
        <w:tc>
          <w:tcPr>
            <w:tcW w:w="1263" w:type="dxa"/>
            <w:vAlign w:val="center"/>
          </w:tcPr>
          <w:p w:rsidR="006F3227" w:rsidRDefault="00515F6B">
            <w:pPr>
              <w:jc w:val="center"/>
            </w:pPr>
            <w:r>
              <w:rPr>
                <w:color w:val="000000"/>
                <w:sz w:val="24"/>
              </w:rPr>
              <w:t>-0.32%</w:t>
            </w:r>
          </w:p>
        </w:tc>
        <w:tc>
          <w:tcPr>
            <w:tcW w:w="1268" w:type="dxa"/>
            <w:vAlign w:val="center"/>
          </w:tcPr>
          <w:p w:rsidR="006F3227" w:rsidRDefault="00515F6B">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2017</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日，基金转型日至报告期期末，本基金转型时间未满一年。本基金的投资转型期为交银施罗德中证环境治理指数分级证券投资基金转型实施日（即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C468DC">
      <w:pPr>
        <w:pStyle w:val="1"/>
        <w:spacing w:beforeLines="100" w:before="312" w:afterLines="100" w:after="312" w:line="288" w:lineRule="auto"/>
        <w:jc w:val="center"/>
        <w:rPr>
          <w:color w:val="000000"/>
          <w:kern w:val="0"/>
          <w:sz w:val="24"/>
          <w:szCs w:val="24"/>
        </w:rPr>
      </w:pPr>
      <w:r w:rsidRPr="0036023B">
        <w:rPr>
          <w:color w:val="000000"/>
          <w:kern w:val="0"/>
          <w:sz w:val="24"/>
          <w:szCs w:val="24"/>
        </w:rPr>
        <w:lastRenderedPageBreak/>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6F3227">
        <w:trPr>
          <w:jc w:val="center"/>
        </w:trPr>
        <w:tc>
          <w:tcPr>
            <w:tcW w:w="846" w:type="dxa"/>
            <w:vAlign w:val="center"/>
          </w:tcPr>
          <w:p w:rsidR="006F3227" w:rsidRDefault="00515F6B">
            <w:pPr>
              <w:jc w:val="center"/>
            </w:pPr>
            <w:r>
              <w:rPr>
                <w:color w:val="000000"/>
                <w:sz w:val="24"/>
              </w:rPr>
              <w:t>蔡铮</w:t>
            </w:r>
          </w:p>
        </w:tc>
        <w:tc>
          <w:tcPr>
            <w:tcW w:w="845" w:type="dxa"/>
            <w:vAlign w:val="center"/>
          </w:tcPr>
          <w:p w:rsidR="006F3227" w:rsidRDefault="00515F6B" w:rsidP="00B808EB">
            <w:pPr>
              <w:jc w:val="center"/>
            </w:pPr>
            <w:bookmarkStart w:id="0" w:name="_GoBack"/>
            <w:bookmarkEnd w:id="0"/>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w:t>
            </w:r>
            <w:r>
              <w:rPr>
                <w:color w:val="000000"/>
                <w:sz w:val="24"/>
              </w:rPr>
              <w:lastRenderedPageBreak/>
              <w:t>中证环境治理指数（</w:t>
            </w:r>
            <w:r>
              <w:rPr>
                <w:color w:val="000000"/>
                <w:sz w:val="24"/>
              </w:rPr>
              <w:t>LOF</w:t>
            </w:r>
            <w:r>
              <w:rPr>
                <w:color w:val="000000"/>
                <w:sz w:val="24"/>
              </w:rPr>
              <w:t>）的基金经理，公司量化投资部副总经理</w:t>
            </w:r>
          </w:p>
        </w:tc>
        <w:tc>
          <w:tcPr>
            <w:tcW w:w="1549" w:type="dxa"/>
            <w:vAlign w:val="center"/>
          </w:tcPr>
          <w:p w:rsidR="006F3227" w:rsidRDefault="00515F6B">
            <w:pPr>
              <w:jc w:val="center"/>
            </w:pPr>
            <w:r>
              <w:rPr>
                <w:color w:val="000000"/>
                <w:sz w:val="24"/>
              </w:rPr>
              <w:lastRenderedPageBreak/>
              <w:t>2015-08-13</w:t>
            </w:r>
          </w:p>
        </w:tc>
        <w:tc>
          <w:tcPr>
            <w:tcW w:w="1548" w:type="dxa"/>
            <w:vAlign w:val="center"/>
          </w:tcPr>
          <w:p w:rsidR="006F3227" w:rsidRDefault="00515F6B">
            <w:pPr>
              <w:jc w:val="center"/>
            </w:pPr>
            <w:r>
              <w:rPr>
                <w:color w:val="000000"/>
                <w:sz w:val="24"/>
              </w:rPr>
              <w:t>-</w:t>
            </w:r>
          </w:p>
        </w:tc>
        <w:tc>
          <w:tcPr>
            <w:tcW w:w="1407" w:type="dxa"/>
            <w:vAlign w:val="center"/>
          </w:tcPr>
          <w:p w:rsidR="006F3227" w:rsidRDefault="00515F6B">
            <w:pPr>
              <w:jc w:val="center"/>
            </w:pPr>
            <w:r>
              <w:rPr>
                <w:color w:val="000000"/>
                <w:sz w:val="24"/>
              </w:rPr>
              <w:t>8</w:t>
            </w:r>
            <w:r>
              <w:rPr>
                <w:color w:val="000000"/>
                <w:sz w:val="24"/>
              </w:rPr>
              <w:t>年</w:t>
            </w:r>
          </w:p>
        </w:tc>
        <w:tc>
          <w:tcPr>
            <w:tcW w:w="2673" w:type="dxa"/>
            <w:vAlign w:val="center"/>
          </w:tcPr>
          <w:p w:rsidR="006F3227" w:rsidRDefault="00515F6B">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6F3227" w:rsidRDefault="00515F6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F3227" w:rsidRDefault="00515F6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F3227" w:rsidRDefault="00515F6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w:t>
      </w:r>
      <w:r w:rsidRPr="0036023B">
        <w:rPr>
          <w:color w:val="000000"/>
          <w:sz w:val="24"/>
        </w:rPr>
        <w:lastRenderedPageBreak/>
        <w:t>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6F3227" w:rsidRDefault="00515F6B">
      <w:pPr>
        <w:spacing w:before="29" w:line="288" w:lineRule="auto"/>
        <w:ind w:firstLineChars="200" w:firstLine="480"/>
        <w:rPr>
          <w:color w:val="000000"/>
          <w:sz w:val="24"/>
        </w:rPr>
      </w:pPr>
      <w:r>
        <w:rPr>
          <w:color w:val="000000"/>
          <w:sz w:val="24"/>
        </w:rPr>
        <w:t>2017</w:t>
      </w:r>
      <w:r>
        <w:rPr>
          <w:color w:val="000000"/>
          <w:sz w:val="24"/>
        </w:rPr>
        <w:t>年一季度，国内宏观经济延续弱势平稳的态势，货币政策中性偏紧，经济基本面对资本市场的支持力度总体较为有限。美联储加息，预计全球流动性将进入逐步紧缩的周期。</w:t>
      </w:r>
      <w:r>
        <w:rPr>
          <w:color w:val="000000"/>
          <w:sz w:val="24"/>
        </w:rPr>
        <w:t>A</w:t>
      </w:r>
      <w:r>
        <w:rPr>
          <w:color w:val="000000"/>
          <w:sz w:val="24"/>
        </w:rPr>
        <w:t>股市场呈现出震荡上扬格局，期间低估值蓝筹股表现较好，这与地产需求预期的修复不无关系。作为跟踪中证环境治理指数的指数基金，在本季度总体呈现出震荡上扬的走势。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展望下一季度，国内经济已有所企稳，处于阶段性弱复苏期间，预计将继续维持温和增长的态势。预计严控房价依然是常态，金融部门去杠杆将持续。我们对</w:t>
      </w:r>
      <w:r w:rsidRPr="0036023B">
        <w:rPr>
          <w:color w:val="000000"/>
          <w:sz w:val="24"/>
        </w:rPr>
        <w:t>A</w:t>
      </w:r>
      <w:r w:rsidRPr="0036023B">
        <w:rPr>
          <w:color w:val="000000"/>
          <w:sz w:val="24"/>
        </w:rPr>
        <w:t>股市场总体维持谨慎的态度。</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2017</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日，交银施罗德中证环境治理指数型证券投资基金</w:t>
      </w:r>
      <w:r w:rsidRPr="0036023B">
        <w:rPr>
          <w:color w:val="000000"/>
          <w:sz w:val="24"/>
        </w:rPr>
        <w:t>(LOF)</w:t>
      </w:r>
      <w:r w:rsidRPr="0036023B">
        <w:rPr>
          <w:color w:val="000000"/>
          <w:sz w:val="24"/>
        </w:rPr>
        <w:t>份额净值为</w:t>
      </w:r>
      <w:r w:rsidRPr="0036023B">
        <w:rPr>
          <w:color w:val="000000"/>
          <w:sz w:val="24"/>
        </w:rPr>
        <w:t>0.989</w:t>
      </w:r>
      <w:r w:rsidRPr="0036023B">
        <w:rPr>
          <w:color w:val="000000"/>
          <w:sz w:val="24"/>
        </w:rPr>
        <w:t>元，本报告期份额净值增长率为</w:t>
      </w:r>
      <w:r w:rsidRPr="0036023B">
        <w:rPr>
          <w:color w:val="000000"/>
          <w:sz w:val="24"/>
        </w:rPr>
        <w:t>1.12%</w:t>
      </w:r>
      <w:r w:rsidRPr="0036023B">
        <w:rPr>
          <w:color w:val="000000"/>
          <w:sz w:val="24"/>
        </w:rPr>
        <w:t>，同期业绩比较基准增长率为</w:t>
      </w:r>
      <w:r w:rsidRPr="0036023B">
        <w:rPr>
          <w:color w:val="000000"/>
          <w:sz w:val="24"/>
        </w:rPr>
        <w:t>1.44%</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C468DC">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129,883,351.61</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93.61</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129,883,351.61</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93.61</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lastRenderedPageBreak/>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8,712,535.11</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6.28</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153,703.75</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0.11</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138,749,590.47</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56,420,271.71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41.10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25,728,402.66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18.74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9,580,160.88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6.98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3,607,560.00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2.63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34,546,956.36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25.16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129,883,351.61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94.60</w:t>
            </w:r>
          </w:p>
        </w:tc>
      </w:tr>
    </w:tbl>
    <w:p w:rsidR="00515F6B" w:rsidRDefault="00515F6B"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6F3227">
        <w:trPr>
          <w:jc w:val="center"/>
        </w:trPr>
        <w:tc>
          <w:tcPr>
            <w:tcW w:w="850" w:type="dxa"/>
            <w:vAlign w:val="center"/>
          </w:tcPr>
          <w:p w:rsidR="006F3227" w:rsidRDefault="00515F6B">
            <w:pPr>
              <w:jc w:val="center"/>
            </w:pPr>
            <w:r>
              <w:rPr>
                <w:color w:val="000000"/>
                <w:sz w:val="24"/>
              </w:rPr>
              <w:t>1</w:t>
            </w:r>
          </w:p>
        </w:tc>
        <w:tc>
          <w:tcPr>
            <w:tcW w:w="1327" w:type="dxa"/>
            <w:vAlign w:val="center"/>
          </w:tcPr>
          <w:p w:rsidR="006F3227" w:rsidRDefault="00515F6B">
            <w:pPr>
              <w:jc w:val="center"/>
            </w:pPr>
            <w:r>
              <w:rPr>
                <w:color w:val="000000"/>
                <w:sz w:val="24"/>
              </w:rPr>
              <w:t>300156</w:t>
            </w:r>
          </w:p>
        </w:tc>
        <w:tc>
          <w:tcPr>
            <w:tcW w:w="1769" w:type="dxa"/>
            <w:vAlign w:val="center"/>
          </w:tcPr>
          <w:p w:rsidR="006F3227" w:rsidRDefault="00515F6B">
            <w:pPr>
              <w:jc w:val="center"/>
            </w:pPr>
            <w:r>
              <w:rPr>
                <w:color w:val="000000"/>
                <w:sz w:val="24"/>
              </w:rPr>
              <w:t>神雾环保</w:t>
            </w:r>
          </w:p>
        </w:tc>
        <w:tc>
          <w:tcPr>
            <w:tcW w:w="1327" w:type="dxa"/>
            <w:vAlign w:val="center"/>
          </w:tcPr>
          <w:p w:rsidR="006F3227" w:rsidRDefault="00515F6B">
            <w:pPr>
              <w:jc w:val="right"/>
            </w:pPr>
            <w:r>
              <w:rPr>
                <w:color w:val="000000"/>
                <w:sz w:val="24"/>
              </w:rPr>
              <w:t>131,380</w:t>
            </w:r>
          </w:p>
        </w:tc>
        <w:tc>
          <w:tcPr>
            <w:tcW w:w="1915" w:type="dxa"/>
            <w:vAlign w:val="center"/>
          </w:tcPr>
          <w:p w:rsidR="006F3227" w:rsidRDefault="00515F6B">
            <w:pPr>
              <w:jc w:val="right"/>
            </w:pPr>
            <w:r>
              <w:rPr>
                <w:color w:val="000000"/>
                <w:sz w:val="24"/>
              </w:rPr>
              <w:t>4,598,300.00</w:t>
            </w:r>
          </w:p>
        </w:tc>
        <w:tc>
          <w:tcPr>
            <w:tcW w:w="1680" w:type="dxa"/>
            <w:vAlign w:val="center"/>
          </w:tcPr>
          <w:p w:rsidR="006F3227" w:rsidRDefault="00515F6B">
            <w:pPr>
              <w:jc w:val="right"/>
            </w:pPr>
            <w:r>
              <w:rPr>
                <w:color w:val="000000"/>
                <w:sz w:val="24"/>
              </w:rPr>
              <w:t>3.35</w:t>
            </w:r>
          </w:p>
        </w:tc>
      </w:tr>
      <w:tr w:rsidR="006F3227">
        <w:trPr>
          <w:jc w:val="center"/>
        </w:trPr>
        <w:tc>
          <w:tcPr>
            <w:tcW w:w="850" w:type="dxa"/>
            <w:vAlign w:val="center"/>
          </w:tcPr>
          <w:p w:rsidR="006F3227" w:rsidRDefault="00515F6B">
            <w:pPr>
              <w:jc w:val="center"/>
            </w:pPr>
            <w:r>
              <w:rPr>
                <w:color w:val="000000"/>
                <w:sz w:val="24"/>
              </w:rPr>
              <w:t>2</w:t>
            </w:r>
          </w:p>
        </w:tc>
        <w:tc>
          <w:tcPr>
            <w:tcW w:w="1327" w:type="dxa"/>
            <w:vAlign w:val="center"/>
          </w:tcPr>
          <w:p w:rsidR="006F3227" w:rsidRDefault="00515F6B">
            <w:pPr>
              <w:jc w:val="center"/>
            </w:pPr>
            <w:r>
              <w:rPr>
                <w:color w:val="000000"/>
                <w:sz w:val="24"/>
              </w:rPr>
              <w:t>300072</w:t>
            </w:r>
          </w:p>
        </w:tc>
        <w:tc>
          <w:tcPr>
            <w:tcW w:w="1769" w:type="dxa"/>
            <w:vAlign w:val="center"/>
          </w:tcPr>
          <w:p w:rsidR="006F3227" w:rsidRDefault="00515F6B">
            <w:pPr>
              <w:jc w:val="center"/>
            </w:pPr>
            <w:r>
              <w:rPr>
                <w:color w:val="000000"/>
                <w:sz w:val="24"/>
              </w:rPr>
              <w:t>三聚环保</w:t>
            </w:r>
          </w:p>
        </w:tc>
        <w:tc>
          <w:tcPr>
            <w:tcW w:w="1327" w:type="dxa"/>
            <w:vAlign w:val="center"/>
          </w:tcPr>
          <w:p w:rsidR="006F3227" w:rsidRDefault="00515F6B">
            <w:pPr>
              <w:jc w:val="right"/>
            </w:pPr>
            <w:r>
              <w:rPr>
                <w:color w:val="000000"/>
                <w:sz w:val="24"/>
              </w:rPr>
              <w:t>69,420</w:t>
            </w:r>
          </w:p>
        </w:tc>
        <w:tc>
          <w:tcPr>
            <w:tcW w:w="1915" w:type="dxa"/>
            <w:vAlign w:val="center"/>
          </w:tcPr>
          <w:p w:rsidR="006F3227" w:rsidRDefault="00515F6B">
            <w:pPr>
              <w:jc w:val="right"/>
            </w:pPr>
            <w:r>
              <w:rPr>
                <w:color w:val="000000"/>
                <w:sz w:val="24"/>
              </w:rPr>
              <w:t>4,343,609.40</w:t>
            </w:r>
          </w:p>
        </w:tc>
        <w:tc>
          <w:tcPr>
            <w:tcW w:w="1680" w:type="dxa"/>
            <w:vAlign w:val="center"/>
          </w:tcPr>
          <w:p w:rsidR="006F3227" w:rsidRDefault="00515F6B">
            <w:pPr>
              <w:jc w:val="right"/>
            </w:pPr>
            <w:r>
              <w:rPr>
                <w:color w:val="000000"/>
                <w:sz w:val="24"/>
              </w:rPr>
              <w:t>3.16</w:t>
            </w:r>
          </w:p>
        </w:tc>
      </w:tr>
      <w:tr w:rsidR="006F3227">
        <w:trPr>
          <w:jc w:val="center"/>
        </w:trPr>
        <w:tc>
          <w:tcPr>
            <w:tcW w:w="850" w:type="dxa"/>
            <w:vAlign w:val="center"/>
          </w:tcPr>
          <w:p w:rsidR="006F3227" w:rsidRDefault="00515F6B">
            <w:pPr>
              <w:jc w:val="center"/>
            </w:pPr>
            <w:r>
              <w:rPr>
                <w:color w:val="000000"/>
                <w:sz w:val="24"/>
              </w:rPr>
              <w:t>3</w:t>
            </w:r>
          </w:p>
        </w:tc>
        <w:tc>
          <w:tcPr>
            <w:tcW w:w="1327" w:type="dxa"/>
            <w:vAlign w:val="center"/>
          </w:tcPr>
          <w:p w:rsidR="006F3227" w:rsidRDefault="00515F6B">
            <w:pPr>
              <w:jc w:val="center"/>
            </w:pPr>
            <w:r>
              <w:rPr>
                <w:color w:val="000000"/>
                <w:sz w:val="24"/>
              </w:rPr>
              <w:t>002340</w:t>
            </w:r>
          </w:p>
        </w:tc>
        <w:tc>
          <w:tcPr>
            <w:tcW w:w="1769" w:type="dxa"/>
            <w:vAlign w:val="center"/>
          </w:tcPr>
          <w:p w:rsidR="006F3227" w:rsidRDefault="00515F6B">
            <w:pPr>
              <w:jc w:val="center"/>
            </w:pPr>
            <w:r>
              <w:rPr>
                <w:color w:val="000000"/>
                <w:sz w:val="24"/>
              </w:rPr>
              <w:t>格林美</w:t>
            </w:r>
          </w:p>
        </w:tc>
        <w:tc>
          <w:tcPr>
            <w:tcW w:w="1327" w:type="dxa"/>
            <w:vAlign w:val="center"/>
          </w:tcPr>
          <w:p w:rsidR="006F3227" w:rsidRDefault="00515F6B">
            <w:pPr>
              <w:jc w:val="right"/>
            </w:pPr>
            <w:r>
              <w:rPr>
                <w:color w:val="000000"/>
                <w:sz w:val="24"/>
              </w:rPr>
              <w:t>463,800</w:t>
            </w:r>
          </w:p>
        </w:tc>
        <w:tc>
          <w:tcPr>
            <w:tcW w:w="1915" w:type="dxa"/>
            <w:vAlign w:val="center"/>
          </w:tcPr>
          <w:p w:rsidR="006F3227" w:rsidRDefault="00515F6B">
            <w:pPr>
              <w:jc w:val="right"/>
            </w:pPr>
            <w:r>
              <w:rPr>
                <w:color w:val="000000"/>
                <w:sz w:val="24"/>
              </w:rPr>
              <w:t>3,807,798.00</w:t>
            </w:r>
          </w:p>
        </w:tc>
        <w:tc>
          <w:tcPr>
            <w:tcW w:w="1680" w:type="dxa"/>
            <w:vAlign w:val="center"/>
          </w:tcPr>
          <w:p w:rsidR="006F3227" w:rsidRDefault="00515F6B">
            <w:pPr>
              <w:jc w:val="right"/>
            </w:pPr>
            <w:r>
              <w:rPr>
                <w:color w:val="000000"/>
                <w:sz w:val="24"/>
              </w:rPr>
              <w:t>2.77</w:t>
            </w:r>
          </w:p>
        </w:tc>
      </w:tr>
      <w:tr w:rsidR="006F3227">
        <w:trPr>
          <w:jc w:val="center"/>
        </w:trPr>
        <w:tc>
          <w:tcPr>
            <w:tcW w:w="850" w:type="dxa"/>
            <w:vAlign w:val="center"/>
          </w:tcPr>
          <w:p w:rsidR="006F3227" w:rsidRDefault="00515F6B">
            <w:pPr>
              <w:jc w:val="center"/>
            </w:pPr>
            <w:r>
              <w:rPr>
                <w:color w:val="000000"/>
                <w:sz w:val="24"/>
              </w:rPr>
              <w:t>4</w:t>
            </w:r>
          </w:p>
        </w:tc>
        <w:tc>
          <w:tcPr>
            <w:tcW w:w="1327" w:type="dxa"/>
            <w:vAlign w:val="center"/>
          </w:tcPr>
          <w:p w:rsidR="006F3227" w:rsidRDefault="00515F6B">
            <w:pPr>
              <w:jc w:val="center"/>
            </w:pPr>
            <w:r>
              <w:rPr>
                <w:color w:val="000000"/>
                <w:sz w:val="24"/>
              </w:rPr>
              <w:t>300332</w:t>
            </w:r>
          </w:p>
        </w:tc>
        <w:tc>
          <w:tcPr>
            <w:tcW w:w="1769" w:type="dxa"/>
            <w:vAlign w:val="center"/>
          </w:tcPr>
          <w:p w:rsidR="006F3227" w:rsidRDefault="00515F6B">
            <w:pPr>
              <w:jc w:val="center"/>
            </w:pPr>
            <w:r>
              <w:rPr>
                <w:color w:val="000000"/>
                <w:sz w:val="24"/>
              </w:rPr>
              <w:t>天壕环境</w:t>
            </w:r>
          </w:p>
        </w:tc>
        <w:tc>
          <w:tcPr>
            <w:tcW w:w="1327" w:type="dxa"/>
            <w:vAlign w:val="center"/>
          </w:tcPr>
          <w:p w:rsidR="006F3227" w:rsidRDefault="00515F6B">
            <w:pPr>
              <w:jc w:val="right"/>
            </w:pPr>
            <w:r>
              <w:rPr>
                <w:color w:val="000000"/>
                <w:sz w:val="24"/>
              </w:rPr>
              <w:t>353,800</w:t>
            </w:r>
          </w:p>
        </w:tc>
        <w:tc>
          <w:tcPr>
            <w:tcW w:w="1915" w:type="dxa"/>
            <w:vAlign w:val="center"/>
          </w:tcPr>
          <w:p w:rsidR="006F3227" w:rsidRDefault="00515F6B">
            <w:pPr>
              <w:jc w:val="right"/>
            </w:pPr>
            <w:r>
              <w:rPr>
                <w:color w:val="000000"/>
                <w:sz w:val="24"/>
              </w:rPr>
              <w:t>3,615,836.00</w:t>
            </w:r>
          </w:p>
        </w:tc>
        <w:tc>
          <w:tcPr>
            <w:tcW w:w="1680" w:type="dxa"/>
            <w:vAlign w:val="center"/>
          </w:tcPr>
          <w:p w:rsidR="006F3227" w:rsidRDefault="00515F6B">
            <w:pPr>
              <w:jc w:val="right"/>
            </w:pPr>
            <w:r>
              <w:rPr>
                <w:color w:val="000000"/>
                <w:sz w:val="24"/>
              </w:rPr>
              <w:t>2.63</w:t>
            </w:r>
          </w:p>
        </w:tc>
      </w:tr>
      <w:tr w:rsidR="006F3227">
        <w:trPr>
          <w:jc w:val="center"/>
        </w:trPr>
        <w:tc>
          <w:tcPr>
            <w:tcW w:w="850" w:type="dxa"/>
            <w:vAlign w:val="center"/>
          </w:tcPr>
          <w:p w:rsidR="006F3227" w:rsidRDefault="00515F6B">
            <w:pPr>
              <w:jc w:val="center"/>
            </w:pPr>
            <w:r>
              <w:rPr>
                <w:color w:val="000000"/>
                <w:sz w:val="24"/>
              </w:rPr>
              <w:t>5</w:t>
            </w:r>
          </w:p>
        </w:tc>
        <w:tc>
          <w:tcPr>
            <w:tcW w:w="1327" w:type="dxa"/>
            <w:vAlign w:val="center"/>
          </w:tcPr>
          <w:p w:rsidR="006F3227" w:rsidRDefault="00515F6B">
            <w:pPr>
              <w:jc w:val="center"/>
            </w:pPr>
            <w:r>
              <w:rPr>
                <w:color w:val="000000"/>
                <w:sz w:val="24"/>
              </w:rPr>
              <w:t>002573</w:t>
            </w:r>
          </w:p>
        </w:tc>
        <w:tc>
          <w:tcPr>
            <w:tcW w:w="1769" w:type="dxa"/>
            <w:vAlign w:val="center"/>
          </w:tcPr>
          <w:p w:rsidR="006F3227" w:rsidRDefault="00515F6B">
            <w:pPr>
              <w:jc w:val="center"/>
            </w:pPr>
            <w:r>
              <w:rPr>
                <w:color w:val="000000"/>
                <w:sz w:val="24"/>
              </w:rPr>
              <w:t>清新环境</w:t>
            </w:r>
          </w:p>
        </w:tc>
        <w:tc>
          <w:tcPr>
            <w:tcW w:w="1327" w:type="dxa"/>
            <w:vAlign w:val="center"/>
          </w:tcPr>
          <w:p w:rsidR="006F3227" w:rsidRDefault="00515F6B">
            <w:pPr>
              <w:jc w:val="right"/>
            </w:pPr>
            <w:r>
              <w:rPr>
                <w:color w:val="000000"/>
                <w:sz w:val="24"/>
              </w:rPr>
              <w:t>186,500</w:t>
            </w:r>
          </w:p>
        </w:tc>
        <w:tc>
          <w:tcPr>
            <w:tcW w:w="1915" w:type="dxa"/>
            <w:vAlign w:val="center"/>
          </w:tcPr>
          <w:p w:rsidR="006F3227" w:rsidRDefault="00515F6B">
            <w:pPr>
              <w:jc w:val="right"/>
            </w:pPr>
            <w:r>
              <w:rPr>
                <w:color w:val="000000"/>
                <w:sz w:val="24"/>
              </w:rPr>
              <w:t>3,610,640.00</w:t>
            </w:r>
          </w:p>
        </w:tc>
        <w:tc>
          <w:tcPr>
            <w:tcW w:w="1680" w:type="dxa"/>
            <w:vAlign w:val="center"/>
          </w:tcPr>
          <w:p w:rsidR="006F3227" w:rsidRDefault="00515F6B">
            <w:pPr>
              <w:jc w:val="right"/>
            </w:pPr>
            <w:r>
              <w:rPr>
                <w:color w:val="000000"/>
                <w:sz w:val="24"/>
              </w:rPr>
              <w:t>2.63</w:t>
            </w:r>
          </w:p>
        </w:tc>
      </w:tr>
      <w:tr w:rsidR="006F3227">
        <w:trPr>
          <w:jc w:val="center"/>
        </w:trPr>
        <w:tc>
          <w:tcPr>
            <w:tcW w:w="850" w:type="dxa"/>
            <w:vAlign w:val="center"/>
          </w:tcPr>
          <w:p w:rsidR="006F3227" w:rsidRDefault="00515F6B">
            <w:pPr>
              <w:jc w:val="center"/>
            </w:pPr>
            <w:r>
              <w:rPr>
                <w:color w:val="000000"/>
                <w:sz w:val="24"/>
              </w:rPr>
              <w:t>6</w:t>
            </w:r>
          </w:p>
        </w:tc>
        <w:tc>
          <w:tcPr>
            <w:tcW w:w="1327" w:type="dxa"/>
            <w:vAlign w:val="center"/>
          </w:tcPr>
          <w:p w:rsidR="006F3227" w:rsidRDefault="00515F6B">
            <w:pPr>
              <w:jc w:val="center"/>
            </w:pPr>
            <w:r>
              <w:rPr>
                <w:color w:val="000000"/>
                <w:sz w:val="24"/>
              </w:rPr>
              <w:t>603126</w:t>
            </w:r>
          </w:p>
        </w:tc>
        <w:tc>
          <w:tcPr>
            <w:tcW w:w="1769" w:type="dxa"/>
            <w:vAlign w:val="center"/>
          </w:tcPr>
          <w:p w:rsidR="006F3227" w:rsidRDefault="00515F6B">
            <w:pPr>
              <w:jc w:val="center"/>
            </w:pPr>
            <w:r>
              <w:rPr>
                <w:color w:val="000000"/>
                <w:sz w:val="24"/>
              </w:rPr>
              <w:t>中材节能</w:t>
            </w:r>
          </w:p>
        </w:tc>
        <w:tc>
          <w:tcPr>
            <w:tcW w:w="1327" w:type="dxa"/>
            <w:vAlign w:val="center"/>
          </w:tcPr>
          <w:p w:rsidR="006F3227" w:rsidRDefault="00515F6B">
            <w:pPr>
              <w:jc w:val="right"/>
            </w:pPr>
            <w:r>
              <w:rPr>
                <w:color w:val="000000"/>
                <w:sz w:val="24"/>
              </w:rPr>
              <w:t>273,300</w:t>
            </w:r>
          </w:p>
        </w:tc>
        <w:tc>
          <w:tcPr>
            <w:tcW w:w="1915" w:type="dxa"/>
            <w:vAlign w:val="center"/>
          </w:tcPr>
          <w:p w:rsidR="006F3227" w:rsidRDefault="00515F6B">
            <w:pPr>
              <w:jc w:val="right"/>
            </w:pPr>
            <w:r>
              <w:rPr>
                <w:color w:val="000000"/>
                <w:sz w:val="24"/>
              </w:rPr>
              <w:t>3,607,560.00</w:t>
            </w:r>
          </w:p>
        </w:tc>
        <w:tc>
          <w:tcPr>
            <w:tcW w:w="1680" w:type="dxa"/>
            <w:vAlign w:val="center"/>
          </w:tcPr>
          <w:p w:rsidR="006F3227" w:rsidRDefault="00515F6B">
            <w:pPr>
              <w:jc w:val="right"/>
            </w:pPr>
            <w:r>
              <w:rPr>
                <w:color w:val="000000"/>
                <w:sz w:val="24"/>
              </w:rPr>
              <w:t>2.63</w:t>
            </w:r>
          </w:p>
        </w:tc>
      </w:tr>
      <w:tr w:rsidR="006F3227">
        <w:trPr>
          <w:jc w:val="center"/>
        </w:trPr>
        <w:tc>
          <w:tcPr>
            <w:tcW w:w="850" w:type="dxa"/>
            <w:vAlign w:val="center"/>
          </w:tcPr>
          <w:p w:rsidR="006F3227" w:rsidRDefault="00515F6B">
            <w:pPr>
              <w:jc w:val="center"/>
            </w:pPr>
            <w:r>
              <w:rPr>
                <w:color w:val="000000"/>
                <w:sz w:val="24"/>
              </w:rPr>
              <w:t>7</w:t>
            </w:r>
          </w:p>
        </w:tc>
        <w:tc>
          <w:tcPr>
            <w:tcW w:w="1327" w:type="dxa"/>
            <w:vAlign w:val="center"/>
          </w:tcPr>
          <w:p w:rsidR="006F3227" w:rsidRDefault="00515F6B">
            <w:pPr>
              <w:jc w:val="center"/>
            </w:pPr>
            <w:r>
              <w:rPr>
                <w:color w:val="000000"/>
                <w:sz w:val="24"/>
              </w:rPr>
              <w:t>000939</w:t>
            </w:r>
          </w:p>
        </w:tc>
        <w:tc>
          <w:tcPr>
            <w:tcW w:w="1769" w:type="dxa"/>
            <w:vAlign w:val="center"/>
          </w:tcPr>
          <w:p w:rsidR="006F3227" w:rsidRDefault="00515F6B">
            <w:pPr>
              <w:jc w:val="center"/>
            </w:pPr>
            <w:r>
              <w:rPr>
                <w:color w:val="000000"/>
                <w:sz w:val="24"/>
              </w:rPr>
              <w:t>凯迪生态</w:t>
            </w:r>
          </w:p>
        </w:tc>
        <w:tc>
          <w:tcPr>
            <w:tcW w:w="1327" w:type="dxa"/>
            <w:vAlign w:val="center"/>
          </w:tcPr>
          <w:p w:rsidR="006F3227" w:rsidRDefault="00515F6B">
            <w:pPr>
              <w:jc w:val="right"/>
            </w:pPr>
            <w:r>
              <w:rPr>
                <w:color w:val="000000"/>
                <w:sz w:val="24"/>
              </w:rPr>
              <w:t>299,348</w:t>
            </w:r>
          </w:p>
        </w:tc>
        <w:tc>
          <w:tcPr>
            <w:tcW w:w="1915" w:type="dxa"/>
            <w:vAlign w:val="center"/>
          </w:tcPr>
          <w:p w:rsidR="006F3227" w:rsidRDefault="00515F6B">
            <w:pPr>
              <w:jc w:val="right"/>
            </w:pPr>
            <w:r>
              <w:rPr>
                <w:color w:val="000000"/>
                <w:sz w:val="24"/>
              </w:rPr>
              <w:t>3,550,267.28</w:t>
            </w:r>
          </w:p>
        </w:tc>
        <w:tc>
          <w:tcPr>
            <w:tcW w:w="1680" w:type="dxa"/>
            <w:vAlign w:val="center"/>
          </w:tcPr>
          <w:p w:rsidR="006F3227" w:rsidRDefault="00515F6B">
            <w:pPr>
              <w:jc w:val="right"/>
            </w:pPr>
            <w:r>
              <w:rPr>
                <w:color w:val="000000"/>
                <w:sz w:val="24"/>
              </w:rPr>
              <w:t>2.59</w:t>
            </w:r>
          </w:p>
        </w:tc>
      </w:tr>
      <w:tr w:rsidR="006F3227">
        <w:trPr>
          <w:jc w:val="center"/>
        </w:trPr>
        <w:tc>
          <w:tcPr>
            <w:tcW w:w="850" w:type="dxa"/>
            <w:vAlign w:val="center"/>
          </w:tcPr>
          <w:p w:rsidR="006F3227" w:rsidRDefault="00515F6B">
            <w:pPr>
              <w:jc w:val="center"/>
            </w:pPr>
            <w:r>
              <w:rPr>
                <w:color w:val="000000"/>
                <w:sz w:val="24"/>
              </w:rPr>
              <w:t>8</w:t>
            </w:r>
          </w:p>
        </w:tc>
        <w:tc>
          <w:tcPr>
            <w:tcW w:w="1327" w:type="dxa"/>
            <w:vAlign w:val="center"/>
          </w:tcPr>
          <w:p w:rsidR="006F3227" w:rsidRDefault="00515F6B">
            <w:pPr>
              <w:jc w:val="center"/>
            </w:pPr>
            <w:r>
              <w:rPr>
                <w:color w:val="000000"/>
                <w:sz w:val="24"/>
              </w:rPr>
              <w:t>300266</w:t>
            </w:r>
          </w:p>
        </w:tc>
        <w:tc>
          <w:tcPr>
            <w:tcW w:w="1769" w:type="dxa"/>
            <w:vAlign w:val="center"/>
          </w:tcPr>
          <w:p w:rsidR="006F3227" w:rsidRDefault="00515F6B">
            <w:pPr>
              <w:jc w:val="center"/>
            </w:pPr>
            <w:r>
              <w:rPr>
                <w:color w:val="000000"/>
                <w:sz w:val="24"/>
              </w:rPr>
              <w:t>兴源环境</w:t>
            </w:r>
          </w:p>
        </w:tc>
        <w:tc>
          <w:tcPr>
            <w:tcW w:w="1327" w:type="dxa"/>
            <w:vAlign w:val="center"/>
          </w:tcPr>
          <w:p w:rsidR="006F3227" w:rsidRDefault="00515F6B">
            <w:pPr>
              <w:jc w:val="right"/>
            </w:pPr>
            <w:r>
              <w:rPr>
                <w:color w:val="000000"/>
                <w:sz w:val="24"/>
              </w:rPr>
              <w:t>65,400</w:t>
            </w:r>
          </w:p>
        </w:tc>
        <w:tc>
          <w:tcPr>
            <w:tcW w:w="1915" w:type="dxa"/>
            <w:vAlign w:val="center"/>
          </w:tcPr>
          <w:p w:rsidR="006F3227" w:rsidRDefault="00515F6B">
            <w:pPr>
              <w:jc w:val="right"/>
            </w:pPr>
            <w:r>
              <w:rPr>
                <w:color w:val="000000"/>
                <w:sz w:val="24"/>
              </w:rPr>
              <w:t>3,458,352.00</w:t>
            </w:r>
          </w:p>
        </w:tc>
        <w:tc>
          <w:tcPr>
            <w:tcW w:w="1680" w:type="dxa"/>
            <w:vAlign w:val="center"/>
          </w:tcPr>
          <w:p w:rsidR="006F3227" w:rsidRDefault="00515F6B">
            <w:pPr>
              <w:jc w:val="right"/>
            </w:pPr>
            <w:r>
              <w:rPr>
                <w:color w:val="000000"/>
                <w:sz w:val="24"/>
              </w:rPr>
              <w:t>2.52</w:t>
            </w:r>
          </w:p>
        </w:tc>
      </w:tr>
      <w:tr w:rsidR="006F3227">
        <w:trPr>
          <w:jc w:val="center"/>
        </w:trPr>
        <w:tc>
          <w:tcPr>
            <w:tcW w:w="850" w:type="dxa"/>
            <w:vAlign w:val="center"/>
          </w:tcPr>
          <w:p w:rsidR="006F3227" w:rsidRDefault="00515F6B">
            <w:pPr>
              <w:jc w:val="center"/>
            </w:pPr>
            <w:r>
              <w:rPr>
                <w:color w:val="000000"/>
                <w:sz w:val="24"/>
              </w:rPr>
              <w:t>9</w:t>
            </w:r>
          </w:p>
        </w:tc>
        <w:tc>
          <w:tcPr>
            <w:tcW w:w="1327" w:type="dxa"/>
            <w:vAlign w:val="center"/>
          </w:tcPr>
          <w:p w:rsidR="006F3227" w:rsidRDefault="00515F6B">
            <w:pPr>
              <w:jc w:val="center"/>
            </w:pPr>
            <w:r>
              <w:rPr>
                <w:color w:val="000000"/>
                <w:sz w:val="24"/>
              </w:rPr>
              <w:t>300152</w:t>
            </w:r>
          </w:p>
        </w:tc>
        <w:tc>
          <w:tcPr>
            <w:tcW w:w="1769" w:type="dxa"/>
            <w:vAlign w:val="center"/>
          </w:tcPr>
          <w:p w:rsidR="006F3227" w:rsidRDefault="00515F6B">
            <w:pPr>
              <w:jc w:val="center"/>
            </w:pPr>
            <w:r>
              <w:rPr>
                <w:color w:val="000000"/>
                <w:sz w:val="24"/>
              </w:rPr>
              <w:t>科融环境</w:t>
            </w:r>
          </w:p>
        </w:tc>
        <w:tc>
          <w:tcPr>
            <w:tcW w:w="1327" w:type="dxa"/>
            <w:vAlign w:val="center"/>
          </w:tcPr>
          <w:p w:rsidR="006F3227" w:rsidRDefault="00515F6B">
            <w:pPr>
              <w:jc w:val="right"/>
            </w:pPr>
            <w:r>
              <w:rPr>
                <w:color w:val="000000"/>
                <w:sz w:val="24"/>
              </w:rPr>
              <w:t>421,300</w:t>
            </w:r>
          </w:p>
        </w:tc>
        <w:tc>
          <w:tcPr>
            <w:tcW w:w="1915" w:type="dxa"/>
            <w:vAlign w:val="center"/>
          </w:tcPr>
          <w:p w:rsidR="006F3227" w:rsidRDefault="00515F6B">
            <w:pPr>
              <w:jc w:val="right"/>
            </w:pPr>
            <w:r>
              <w:rPr>
                <w:color w:val="000000"/>
                <w:sz w:val="24"/>
              </w:rPr>
              <w:t>3,433,595.00</w:t>
            </w:r>
          </w:p>
        </w:tc>
        <w:tc>
          <w:tcPr>
            <w:tcW w:w="1680" w:type="dxa"/>
            <w:vAlign w:val="center"/>
          </w:tcPr>
          <w:p w:rsidR="006F3227" w:rsidRDefault="00515F6B">
            <w:pPr>
              <w:jc w:val="right"/>
            </w:pPr>
            <w:r>
              <w:rPr>
                <w:color w:val="000000"/>
                <w:sz w:val="24"/>
              </w:rPr>
              <w:t>2.50</w:t>
            </w:r>
          </w:p>
        </w:tc>
      </w:tr>
      <w:tr w:rsidR="006F3227">
        <w:trPr>
          <w:jc w:val="center"/>
        </w:trPr>
        <w:tc>
          <w:tcPr>
            <w:tcW w:w="850" w:type="dxa"/>
            <w:vAlign w:val="center"/>
          </w:tcPr>
          <w:p w:rsidR="006F3227" w:rsidRDefault="00515F6B">
            <w:pPr>
              <w:jc w:val="center"/>
            </w:pPr>
            <w:r>
              <w:rPr>
                <w:color w:val="000000"/>
                <w:sz w:val="24"/>
              </w:rPr>
              <w:t>10</w:t>
            </w:r>
          </w:p>
        </w:tc>
        <w:tc>
          <w:tcPr>
            <w:tcW w:w="1327" w:type="dxa"/>
            <w:vAlign w:val="center"/>
          </w:tcPr>
          <w:p w:rsidR="006F3227" w:rsidRDefault="00515F6B">
            <w:pPr>
              <w:jc w:val="center"/>
            </w:pPr>
            <w:r>
              <w:rPr>
                <w:color w:val="000000"/>
                <w:sz w:val="24"/>
              </w:rPr>
              <w:t>300137</w:t>
            </w:r>
          </w:p>
        </w:tc>
        <w:tc>
          <w:tcPr>
            <w:tcW w:w="1769" w:type="dxa"/>
            <w:vAlign w:val="center"/>
          </w:tcPr>
          <w:p w:rsidR="006F3227" w:rsidRDefault="00515F6B">
            <w:pPr>
              <w:jc w:val="center"/>
            </w:pPr>
            <w:r>
              <w:rPr>
                <w:color w:val="000000"/>
                <w:sz w:val="24"/>
              </w:rPr>
              <w:t>先河环保</w:t>
            </w:r>
          </w:p>
        </w:tc>
        <w:tc>
          <w:tcPr>
            <w:tcW w:w="1327" w:type="dxa"/>
            <w:vAlign w:val="center"/>
          </w:tcPr>
          <w:p w:rsidR="006F3227" w:rsidRDefault="00515F6B">
            <w:pPr>
              <w:jc w:val="right"/>
            </w:pPr>
            <w:r>
              <w:rPr>
                <w:color w:val="000000"/>
                <w:sz w:val="24"/>
              </w:rPr>
              <w:t>221,434</w:t>
            </w:r>
          </w:p>
        </w:tc>
        <w:tc>
          <w:tcPr>
            <w:tcW w:w="1915" w:type="dxa"/>
            <w:vAlign w:val="center"/>
          </w:tcPr>
          <w:p w:rsidR="006F3227" w:rsidRDefault="00515F6B">
            <w:pPr>
              <w:jc w:val="right"/>
            </w:pPr>
            <w:r>
              <w:rPr>
                <w:color w:val="000000"/>
                <w:sz w:val="24"/>
              </w:rPr>
              <w:t>3,421,155.30</w:t>
            </w:r>
          </w:p>
        </w:tc>
        <w:tc>
          <w:tcPr>
            <w:tcW w:w="1680" w:type="dxa"/>
            <w:vAlign w:val="center"/>
          </w:tcPr>
          <w:p w:rsidR="006F3227" w:rsidRDefault="00515F6B">
            <w:pPr>
              <w:jc w:val="right"/>
            </w:pPr>
            <w:r>
              <w:rPr>
                <w:color w:val="000000"/>
                <w:sz w:val="24"/>
              </w:rPr>
              <w:t>2.49</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28,609.40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1,805.39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123,288.96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153,703.75</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lastRenderedPageBreak/>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6F3227">
        <w:trPr>
          <w:jc w:val="center"/>
        </w:trPr>
        <w:tc>
          <w:tcPr>
            <w:tcW w:w="1129" w:type="dxa"/>
            <w:vAlign w:val="center"/>
          </w:tcPr>
          <w:p w:rsidR="006F3227" w:rsidRDefault="00515F6B">
            <w:pPr>
              <w:jc w:val="center"/>
            </w:pPr>
            <w:r>
              <w:rPr>
                <w:color w:val="000000"/>
                <w:sz w:val="24"/>
              </w:rPr>
              <w:t>1</w:t>
            </w:r>
          </w:p>
        </w:tc>
        <w:tc>
          <w:tcPr>
            <w:tcW w:w="1356" w:type="dxa"/>
            <w:vAlign w:val="center"/>
          </w:tcPr>
          <w:p w:rsidR="006F3227" w:rsidRDefault="00515F6B">
            <w:pPr>
              <w:jc w:val="center"/>
            </w:pPr>
            <w:r>
              <w:rPr>
                <w:color w:val="000000"/>
                <w:sz w:val="24"/>
              </w:rPr>
              <w:t>300266</w:t>
            </w:r>
          </w:p>
        </w:tc>
        <w:tc>
          <w:tcPr>
            <w:tcW w:w="1355" w:type="dxa"/>
            <w:vAlign w:val="center"/>
          </w:tcPr>
          <w:p w:rsidR="006F3227" w:rsidRDefault="00515F6B">
            <w:pPr>
              <w:jc w:val="center"/>
            </w:pPr>
            <w:r>
              <w:rPr>
                <w:color w:val="000000"/>
                <w:sz w:val="24"/>
              </w:rPr>
              <w:t>兴源环境</w:t>
            </w:r>
          </w:p>
        </w:tc>
        <w:tc>
          <w:tcPr>
            <w:tcW w:w="1880" w:type="dxa"/>
            <w:vAlign w:val="center"/>
          </w:tcPr>
          <w:p w:rsidR="006F3227" w:rsidRDefault="00515F6B">
            <w:pPr>
              <w:jc w:val="right"/>
            </w:pPr>
            <w:r>
              <w:rPr>
                <w:color w:val="000000"/>
                <w:sz w:val="24"/>
              </w:rPr>
              <w:t>3,458,352.00</w:t>
            </w:r>
          </w:p>
        </w:tc>
        <w:tc>
          <w:tcPr>
            <w:tcW w:w="1724" w:type="dxa"/>
            <w:vAlign w:val="center"/>
          </w:tcPr>
          <w:p w:rsidR="006F3227" w:rsidRDefault="00515F6B">
            <w:pPr>
              <w:jc w:val="right"/>
            </w:pPr>
            <w:r>
              <w:rPr>
                <w:color w:val="000000"/>
                <w:sz w:val="24"/>
              </w:rPr>
              <w:t>2.52</w:t>
            </w:r>
          </w:p>
        </w:tc>
        <w:tc>
          <w:tcPr>
            <w:tcW w:w="1424" w:type="dxa"/>
            <w:vAlign w:val="center"/>
          </w:tcPr>
          <w:p w:rsidR="006F3227" w:rsidRDefault="00515F6B">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C468DC">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143,982,354.68</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7,837,569.13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12,980,665.02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138,839,258.79</w:t>
            </w:r>
          </w:p>
        </w:tc>
      </w:tr>
    </w:tbl>
    <w:p w:rsidR="006F3227" w:rsidRDefault="00515F6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C468DC">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lastRenderedPageBreak/>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54.78</w:t>
            </w:r>
          </w:p>
        </w:tc>
      </w:tr>
    </w:tbl>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C468DC" w:rsidRPr="007E75F6" w:rsidRDefault="00C468DC" w:rsidP="00C46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C468DC" w:rsidRPr="007E75F6" w:rsidRDefault="00C468DC" w:rsidP="00C46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C468DC" w:rsidRPr="00B808EB" w:rsidTr="00FD6136">
        <w:tc>
          <w:tcPr>
            <w:tcW w:w="851" w:type="dxa"/>
            <w:vMerge w:val="restart"/>
            <w:vAlign w:val="center"/>
          </w:tcPr>
          <w:p w:rsidR="00C468DC" w:rsidRPr="0025156C" w:rsidRDefault="00C468DC" w:rsidP="00FD6136">
            <w:pPr>
              <w:autoSpaceDE w:val="0"/>
              <w:autoSpaceDN w:val="0"/>
              <w:adjustRightInd w:val="0"/>
              <w:jc w:val="center"/>
              <w:rPr>
                <w:rFonts w:ascii="宋体" w:hAnsi="宋体"/>
                <w:color w:val="000000"/>
                <w:sz w:val="24"/>
              </w:rPr>
            </w:pPr>
            <w:r w:rsidRPr="0025156C">
              <w:rPr>
                <w:rFonts w:ascii="宋体" w:hAnsi="宋体" w:hint="eastAsia"/>
                <w:color w:val="000000"/>
                <w:sz w:val="24"/>
              </w:rPr>
              <w:t>投资者类别</w:t>
            </w:r>
          </w:p>
        </w:tc>
        <w:tc>
          <w:tcPr>
            <w:tcW w:w="5670" w:type="dxa"/>
            <w:gridSpan w:val="5"/>
            <w:vAlign w:val="center"/>
          </w:tcPr>
          <w:p w:rsidR="00C468DC" w:rsidRPr="0025156C" w:rsidRDefault="00C468DC" w:rsidP="00FD6136">
            <w:pPr>
              <w:autoSpaceDE w:val="0"/>
              <w:autoSpaceDN w:val="0"/>
              <w:adjustRightInd w:val="0"/>
              <w:jc w:val="center"/>
              <w:rPr>
                <w:rFonts w:ascii="宋体" w:hAnsi="宋体"/>
                <w:color w:val="000000"/>
                <w:sz w:val="24"/>
              </w:rPr>
            </w:pPr>
            <w:r w:rsidRPr="0025156C">
              <w:rPr>
                <w:rFonts w:ascii="宋体" w:hAnsi="宋体" w:hint="eastAsia"/>
                <w:color w:val="000000"/>
                <w:sz w:val="24"/>
              </w:rPr>
              <w:t>报告期内持有基金份额变化情况</w:t>
            </w:r>
          </w:p>
        </w:tc>
        <w:tc>
          <w:tcPr>
            <w:tcW w:w="2691" w:type="dxa"/>
            <w:gridSpan w:val="2"/>
            <w:vAlign w:val="center"/>
          </w:tcPr>
          <w:p w:rsidR="00C468DC" w:rsidRPr="0025156C" w:rsidRDefault="00C468DC" w:rsidP="00FD6136">
            <w:pPr>
              <w:autoSpaceDE w:val="0"/>
              <w:autoSpaceDN w:val="0"/>
              <w:adjustRightInd w:val="0"/>
              <w:rPr>
                <w:rFonts w:ascii="宋体" w:hAnsi="宋体"/>
                <w:color w:val="000000"/>
                <w:sz w:val="24"/>
              </w:rPr>
            </w:pPr>
            <w:r w:rsidRPr="0025156C">
              <w:rPr>
                <w:rFonts w:ascii="宋体" w:hAnsi="宋体" w:hint="eastAsia"/>
                <w:color w:val="000000"/>
                <w:sz w:val="24"/>
              </w:rPr>
              <w:t>报告期末持有基金情况</w:t>
            </w:r>
          </w:p>
        </w:tc>
      </w:tr>
      <w:tr w:rsidR="00C468DC" w:rsidRPr="00B808EB" w:rsidTr="00FD6136">
        <w:tc>
          <w:tcPr>
            <w:tcW w:w="851" w:type="dxa"/>
            <w:vMerge/>
            <w:vAlign w:val="center"/>
          </w:tcPr>
          <w:p w:rsidR="00C468DC" w:rsidRPr="0025156C" w:rsidRDefault="00C468DC" w:rsidP="00FD6136">
            <w:pPr>
              <w:autoSpaceDE w:val="0"/>
              <w:autoSpaceDN w:val="0"/>
              <w:adjustRightInd w:val="0"/>
              <w:jc w:val="center"/>
              <w:rPr>
                <w:rFonts w:ascii="宋体" w:hAnsi="宋体"/>
                <w:color w:val="000000"/>
                <w:sz w:val="24"/>
              </w:rPr>
            </w:pPr>
          </w:p>
        </w:tc>
        <w:tc>
          <w:tcPr>
            <w:tcW w:w="1134" w:type="dxa"/>
            <w:vAlign w:val="center"/>
          </w:tcPr>
          <w:p w:rsidR="00C468DC" w:rsidRPr="0025156C" w:rsidRDefault="00C468DC" w:rsidP="00FD6136">
            <w:pPr>
              <w:autoSpaceDE w:val="0"/>
              <w:autoSpaceDN w:val="0"/>
              <w:adjustRightInd w:val="0"/>
              <w:jc w:val="center"/>
              <w:rPr>
                <w:rFonts w:ascii="宋体" w:hAnsi="宋体"/>
                <w:color w:val="000000"/>
                <w:sz w:val="24"/>
              </w:rPr>
            </w:pPr>
            <w:r w:rsidRPr="0025156C">
              <w:rPr>
                <w:rFonts w:ascii="宋体" w:hAnsi="宋体" w:hint="eastAsia"/>
                <w:color w:val="000000"/>
                <w:sz w:val="24"/>
              </w:rPr>
              <w:t>序号</w:t>
            </w:r>
          </w:p>
        </w:tc>
        <w:tc>
          <w:tcPr>
            <w:tcW w:w="1843" w:type="dxa"/>
            <w:vAlign w:val="center"/>
          </w:tcPr>
          <w:p w:rsidR="00C468DC" w:rsidRPr="0025156C" w:rsidRDefault="00C468DC" w:rsidP="00FD6136">
            <w:pPr>
              <w:autoSpaceDE w:val="0"/>
              <w:autoSpaceDN w:val="0"/>
              <w:adjustRightInd w:val="0"/>
              <w:rPr>
                <w:rFonts w:ascii="宋体" w:hAnsi="宋体"/>
                <w:color w:val="000000"/>
                <w:sz w:val="24"/>
              </w:rPr>
            </w:pPr>
            <w:r w:rsidRPr="0025156C">
              <w:rPr>
                <w:rFonts w:ascii="宋体" w:hAnsi="宋体" w:hint="eastAsia"/>
                <w:color w:val="000000"/>
                <w:sz w:val="24"/>
              </w:rPr>
              <w:t>持有基金份额比例达到或者超过</w:t>
            </w:r>
            <w:r w:rsidRPr="0025156C">
              <w:rPr>
                <w:rFonts w:ascii="宋体" w:hAnsi="宋体"/>
                <w:color w:val="000000"/>
                <w:sz w:val="24"/>
              </w:rPr>
              <w:t>20%的时间区间</w:t>
            </w:r>
          </w:p>
        </w:tc>
        <w:tc>
          <w:tcPr>
            <w:tcW w:w="851" w:type="dxa"/>
            <w:vAlign w:val="center"/>
          </w:tcPr>
          <w:p w:rsidR="00C468DC" w:rsidRPr="0025156C" w:rsidRDefault="00C468DC" w:rsidP="00FD6136">
            <w:pPr>
              <w:widowControl/>
              <w:jc w:val="center"/>
              <w:rPr>
                <w:rFonts w:ascii="宋体" w:hAnsi="宋体"/>
                <w:color w:val="000000"/>
                <w:sz w:val="24"/>
              </w:rPr>
            </w:pPr>
            <w:r w:rsidRPr="0025156C">
              <w:rPr>
                <w:rFonts w:ascii="宋体" w:hAnsi="宋体" w:hint="eastAsia"/>
                <w:color w:val="000000"/>
                <w:sz w:val="24"/>
              </w:rPr>
              <w:t>期期初份额</w:t>
            </w:r>
          </w:p>
          <w:p w:rsidR="00C468DC" w:rsidRPr="0025156C" w:rsidRDefault="00C468DC" w:rsidP="00FD6136">
            <w:pPr>
              <w:autoSpaceDE w:val="0"/>
              <w:autoSpaceDN w:val="0"/>
              <w:adjustRightInd w:val="0"/>
              <w:jc w:val="center"/>
              <w:rPr>
                <w:rFonts w:ascii="宋体" w:hAnsi="宋体"/>
                <w:color w:val="000000"/>
                <w:sz w:val="24"/>
              </w:rPr>
            </w:pPr>
          </w:p>
        </w:tc>
        <w:tc>
          <w:tcPr>
            <w:tcW w:w="850" w:type="dxa"/>
            <w:vAlign w:val="center"/>
          </w:tcPr>
          <w:p w:rsidR="00C468DC" w:rsidRPr="0025156C" w:rsidRDefault="00C468DC" w:rsidP="00FD6136">
            <w:pPr>
              <w:widowControl/>
              <w:jc w:val="center"/>
              <w:rPr>
                <w:rFonts w:ascii="宋体" w:hAnsi="宋体"/>
                <w:color w:val="000000"/>
                <w:sz w:val="24"/>
              </w:rPr>
            </w:pPr>
            <w:r w:rsidRPr="0025156C">
              <w:rPr>
                <w:rFonts w:ascii="宋体" w:hAnsi="宋体" w:hint="eastAsia"/>
                <w:color w:val="000000"/>
                <w:sz w:val="24"/>
              </w:rPr>
              <w:t>申申购份额</w:t>
            </w:r>
          </w:p>
          <w:p w:rsidR="00C468DC" w:rsidRPr="0025156C" w:rsidRDefault="00C468DC" w:rsidP="00FD6136">
            <w:pPr>
              <w:autoSpaceDE w:val="0"/>
              <w:autoSpaceDN w:val="0"/>
              <w:adjustRightInd w:val="0"/>
              <w:jc w:val="center"/>
              <w:rPr>
                <w:rFonts w:ascii="宋体" w:hAnsi="宋体"/>
                <w:color w:val="000000"/>
                <w:sz w:val="24"/>
              </w:rPr>
            </w:pPr>
          </w:p>
        </w:tc>
        <w:tc>
          <w:tcPr>
            <w:tcW w:w="992" w:type="dxa"/>
            <w:vAlign w:val="center"/>
          </w:tcPr>
          <w:p w:rsidR="00C468DC" w:rsidRPr="0025156C" w:rsidRDefault="00C468DC" w:rsidP="00FD6136">
            <w:pPr>
              <w:autoSpaceDE w:val="0"/>
              <w:autoSpaceDN w:val="0"/>
              <w:adjustRightInd w:val="0"/>
              <w:jc w:val="center"/>
              <w:rPr>
                <w:rFonts w:ascii="宋体" w:hAnsi="宋体"/>
                <w:color w:val="000000"/>
                <w:sz w:val="24"/>
              </w:rPr>
            </w:pPr>
            <w:r w:rsidRPr="0025156C">
              <w:rPr>
                <w:rFonts w:ascii="宋体" w:hAnsi="宋体" w:hint="eastAsia"/>
                <w:color w:val="000000"/>
                <w:sz w:val="24"/>
              </w:rPr>
              <w:t>赎赎回份额</w:t>
            </w:r>
          </w:p>
        </w:tc>
        <w:tc>
          <w:tcPr>
            <w:tcW w:w="1418" w:type="dxa"/>
            <w:vAlign w:val="center"/>
          </w:tcPr>
          <w:p w:rsidR="00C468DC" w:rsidRPr="0025156C" w:rsidRDefault="00C468DC" w:rsidP="00FD6136">
            <w:pPr>
              <w:autoSpaceDE w:val="0"/>
              <w:autoSpaceDN w:val="0"/>
              <w:adjustRightInd w:val="0"/>
              <w:rPr>
                <w:rFonts w:ascii="宋体" w:hAnsi="宋体"/>
                <w:color w:val="000000"/>
                <w:sz w:val="24"/>
              </w:rPr>
            </w:pPr>
            <w:r w:rsidRPr="0025156C">
              <w:rPr>
                <w:rFonts w:ascii="宋体" w:hAnsi="宋体" w:hint="eastAsia"/>
                <w:color w:val="000000"/>
                <w:sz w:val="24"/>
              </w:rPr>
              <w:t>持有份额</w:t>
            </w:r>
          </w:p>
        </w:tc>
        <w:tc>
          <w:tcPr>
            <w:tcW w:w="1273" w:type="dxa"/>
            <w:vAlign w:val="center"/>
          </w:tcPr>
          <w:p w:rsidR="00C468DC" w:rsidRPr="0025156C" w:rsidRDefault="00C468DC" w:rsidP="00FD6136">
            <w:pPr>
              <w:autoSpaceDE w:val="0"/>
              <w:autoSpaceDN w:val="0"/>
              <w:adjustRightInd w:val="0"/>
              <w:jc w:val="center"/>
              <w:rPr>
                <w:rFonts w:ascii="宋体" w:hAnsi="宋体"/>
                <w:color w:val="000000"/>
                <w:sz w:val="24"/>
              </w:rPr>
            </w:pPr>
            <w:r w:rsidRPr="0025156C">
              <w:rPr>
                <w:rFonts w:ascii="宋体" w:hAnsi="宋体" w:hint="eastAsia"/>
                <w:color w:val="000000"/>
                <w:sz w:val="24"/>
              </w:rPr>
              <w:t>份份额占比</w:t>
            </w:r>
          </w:p>
        </w:tc>
      </w:tr>
      <w:tr w:rsidR="00C468DC" w:rsidRPr="00B808EB" w:rsidTr="00FD6136">
        <w:tc>
          <w:tcPr>
            <w:tcW w:w="851" w:type="dxa"/>
          </w:tcPr>
          <w:p w:rsidR="00C468DC" w:rsidRPr="0025156C" w:rsidRDefault="00C468DC" w:rsidP="00FD6136">
            <w:pPr>
              <w:rPr>
                <w:sz w:val="24"/>
              </w:rPr>
            </w:pPr>
          </w:p>
          <w:p w:rsidR="00C468DC" w:rsidRPr="0025156C" w:rsidRDefault="00C468DC" w:rsidP="00FD6136">
            <w:pPr>
              <w:rPr>
                <w:sz w:val="24"/>
              </w:rPr>
            </w:pPr>
            <w:r w:rsidRPr="00B808EB">
              <w:rPr>
                <w:rFonts w:eastAsiaTheme="minorEastAsia" w:hint="eastAsia"/>
                <w:bCs/>
                <w:color w:val="000000" w:themeColor="text1"/>
                <w:sz w:val="24"/>
              </w:rPr>
              <w:t>机构</w:t>
            </w:r>
          </w:p>
        </w:tc>
        <w:tc>
          <w:tcPr>
            <w:tcW w:w="1134" w:type="dxa"/>
            <w:vAlign w:val="center"/>
          </w:tcPr>
          <w:p w:rsidR="00C468DC" w:rsidRPr="0025156C" w:rsidRDefault="00C468DC" w:rsidP="00FD6136">
            <w:pPr>
              <w:jc w:val="center"/>
              <w:rPr>
                <w:sz w:val="24"/>
              </w:rPr>
            </w:pPr>
            <w:r w:rsidRPr="0025156C">
              <w:rPr>
                <w:color w:val="000000"/>
                <w:sz w:val="24"/>
              </w:rPr>
              <w:t>1</w:t>
            </w:r>
          </w:p>
        </w:tc>
        <w:tc>
          <w:tcPr>
            <w:tcW w:w="1843" w:type="dxa"/>
            <w:vAlign w:val="center"/>
          </w:tcPr>
          <w:p w:rsidR="00C468DC" w:rsidRPr="0025156C" w:rsidRDefault="00C468DC" w:rsidP="00FD6136">
            <w:pPr>
              <w:jc w:val="center"/>
              <w:rPr>
                <w:sz w:val="24"/>
              </w:rPr>
            </w:pPr>
            <w:r w:rsidRPr="0025156C">
              <w:rPr>
                <w:color w:val="000000"/>
                <w:sz w:val="24"/>
              </w:rPr>
              <w:t>2017/1/1-2017/3/31</w:t>
            </w:r>
          </w:p>
        </w:tc>
        <w:tc>
          <w:tcPr>
            <w:tcW w:w="851" w:type="dxa"/>
            <w:vAlign w:val="center"/>
          </w:tcPr>
          <w:p w:rsidR="00C468DC" w:rsidRPr="0025156C" w:rsidRDefault="00C468DC" w:rsidP="00FD6136">
            <w:pPr>
              <w:jc w:val="center"/>
              <w:rPr>
                <w:sz w:val="24"/>
              </w:rPr>
            </w:pPr>
            <w:r w:rsidRPr="0025156C">
              <w:rPr>
                <w:color w:val="000000"/>
                <w:sz w:val="24"/>
              </w:rPr>
              <w:t>76,052,590.58</w:t>
            </w:r>
          </w:p>
        </w:tc>
        <w:tc>
          <w:tcPr>
            <w:tcW w:w="850" w:type="dxa"/>
            <w:vAlign w:val="center"/>
          </w:tcPr>
          <w:p w:rsidR="00C468DC" w:rsidRPr="0025156C" w:rsidRDefault="00C468DC" w:rsidP="00FD6136">
            <w:pPr>
              <w:jc w:val="center"/>
              <w:rPr>
                <w:sz w:val="24"/>
              </w:rPr>
            </w:pPr>
            <w:r w:rsidRPr="0025156C">
              <w:rPr>
                <w:color w:val="000000"/>
                <w:sz w:val="24"/>
              </w:rPr>
              <w:t>-</w:t>
            </w:r>
          </w:p>
        </w:tc>
        <w:tc>
          <w:tcPr>
            <w:tcW w:w="992" w:type="dxa"/>
            <w:vAlign w:val="center"/>
          </w:tcPr>
          <w:p w:rsidR="00C468DC" w:rsidRPr="0025156C" w:rsidRDefault="00C468DC" w:rsidP="00FD6136">
            <w:pPr>
              <w:jc w:val="center"/>
              <w:rPr>
                <w:sz w:val="24"/>
              </w:rPr>
            </w:pPr>
            <w:r w:rsidRPr="0025156C">
              <w:rPr>
                <w:color w:val="000000"/>
                <w:sz w:val="24"/>
              </w:rPr>
              <w:t>-</w:t>
            </w:r>
          </w:p>
        </w:tc>
        <w:tc>
          <w:tcPr>
            <w:tcW w:w="1418" w:type="dxa"/>
            <w:vAlign w:val="center"/>
          </w:tcPr>
          <w:p w:rsidR="00C468DC" w:rsidRPr="0025156C" w:rsidRDefault="00C468DC" w:rsidP="00FD6136">
            <w:pPr>
              <w:jc w:val="center"/>
              <w:rPr>
                <w:sz w:val="24"/>
              </w:rPr>
            </w:pPr>
            <w:r w:rsidRPr="0025156C">
              <w:rPr>
                <w:color w:val="000000"/>
                <w:sz w:val="24"/>
              </w:rPr>
              <w:t>76,052,590.58</w:t>
            </w:r>
          </w:p>
        </w:tc>
        <w:tc>
          <w:tcPr>
            <w:tcW w:w="1273" w:type="dxa"/>
            <w:vAlign w:val="center"/>
          </w:tcPr>
          <w:p w:rsidR="00C468DC" w:rsidRPr="0025156C" w:rsidRDefault="00C468DC" w:rsidP="00FD6136">
            <w:pPr>
              <w:jc w:val="center"/>
              <w:rPr>
                <w:sz w:val="24"/>
              </w:rPr>
            </w:pPr>
            <w:r w:rsidRPr="0025156C">
              <w:rPr>
                <w:color w:val="000000"/>
                <w:sz w:val="24"/>
              </w:rPr>
              <w:t>54.78%</w:t>
            </w:r>
          </w:p>
        </w:tc>
      </w:tr>
      <w:tr w:rsidR="00C468DC" w:rsidRPr="00B808EB" w:rsidTr="00FD6136">
        <w:tc>
          <w:tcPr>
            <w:tcW w:w="9212" w:type="dxa"/>
            <w:gridSpan w:val="8"/>
            <w:vAlign w:val="center"/>
          </w:tcPr>
          <w:p w:rsidR="00C468DC" w:rsidRPr="0025156C" w:rsidRDefault="00C468DC" w:rsidP="00FD6136">
            <w:pPr>
              <w:autoSpaceDE w:val="0"/>
              <w:autoSpaceDN w:val="0"/>
              <w:adjustRightInd w:val="0"/>
              <w:ind w:firstLine="1126"/>
              <w:jc w:val="center"/>
              <w:rPr>
                <w:sz w:val="24"/>
              </w:rPr>
            </w:pPr>
            <w:r w:rsidRPr="0025156C">
              <w:rPr>
                <w:rFonts w:hint="eastAsia"/>
                <w:color w:val="000000"/>
                <w:sz w:val="24"/>
              </w:rPr>
              <w:t>产品特有风险</w:t>
            </w:r>
          </w:p>
        </w:tc>
      </w:tr>
      <w:tr w:rsidR="00C468DC" w:rsidRPr="00B808EB" w:rsidTr="00FD6136">
        <w:tc>
          <w:tcPr>
            <w:tcW w:w="9212" w:type="dxa"/>
            <w:gridSpan w:val="8"/>
            <w:vAlign w:val="center"/>
          </w:tcPr>
          <w:p w:rsidR="00C468DC" w:rsidRPr="0025156C" w:rsidRDefault="00C468DC" w:rsidP="00FD6136">
            <w:pPr>
              <w:autoSpaceDE w:val="0"/>
              <w:autoSpaceDN w:val="0"/>
              <w:adjustRightInd w:val="0"/>
              <w:jc w:val="left"/>
              <w:rPr>
                <w:sz w:val="24"/>
              </w:rPr>
            </w:pPr>
            <w:r w:rsidRPr="0025156C">
              <w:rPr>
                <w:rFonts w:hint="eastAsia"/>
                <w:sz w:val="24"/>
              </w:rPr>
              <w:t>本基金本报告期内出现单一投资者持有基金份额比例超过基金总份额</w:t>
            </w:r>
            <w:r w:rsidRPr="0025156C">
              <w:rPr>
                <w:sz w:val="24"/>
              </w:rPr>
              <w:t>20%</w:t>
            </w:r>
            <w:r w:rsidRPr="0025156C">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932563" w:rsidRPr="00405A85" w:rsidRDefault="00932563" w:rsidP="00C468DC">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§9 </w:t>
      </w:r>
      <w:r w:rsidRPr="0036023B">
        <w:rPr>
          <w:color w:val="000000"/>
          <w:kern w:val="0"/>
          <w:sz w:val="24"/>
          <w:szCs w:val="24"/>
        </w:rPr>
        <w:t>备查文件目录</w:t>
      </w:r>
    </w:p>
    <w:p w:rsidR="00981CE6" w:rsidRPr="00405A85" w:rsidRDefault="00981CE6">
      <w:pPr>
        <w:pStyle w:val="1"/>
        <w:spacing w:beforeLines="100" w:before="312" w:afterLines="100" w:after="312" w:line="288" w:lineRule="auto"/>
        <w:jc w:val="center"/>
        <w:rPr>
          <w:color w:val="000000"/>
          <w:kern w:val="0"/>
          <w:sz w:val="24"/>
          <w:szCs w:val="24"/>
        </w:rPr>
      </w:pPr>
    </w:p>
    <w:p w:rsidR="00220542" w:rsidRPr="0036023B" w:rsidRDefault="00932563" w:rsidP="0099526C">
      <w:pPr>
        <w:spacing w:before="29" w:line="288" w:lineRule="auto"/>
        <w:rPr>
          <w:b/>
          <w:color w:val="000000"/>
          <w:sz w:val="24"/>
        </w:rPr>
      </w:pPr>
      <w:r>
        <w:rPr>
          <w:rFonts w:hint="eastAsia"/>
          <w:b/>
          <w:color w:val="000000"/>
          <w:sz w:val="24"/>
        </w:rPr>
        <w:t>9</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6F3227" w:rsidRDefault="00515F6B">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6F3227" w:rsidRDefault="00515F6B">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6F3227" w:rsidRDefault="00515F6B">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6F3227" w:rsidRDefault="00515F6B">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6F3227" w:rsidRDefault="00515F6B">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6F3227" w:rsidRDefault="00515F6B">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6F3227" w:rsidRDefault="00515F6B">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6F3227" w:rsidRDefault="00515F6B">
      <w:pPr>
        <w:spacing w:before="29" w:line="288" w:lineRule="auto"/>
        <w:ind w:firstLineChars="200" w:firstLine="480"/>
        <w:rPr>
          <w:color w:val="000000"/>
          <w:sz w:val="24"/>
        </w:rPr>
      </w:pPr>
      <w:r>
        <w:rPr>
          <w:color w:val="000000"/>
          <w:sz w:val="24"/>
        </w:rPr>
        <w:lastRenderedPageBreak/>
        <w:t>8</w:t>
      </w:r>
      <w:r>
        <w:rPr>
          <w:color w:val="000000"/>
          <w:sz w:val="24"/>
        </w:rPr>
        <w:t>、基金管理人业务资格批件、营业执照；</w:t>
      </w:r>
    </w:p>
    <w:p w:rsidR="006F3227" w:rsidRDefault="00515F6B">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6F3227" w:rsidRDefault="00515F6B">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6F3227" w:rsidRDefault="00515F6B">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932563" w:rsidP="0099526C">
      <w:pPr>
        <w:spacing w:before="29" w:line="288" w:lineRule="auto"/>
        <w:rPr>
          <w:b/>
          <w:color w:val="000000"/>
          <w:sz w:val="24"/>
        </w:rPr>
      </w:pPr>
      <w:r>
        <w:rPr>
          <w:rFonts w:hint="eastAsia"/>
          <w:b/>
          <w:color w:val="000000"/>
          <w:sz w:val="24"/>
        </w:rPr>
        <w:t>9</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932563" w:rsidP="0099526C">
      <w:pPr>
        <w:spacing w:before="29" w:line="288" w:lineRule="auto"/>
        <w:rPr>
          <w:b/>
          <w:color w:val="000000"/>
          <w:sz w:val="24"/>
        </w:rPr>
      </w:pPr>
      <w:r>
        <w:rPr>
          <w:rFonts w:hint="eastAsia"/>
          <w:b/>
          <w:color w:val="000000"/>
          <w:sz w:val="24"/>
        </w:rPr>
        <w:t>9</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6F3227" w:rsidRDefault="00515F6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7F" w:rsidRDefault="0025577F">
      <w:r>
        <w:separator/>
      </w:r>
    </w:p>
  </w:endnote>
  <w:endnote w:type="continuationSeparator" w:id="0">
    <w:p w:rsidR="0025577F" w:rsidRDefault="0025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5E350F">
      <w:rPr>
        <w:kern w:val="0"/>
        <w:szCs w:val="21"/>
      </w:rPr>
      <w:fldChar w:fldCharType="begin"/>
    </w:r>
    <w:r>
      <w:rPr>
        <w:kern w:val="0"/>
        <w:szCs w:val="21"/>
      </w:rPr>
      <w:instrText xml:space="preserve"> PAGE </w:instrText>
    </w:r>
    <w:r w:rsidR="005E350F">
      <w:rPr>
        <w:kern w:val="0"/>
        <w:szCs w:val="21"/>
      </w:rPr>
      <w:fldChar w:fldCharType="separate"/>
    </w:r>
    <w:r w:rsidR="0025156C">
      <w:rPr>
        <w:noProof/>
        <w:kern w:val="0"/>
        <w:szCs w:val="21"/>
      </w:rPr>
      <w:t>5</w:t>
    </w:r>
    <w:r w:rsidR="005E350F">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5E350F">
      <w:rPr>
        <w:kern w:val="0"/>
        <w:szCs w:val="21"/>
      </w:rPr>
      <w:fldChar w:fldCharType="begin"/>
    </w:r>
    <w:r>
      <w:rPr>
        <w:kern w:val="0"/>
        <w:szCs w:val="21"/>
      </w:rPr>
      <w:instrText xml:space="preserve"> NUMPAGES </w:instrText>
    </w:r>
    <w:r w:rsidR="005E350F">
      <w:rPr>
        <w:kern w:val="0"/>
        <w:szCs w:val="21"/>
      </w:rPr>
      <w:fldChar w:fldCharType="separate"/>
    </w:r>
    <w:r w:rsidR="0025156C">
      <w:rPr>
        <w:noProof/>
        <w:kern w:val="0"/>
        <w:szCs w:val="21"/>
      </w:rPr>
      <w:t>13</w:t>
    </w:r>
    <w:r w:rsidR="005E350F">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5E350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7F" w:rsidRDefault="0025577F">
      <w:r>
        <w:separator/>
      </w:r>
    </w:p>
  </w:footnote>
  <w:footnote w:type="continuationSeparator" w:id="0">
    <w:p w:rsidR="0025577F" w:rsidRDefault="00255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6C"/>
    <w:rsid w:val="0025158D"/>
    <w:rsid w:val="0025281A"/>
    <w:rsid w:val="00253D3C"/>
    <w:rsid w:val="00255292"/>
    <w:rsid w:val="0025577F"/>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2F44F3"/>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5F6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350F"/>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2F47"/>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322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2563"/>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8EB"/>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68DC"/>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46A2DE1-C991-435D-8821-425D5EC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1135</Words>
  <Characters>6472</Characters>
  <Application>Microsoft Office Word</Application>
  <DocSecurity>0</DocSecurity>
  <Lines>53</Lines>
  <Paragraphs>15</Paragraphs>
  <ScaleCrop>false</ScaleCrop>
  <Company>TRT. Ltd. Co.</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386</cp:revision>
  <cp:lastPrinted>2007-07-19T00:46:00Z</cp:lastPrinted>
  <dcterms:created xsi:type="dcterms:W3CDTF">2012-11-21T04:46:00Z</dcterms:created>
  <dcterms:modified xsi:type="dcterms:W3CDTF">2017-04-20T05:43:00Z</dcterms:modified>
</cp:coreProperties>
</file>